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lastRenderedPageBreak/>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lastRenderedPageBreak/>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lastRenderedPageBreak/>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w:t>
            </w:r>
            <w:r>
              <w:rPr>
                <w:rFonts w:eastAsiaTheme="minorEastAsia" w:hint="eastAsia"/>
                <w:lang w:val="en-US" w:eastAsia="zh-CN"/>
              </w:rPr>
              <w:lastRenderedPageBreak/>
              <w:t>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bl>
    <w:p w14:paraId="34168385" w14:textId="77777777" w:rsidR="00A46B36" w:rsidRPr="00DB389C" w:rsidRDefault="00A46B36">
      <w:pPr>
        <w:spacing w:after="100" w:afterAutospacing="1"/>
        <w:rPr>
          <w:lang w:val="en-US"/>
        </w:rPr>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lastRenderedPageBreak/>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w:t>
            </w:r>
            <w:proofErr w:type="gramStart"/>
            <w:r>
              <w:rPr>
                <w:rFonts w:eastAsia="Yu Mincho"/>
                <w:lang w:val="en-US"/>
              </w:rPr>
              <w:t>considered;</w:t>
            </w:r>
            <w:proofErr w:type="gramEnd"/>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lastRenderedPageBreak/>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w:t>
            </w:r>
            <w:r>
              <w:rPr>
                <w:rFonts w:eastAsiaTheme="minorEastAsia"/>
                <w:lang w:val="en-US" w:eastAsia="zh-CN"/>
              </w:rPr>
              <w:lastRenderedPageBreak/>
              <w:t xml:space="preserve">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lastRenderedPageBreak/>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 xml:space="preserve">Huawei, </w:t>
            </w:r>
            <w:proofErr w:type="spellStart"/>
            <w:r>
              <w:t>HiSilicon</w:t>
            </w:r>
            <w:proofErr w:type="spellEnd"/>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lastRenderedPageBreak/>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EA4C" w14:textId="77777777" w:rsidR="00FF2EAE" w:rsidRDefault="00FF2EAE">
      <w:pPr>
        <w:spacing w:line="240" w:lineRule="auto"/>
      </w:pPr>
      <w:r>
        <w:separator/>
      </w:r>
    </w:p>
  </w:endnote>
  <w:endnote w:type="continuationSeparator" w:id="0">
    <w:p w14:paraId="650E9221" w14:textId="77777777" w:rsidR="00FF2EAE" w:rsidRDefault="00FF2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2AEC" w14:textId="77777777" w:rsidR="00FF2EAE" w:rsidRDefault="00FF2EAE">
      <w:pPr>
        <w:spacing w:after="0"/>
      </w:pPr>
      <w:r>
        <w:separator/>
      </w:r>
    </w:p>
  </w:footnote>
  <w:footnote w:type="continuationSeparator" w:id="0">
    <w:p w14:paraId="70B44DC3" w14:textId="77777777" w:rsidR="00FF2EAE" w:rsidRDefault="00FF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4984</Words>
  <Characters>28411</Characters>
  <Application>Microsoft Office Word</Application>
  <DocSecurity>0</DocSecurity>
  <Lines>236</Lines>
  <Paragraphs>66</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2022-05-11T14:15:00Z</dcterms:created>
  <dcterms:modified xsi:type="dcterms:W3CDTF">2022-05-11T14:15:00Z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