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8E740" w14:textId="77777777" w:rsidR="00AC4E6C" w:rsidRDefault="00C66DB1">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188E757"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宋体"/>
                <w:lang w:val="en-US" w:eastAsia="ja-JP"/>
              </w:rPr>
            </w:pPr>
            <w:r>
              <w:rPr>
                <w:rFonts w:eastAsia="宋体"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Zhisong Zuo</w:t>
            </w:r>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r>
              <w:rPr>
                <w:rFonts w:eastAsiaTheme="minorEastAsia"/>
                <w:lang w:val="en-US" w:eastAsia="zh-CN"/>
              </w:rPr>
              <w:t>Lijie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0188E7D1" w14:textId="77777777" w:rsidR="00AC4E6C" w:rsidRDefault="00C66DB1">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0188E7D2" w14:textId="77777777" w:rsidR="00AC4E6C" w:rsidRDefault="00C66DB1">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0188E7D3" w14:textId="77777777" w:rsidR="00AC4E6C" w:rsidRDefault="00C66DB1">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aff"/>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宋体"/>
                <w:lang w:eastAsia="ja-JP"/>
              </w:rPr>
            </w:pPr>
            <w:r>
              <w:rPr>
                <w:rFonts w:eastAsia="宋体"/>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宋体"/>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宋体"/>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宋体"/>
                <w:lang w:val="en-US" w:eastAsia="ja-JP"/>
              </w:rPr>
            </w:pPr>
            <w:r>
              <w:rPr>
                <w:rFonts w:eastAsia="宋体" w:hint="eastAsia"/>
                <w:lang w:val="en-US" w:eastAsia="zh-CN"/>
              </w:rPr>
              <w:t>ZTE, Sanechips</w:t>
            </w:r>
          </w:p>
        </w:tc>
        <w:tc>
          <w:tcPr>
            <w:tcW w:w="1372" w:type="dxa"/>
          </w:tcPr>
          <w:p w14:paraId="0188E9C3" w14:textId="77777777" w:rsidR="00AC4E6C" w:rsidRDefault="00C66DB1">
            <w:pPr>
              <w:tabs>
                <w:tab w:val="left" w:pos="551"/>
              </w:tabs>
              <w:rPr>
                <w:rFonts w:eastAsia="宋体"/>
                <w:lang w:val="en-US" w:eastAsia="ja-JP"/>
              </w:rPr>
            </w:pPr>
            <w:r>
              <w:rPr>
                <w:rFonts w:eastAsia="宋体"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宋体"/>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宋体"/>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hint="eastAsia"/>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hint="eastAsia"/>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 xml:space="preserve">This is what has been done during R17 SI. For the coexistence impacts, and specification impacts, evaluation if mainly based on analysis. While for </w:t>
            </w:r>
            <w:r>
              <w:rPr>
                <w:rFonts w:eastAsiaTheme="minorEastAsia"/>
                <w:lang w:val="en-US" w:eastAsia="zh-CN"/>
              </w:rPr>
              <w:lastRenderedPageBreak/>
              <w:t>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t>
            </w:r>
            <w:r>
              <w:rPr>
                <w:lang w:val="en-US"/>
              </w:rPr>
              <w:lastRenderedPageBreak/>
              <w:t xml:space="preserve">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lastRenderedPageBreak/>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宋体"/>
                <w:lang w:val="en-US" w:eastAsia="ja-JP"/>
              </w:rPr>
            </w:pPr>
            <w:r>
              <w:rPr>
                <w:rFonts w:eastAsia="宋体"/>
                <w:lang w:val="en-US" w:eastAsia="zh-CN"/>
              </w:rPr>
              <w:t>ZTE, Sanechips</w:t>
            </w:r>
          </w:p>
        </w:tc>
        <w:tc>
          <w:tcPr>
            <w:tcW w:w="1372" w:type="dxa"/>
          </w:tcPr>
          <w:p w14:paraId="0188EB15" w14:textId="77777777" w:rsidR="00AC4E6C" w:rsidRDefault="00AC4E6C">
            <w:pPr>
              <w:tabs>
                <w:tab w:val="left" w:pos="551"/>
              </w:tabs>
              <w:rPr>
                <w:rFonts w:eastAsia="宋体"/>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宋体"/>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宋体"/>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lastRenderedPageBreak/>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hint="eastAsia"/>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hint="eastAsia"/>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aff"/>
        <w:numPr>
          <w:ilvl w:val="0"/>
          <w:numId w:val="23"/>
        </w:numPr>
        <w:jc w:val="left"/>
        <w:rPr>
          <w:sz w:val="20"/>
          <w:szCs w:val="22"/>
          <w:lang w:val="en-US"/>
        </w:rPr>
      </w:pPr>
      <w:r>
        <w:rPr>
          <w:b/>
          <w:sz w:val="20"/>
          <w:szCs w:val="22"/>
          <w:lang w:val="en-US"/>
        </w:rPr>
        <w:lastRenderedPageBreak/>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lastRenderedPageBreak/>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lastRenderedPageBreak/>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lastRenderedPageBreak/>
              <w:t>Other options may means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lastRenderedPageBreak/>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aff"/>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lastRenderedPageBreak/>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aff"/>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0188EC1E" w14:textId="77777777" w:rsidR="00AC4E6C" w:rsidRDefault="00C66DB1">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aff"/>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aff"/>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lastRenderedPageBreak/>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lastRenderedPageBreak/>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aff"/>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aff"/>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宋体"/>
                <w:lang w:val="en-US" w:eastAsia="ja-JP"/>
              </w:rPr>
            </w:pPr>
            <w:r>
              <w:rPr>
                <w:rFonts w:eastAsia="宋体"/>
                <w:lang w:val="en-US" w:eastAsia="zh-CN"/>
              </w:rPr>
              <w:t>ZTE, Sanechips</w:t>
            </w:r>
          </w:p>
        </w:tc>
        <w:tc>
          <w:tcPr>
            <w:tcW w:w="1583" w:type="dxa"/>
          </w:tcPr>
          <w:p w14:paraId="0188EC62" w14:textId="77777777" w:rsidR="00AC4E6C" w:rsidRDefault="00AC4E6C">
            <w:pPr>
              <w:tabs>
                <w:tab w:val="left" w:pos="551"/>
              </w:tabs>
              <w:rPr>
                <w:rFonts w:eastAsia="宋体"/>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等线"/>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等线"/>
                <w:lang w:val="en-US" w:eastAsia="zh-CN" w:bidi="ar"/>
              </w:rPr>
              <w:lastRenderedPageBreak/>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lastRenderedPageBreak/>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 xml:space="preserve">Agree with comment from Ericsson. BW1 and BW3 can be studied with higher priority. Optional results for any other option from the complete set can be </w:t>
            </w:r>
            <w:r>
              <w:rPr>
                <w:rFonts w:eastAsiaTheme="minorEastAsia"/>
                <w:lang w:val="en-US" w:eastAsia="zh-CN"/>
              </w:rPr>
              <w:lastRenderedPageBreak/>
              <w:t>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宋体"/>
                <w:lang w:val="en-US" w:eastAsia="ja-JP"/>
              </w:rPr>
            </w:pPr>
            <w:r>
              <w:rPr>
                <w:rFonts w:eastAsia="宋体"/>
                <w:lang w:val="en-US" w:eastAsia="zh-CN"/>
              </w:rPr>
              <w:t>ZTE, Sanechips</w:t>
            </w:r>
          </w:p>
        </w:tc>
        <w:tc>
          <w:tcPr>
            <w:tcW w:w="1583" w:type="dxa"/>
          </w:tcPr>
          <w:p w14:paraId="0188ECCF" w14:textId="77777777" w:rsidR="00AC4E6C" w:rsidRDefault="00AC4E6C">
            <w:pPr>
              <w:tabs>
                <w:tab w:val="left" w:pos="551"/>
              </w:tabs>
              <w:jc w:val="left"/>
              <w:rPr>
                <w:rFonts w:eastAsia="宋体"/>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lastRenderedPageBreak/>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宋体"/>
                <w:lang w:val="en-US" w:eastAsia="zh-CN"/>
              </w:rPr>
            </w:pPr>
            <w:r>
              <w:rPr>
                <w:rFonts w:eastAsia="Yu Mincho"/>
                <w:lang w:val="en-US" w:eastAsia="ja-JP"/>
              </w:rPr>
              <w:lastRenderedPageBreak/>
              <w:t>Nordic</w:t>
            </w:r>
          </w:p>
        </w:tc>
        <w:tc>
          <w:tcPr>
            <w:tcW w:w="1583" w:type="dxa"/>
          </w:tcPr>
          <w:p w14:paraId="0188ECD6" w14:textId="77777777" w:rsidR="00AC4E6C" w:rsidRDefault="00C66DB1">
            <w:pPr>
              <w:tabs>
                <w:tab w:val="left" w:pos="551"/>
              </w:tabs>
              <w:jc w:val="left"/>
              <w:rPr>
                <w:rFonts w:eastAsia="宋体"/>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aff"/>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aff"/>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aff"/>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aff"/>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0188ED0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lastRenderedPageBreak/>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aff"/>
              <w:jc w:val="left"/>
              <w:rPr>
                <w:rFonts w:eastAsia="Malgun Gothic"/>
                <w:lang w:val="en-US" w:eastAsia="ko-KR"/>
              </w:rPr>
            </w:pPr>
          </w:p>
          <w:p w14:paraId="0188ED17" w14:textId="77777777" w:rsidR="00AC4E6C" w:rsidRDefault="00AC4E6C">
            <w:pPr>
              <w:pStyle w:val="aff"/>
              <w:jc w:val="left"/>
              <w:rPr>
                <w:rFonts w:eastAsia="Malgun Gothic"/>
                <w:lang w:val="en-US" w:eastAsia="ko-KR"/>
              </w:rPr>
            </w:pPr>
          </w:p>
          <w:p w14:paraId="0188ED18" w14:textId="77777777" w:rsidR="00AC4E6C" w:rsidRDefault="00AC4E6C">
            <w:pPr>
              <w:pStyle w:val="aff"/>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w:t>
            </w:r>
            <w:r>
              <w:rPr>
                <w:rFonts w:eastAsiaTheme="minorEastAsia"/>
                <w:lang w:val="en-US" w:eastAsia="zh-CN"/>
              </w:rPr>
              <w:lastRenderedPageBreak/>
              <w:t>5MHz BB BW restriction. It has to be updated, for example (if my understanding is correct):</w:t>
            </w:r>
          </w:p>
          <w:p w14:paraId="67B731AC" w14:textId="77777777" w:rsidR="00EF55D2" w:rsidRPr="00EF55D2" w:rsidRDefault="00A76ED2" w:rsidP="00EF55D2">
            <w:pPr>
              <w:pStyle w:val="aff"/>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aff"/>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lastRenderedPageBreak/>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hint="eastAsia"/>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hint="eastAsia"/>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aff"/>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aff"/>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aff"/>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aff"/>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宋体"/>
                <w:lang w:val="en-US" w:eastAsia="ja-JP"/>
              </w:rPr>
            </w:pPr>
            <w:r>
              <w:rPr>
                <w:rFonts w:eastAsia="宋体"/>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宋体"/>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w:t>
            </w:r>
            <w:r>
              <w:rPr>
                <w:rFonts w:eastAsiaTheme="minorEastAsia"/>
                <w:lang w:val="en-US" w:eastAsia="zh-CN"/>
              </w:rPr>
              <w:lastRenderedPageBreak/>
              <w:t>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lastRenderedPageBreak/>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aff"/>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aff"/>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aff"/>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aff"/>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aff"/>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corresponding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lastRenderedPageBreak/>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宋体"/>
                <w:lang w:val="en-US" w:eastAsia="ja-JP"/>
              </w:rPr>
            </w:pPr>
            <w:r>
              <w:rPr>
                <w:rFonts w:eastAsia="宋体"/>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lastRenderedPageBreak/>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aff"/>
              <w:numPr>
                <w:ilvl w:val="1"/>
                <w:numId w:val="23"/>
              </w:numPr>
              <w:jc w:val="left"/>
              <w:rPr>
                <w:lang w:val="en-US"/>
              </w:rPr>
            </w:pPr>
            <w:r>
              <w:rPr>
                <w:rFonts w:ascii="Times New Roman" w:hAnsi="Times New Roman" w:cs="Times New Roman"/>
                <w:b/>
                <w:bCs/>
                <w:color w:val="FF0000"/>
                <w:sz w:val="20"/>
                <w:szCs w:val="20"/>
                <w:lang w:val="en-US"/>
              </w:rPr>
              <w:lastRenderedPageBreak/>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宋体"/>
                <w:lang w:val="en-US" w:eastAsia="ja-JP"/>
              </w:rPr>
            </w:pPr>
            <w:r>
              <w:rPr>
                <w:rFonts w:eastAsia="宋体"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宋体"/>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宋体"/>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aff"/>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aff"/>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aff"/>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aff"/>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hint="eastAsia"/>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hint="eastAsia"/>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lastRenderedPageBreak/>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EF5C" w14:textId="77777777" w:rsidR="00AC4E6C" w:rsidRDefault="00C66DB1">
            <w:pPr>
              <w:tabs>
                <w:tab w:val="left" w:pos="551"/>
              </w:tabs>
              <w:rPr>
                <w:rFonts w:eastAsia="宋体"/>
                <w:lang w:val="en-US" w:eastAsia="ja-JP"/>
              </w:rPr>
            </w:pPr>
            <w:r>
              <w:rPr>
                <w:rFonts w:eastAsia="宋体"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宋体"/>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宋体"/>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宋体"/>
                <w:lang w:val="en-US" w:eastAsia="ja-JP"/>
              </w:rPr>
            </w:pPr>
            <w:r>
              <w:rPr>
                <w:rFonts w:eastAsia="宋体"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宋体"/>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宋体"/>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lastRenderedPageBreak/>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宋体"/>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aff"/>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aff"/>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lastRenderedPageBreak/>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lastRenderedPageBreak/>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lastRenderedPageBreak/>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aff"/>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aff"/>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aff"/>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aff"/>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宋体"/>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aff"/>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aff"/>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aff"/>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aff"/>
        <w:numPr>
          <w:ilvl w:val="0"/>
          <w:numId w:val="37"/>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lastRenderedPageBreak/>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hint="eastAsia"/>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hint="eastAsia"/>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F66384"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lastRenderedPageBreak/>
              <w:t>Depending on the interest of the majority group, the following combination can be considered:</w:t>
            </w:r>
          </w:p>
          <w:p w14:paraId="0188F214" w14:textId="77777777" w:rsidR="00AC4E6C" w:rsidRDefault="00C66DB1">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We wonder if we made decision base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aff"/>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aff"/>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aff"/>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aff"/>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We don’t expect much combination. The PTx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lastRenderedPageBreak/>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aff"/>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aff"/>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aff"/>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aff"/>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aff"/>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宋体"/>
                <w:lang w:val="en-US" w:eastAsia="zh-CN"/>
              </w:rPr>
              <w:t>If the TU permits, we are open to talk about these feature.</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We do no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宋体"/>
                <w:lang w:val="en-US" w:eastAsia="ja-JP"/>
              </w:rPr>
            </w:pPr>
            <w:r>
              <w:rPr>
                <w:rFonts w:eastAsia="宋体"/>
                <w:lang w:val="en-US" w:eastAsia="zh-CN"/>
              </w:rPr>
              <w:t>ZTE, Sanechips</w:t>
            </w:r>
          </w:p>
        </w:tc>
        <w:tc>
          <w:tcPr>
            <w:tcW w:w="1372" w:type="dxa"/>
          </w:tcPr>
          <w:p w14:paraId="0188F3A9" w14:textId="77777777" w:rsidR="00AC4E6C" w:rsidRDefault="00C66DB1">
            <w:pPr>
              <w:tabs>
                <w:tab w:val="left" w:pos="551"/>
              </w:tabs>
              <w:rPr>
                <w:rFonts w:eastAsia="宋体"/>
                <w:lang w:val="en-US" w:eastAsia="zh-CN"/>
              </w:rPr>
            </w:pPr>
            <w:r>
              <w:rPr>
                <w:rFonts w:eastAsia="宋体"/>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bookmarkStart w:id="20" w:name="_GoBack"/>
            <w:r>
              <w:rPr>
                <w:rFonts w:eastAsiaTheme="minorEastAsia"/>
                <w:lang w:val="en-US" w:eastAsia="zh-CN"/>
              </w:rPr>
              <w:t>FL5</w:t>
            </w:r>
            <w:bookmarkEnd w:id="20"/>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bl>
    <w:p w14:paraId="0188F43B" w14:textId="77777777" w:rsidR="00AC4E6C" w:rsidRDefault="00AC4E6C">
      <w:pPr>
        <w:tabs>
          <w:tab w:val="left" w:pos="5510"/>
        </w:tabs>
        <w:rPr>
          <w:lang w:val="en-US"/>
        </w:rPr>
      </w:pPr>
    </w:p>
    <w:p w14:paraId="0188F43C" w14:textId="77777777" w:rsidR="00AC4E6C" w:rsidRDefault="00C66DB1">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BB4A1E">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BB4A1E">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BB4A1E">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BB4A1E">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BB4A1E">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BB4A1E">
            <w:pPr>
              <w:jc w:val="left"/>
              <w:rPr>
                <w:rStyle w:val="afb"/>
                <w:color w:val="0000FF"/>
                <w:lang w:eastAsia="sv-SE"/>
              </w:rPr>
            </w:pPr>
            <w:hyperlink r:id="rId18" w:history="1">
              <w:r w:rsidR="00C66DB1">
                <w:rPr>
                  <w:rStyle w:val="afb"/>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BB4A1E">
            <w:pPr>
              <w:jc w:val="left"/>
              <w:rPr>
                <w:rStyle w:val="afb"/>
                <w:color w:val="0000FF"/>
                <w:lang w:eastAsia="sv-SE"/>
              </w:rPr>
            </w:pPr>
            <w:hyperlink r:id="rId19" w:history="1">
              <w:r w:rsidR="00C66DB1">
                <w:rPr>
                  <w:rStyle w:val="afb"/>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BB4A1E">
            <w:pPr>
              <w:jc w:val="left"/>
              <w:rPr>
                <w:rStyle w:val="afb"/>
                <w:color w:val="0000FF"/>
                <w:lang w:eastAsia="sv-SE"/>
              </w:rPr>
            </w:pPr>
            <w:hyperlink r:id="rId20" w:history="1">
              <w:r w:rsidR="00C66DB1">
                <w:rPr>
                  <w:rStyle w:val="afb"/>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BB4A1E">
            <w:pPr>
              <w:jc w:val="left"/>
              <w:rPr>
                <w:rStyle w:val="afb"/>
                <w:color w:val="0000FF"/>
                <w:lang w:eastAsia="sv-SE"/>
              </w:rPr>
            </w:pPr>
            <w:hyperlink r:id="rId21" w:history="1">
              <w:r w:rsidR="00C66DB1">
                <w:rPr>
                  <w:rStyle w:val="afb"/>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BB4A1E">
            <w:pPr>
              <w:jc w:val="left"/>
              <w:rPr>
                <w:rStyle w:val="afb"/>
                <w:color w:val="0000FF"/>
                <w:lang w:eastAsia="sv-SE"/>
              </w:rPr>
            </w:pPr>
            <w:hyperlink r:id="rId22" w:history="1">
              <w:r w:rsidR="00C66DB1">
                <w:rPr>
                  <w:rStyle w:val="afb"/>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lastRenderedPageBreak/>
              <w:t>[11]</w:t>
            </w:r>
          </w:p>
        </w:tc>
        <w:tc>
          <w:tcPr>
            <w:tcW w:w="1456" w:type="dxa"/>
            <w:tcMar>
              <w:top w:w="0" w:type="dxa"/>
              <w:left w:w="70" w:type="dxa"/>
              <w:bottom w:w="0" w:type="dxa"/>
              <w:right w:w="70" w:type="dxa"/>
            </w:tcMar>
          </w:tcPr>
          <w:p w14:paraId="0188F470" w14:textId="77777777" w:rsidR="00AC4E6C" w:rsidRDefault="00BB4A1E">
            <w:pPr>
              <w:jc w:val="left"/>
              <w:rPr>
                <w:rStyle w:val="afb"/>
                <w:color w:val="0000FF"/>
                <w:lang w:eastAsia="sv-SE"/>
              </w:rPr>
            </w:pPr>
            <w:hyperlink r:id="rId23" w:history="1">
              <w:r w:rsidR="00C66DB1">
                <w:rPr>
                  <w:rStyle w:val="afb"/>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BB4A1E">
            <w:pPr>
              <w:jc w:val="left"/>
              <w:rPr>
                <w:rStyle w:val="afb"/>
                <w:color w:val="0000FF"/>
                <w:lang w:eastAsia="sv-SE"/>
              </w:rPr>
            </w:pPr>
            <w:hyperlink r:id="rId24" w:history="1">
              <w:r w:rsidR="00C66DB1">
                <w:rPr>
                  <w:rStyle w:val="afb"/>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BB4A1E">
            <w:pPr>
              <w:jc w:val="left"/>
              <w:rPr>
                <w:rStyle w:val="afb"/>
                <w:color w:val="0000FF"/>
                <w:lang w:eastAsia="sv-SE"/>
              </w:rPr>
            </w:pPr>
            <w:hyperlink r:id="rId25" w:history="1">
              <w:r w:rsidR="00C66DB1">
                <w:rPr>
                  <w:rStyle w:val="afb"/>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BB4A1E">
            <w:pPr>
              <w:jc w:val="left"/>
              <w:rPr>
                <w:rStyle w:val="afb"/>
                <w:color w:val="0000FF"/>
                <w:lang w:eastAsia="sv-SE"/>
              </w:rPr>
            </w:pPr>
            <w:hyperlink r:id="rId26" w:history="1">
              <w:r w:rsidR="00C66DB1">
                <w:rPr>
                  <w:rStyle w:val="afb"/>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BB4A1E">
            <w:pPr>
              <w:jc w:val="left"/>
              <w:rPr>
                <w:rStyle w:val="afb"/>
                <w:color w:val="0000FF"/>
                <w:lang w:eastAsia="sv-SE"/>
              </w:rPr>
            </w:pPr>
            <w:hyperlink r:id="rId27" w:history="1">
              <w:r w:rsidR="00C66DB1">
                <w:rPr>
                  <w:rStyle w:val="afb"/>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BB4A1E">
            <w:pPr>
              <w:jc w:val="left"/>
              <w:rPr>
                <w:rStyle w:val="afb"/>
                <w:color w:val="0000FF"/>
                <w:lang w:eastAsia="sv-SE"/>
              </w:rPr>
            </w:pPr>
            <w:hyperlink r:id="rId28" w:history="1">
              <w:r w:rsidR="00C66DB1">
                <w:rPr>
                  <w:rStyle w:val="afb"/>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BB4A1E">
            <w:pPr>
              <w:jc w:val="left"/>
              <w:rPr>
                <w:rStyle w:val="afb"/>
                <w:color w:val="0000FF"/>
                <w:lang w:eastAsia="sv-SE"/>
              </w:rPr>
            </w:pPr>
            <w:hyperlink r:id="rId29" w:history="1">
              <w:r w:rsidR="00C66DB1">
                <w:rPr>
                  <w:rStyle w:val="afb"/>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BB4A1E">
            <w:pPr>
              <w:jc w:val="left"/>
              <w:rPr>
                <w:rStyle w:val="afb"/>
                <w:color w:val="0000FF"/>
                <w:lang w:eastAsia="sv-SE"/>
              </w:rPr>
            </w:pPr>
            <w:hyperlink r:id="rId30" w:history="1">
              <w:r w:rsidR="00C66DB1">
                <w:rPr>
                  <w:rStyle w:val="afb"/>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BB4A1E">
            <w:pPr>
              <w:jc w:val="left"/>
              <w:rPr>
                <w:rStyle w:val="afb"/>
                <w:color w:val="0000FF"/>
                <w:lang w:eastAsia="sv-SE"/>
              </w:rPr>
            </w:pPr>
            <w:hyperlink r:id="rId31" w:history="1">
              <w:r w:rsidR="00C66DB1">
                <w:rPr>
                  <w:rStyle w:val="afb"/>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BB4A1E">
            <w:pPr>
              <w:jc w:val="left"/>
              <w:rPr>
                <w:rStyle w:val="afb"/>
                <w:color w:val="0000FF"/>
                <w:lang w:eastAsia="sv-SE"/>
              </w:rPr>
            </w:pPr>
            <w:hyperlink r:id="rId32" w:history="1">
              <w:r w:rsidR="00C66DB1">
                <w:rPr>
                  <w:rStyle w:val="afb"/>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BB4A1E">
            <w:pPr>
              <w:jc w:val="left"/>
              <w:rPr>
                <w:rStyle w:val="afb"/>
                <w:color w:val="0000FF"/>
                <w:lang w:eastAsia="sv-SE"/>
              </w:rPr>
            </w:pPr>
            <w:hyperlink r:id="rId33" w:history="1">
              <w:r w:rsidR="00C66DB1">
                <w:rPr>
                  <w:rStyle w:val="afb"/>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BB4A1E">
            <w:pPr>
              <w:jc w:val="left"/>
              <w:rPr>
                <w:rStyle w:val="afb"/>
                <w:color w:val="0000FF"/>
                <w:lang w:eastAsia="sv-SE"/>
              </w:rPr>
            </w:pPr>
            <w:hyperlink r:id="rId34" w:history="1">
              <w:r w:rsidR="00C66DB1">
                <w:rPr>
                  <w:rStyle w:val="afb"/>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BB4A1E">
            <w:pPr>
              <w:jc w:val="left"/>
              <w:rPr>
                <w:rStyle w:val="afb"/>
                <w:color w:val="0000FF"/>
                <w:lang w:eastAsia="sv-SE"/>
              </w:rPr>
            </w:pPr>
            <w:hyperlink r:id="rId35" w:history="1">
              <w:r w:rsidR="00C66DB1">
                <w:rPr>
                  <w:rStyle w:val="afb"/>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BB4A1E">
            <w:pPr>
              <w:jc w:val="left"/>
              <w:rPr>
                <w:rStyle w:val="afb"/>
                <w:color w:val="0000FF"/>
                <w:lang w:eastAsia="sv-SE"/>
              </w:rPr>
            </w:pPr>
            <w:hyperlink r:id="rId36" w:history="1">
              <w:r w:rsidR="00C66DB1">
                <w:rPr>
                  <w:rStyle w:val="afb"/>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BB4A1E">
            <w:pPr>
              <w:jc w:val="left"/>
              <w:rPr>
                <w:rStyle w:val="afb"/>
                <w:color w:val="0000FF"/>
                <w:lang w:eastAsia="sv-SE"/>
              </w:rPr>
            </w:pPr>
            <w:hyperlink r:id="rId37" w:history="1">
              <w:r w:rsidR="00C66DB1">
                <w:rPr>
                  <w:rStyle w:val="afb"/>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BB4A1E">
            <w:pPr>
              <w:jc w:val="left"/>
              <w:rPr>
                <w:rStyle w:val="afb"/>
                <w:color w:val="0000FF"/>
                <w:lang w:eastAsia="sv-SE"/>
              </w:rPr>
            </w:pPr>
            <w:hyperlink r:id="rId38" w:history="1">
              <w:r w:rsidR="00C66DB1">
                <w:rPr>
                  <w:rStyle w:val="afb"/>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BB4A1E">
            <w:pPr>
              <w:jc w:val="left"/>
              <w:rPr>
                <w:rStyle w:val="afb"/>
                <w:color w:val="0000FF"/>
                <w:lang w:eastAsia="sv-SE"/>
              </w:rPr>
            </w:pPr>
            <w:hyperlink r:id="rId39" w:history="1">
              <w:r w:rsidR="00C66DB1">
                <w:rPr>
                  <w:rStyle w:val="afb"/>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BB4A1E">
            <w:pPr>
              <w:jc w:val="left"/>
              <w:rPr>
                <w:rStyle w:val="afb"/>
                <w:color w:val="0000FF"/>
                <w:lang w:eastAsia="sv-SE"/>
              </w:rPr>
            </w:pPr>
            <w:hyperlink r:id="rId40" w:history="1">
              <w:r w:rsidR="00C66DB1">
                <w:rPr>
                  <w:rStyle w:val="afb"/>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BB4A1E">
            <w:pPr>
              <w:jc w:val="left"/>
              <w:rPr>
                <w:rStyle w:val="afb"/>
                <w:color w:val="0000FF"/>
                <w:lang w:eastAsia="sv-SE"/>
              </w:rPr>
            </w:pPr>
            <w:hyperlink r:id="rId41" w:history="1">
              <w:r w:rsidR="00C66DB1">
                <w:rPr>
                  <w:rStyle w:val="afb"/>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BB4A1E">
            <w:pPr>
              <w:jc w:val="left"/>
              <w:rPr>
                <w:rStyle w:val="afb"/>
                <w:color w:val="0000FF"/>
                <w:lang w:eastAsia="sv-SE"/>
              </w:rPr>
            </w:pPr>
            <w:hyperlink r:id="rId42" w:history="1">
              <w:r w:rsidR="00C66DB1">
                <w:rPr>
                  <w:rStyle w:val="afb"/>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BB4A1E">
            <w:pPr>
              <w:jc w:val="left"/>
              <w:rPr>
                <w:rStyle w:val="afb"/>
                <w:color w:val="0000FF"/>
                <w:lang w:eastAsia="sv-SE"/>
              </w:rPr>
            </w:pPr>
            <w:hyperlink r:id="rId43" w:history="1">
              <w:r w:rsidR="00C66DB1">
                <w:rPr>
                  <w:rStyle w:val="afb"/>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BB4A1E">
            <w:pPr>
              <w:jc w:val="left"/>
              <w:rPr>
                <w:rStyle w:val="afb"/>
                <w:color w:val="0000FF"/>
                <w:lang w:eastAsia="sv-SE"/>
              </w:rPr>
            </w:pPr>
            <w:hyperlink r:id="rId44" w:history="1">
              <w:r w:rsidR="00C66DB1">
                <w:rPr>
                  <w:rStyle w:val="afb"/>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BB4A1E">
            <w:pPr>
              <w:jc w:val="left"/>
              <w:rPr>
                <w:color w:val="000000"/>
                <w:lang w:val="en-US"/>
              </w:rPr>
            </w:pPr>
            <w:hyperlink r:id="rId45" w:history="1">
              <w:r w:rsidR="00C66DB1">
                <w:rPr>
                  <w:rStyle w:val="afb"/>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BB4A1E">
            <w:pPr>
              <w:jc w:val="left"/>
              <w:rPr>
                <w:color w:val="000000"/>
                <w:lang w:val="en-US"/>
              </w:rPr>
            </w:pPr>
            <w:hyperlink r:id="rId46" w:history="1">
              <w:r w:rsidR="00C66DB1">
                <w:rPr>
                  <w:rStyle w:val="afb"/>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BB4A1E">
            <w:pPr>
              <w:jc w:val="left"/>
              <w:rPr>
                <w:color w:val="000000"/>
                <w:lang w:val="en-US"/>
              </w:rPr>
            </w:pPr>
            <w:hyperlink r:id="rId47" w:history="1">
              <w:r w:rsidR="00C66DB1">
                <w:rPr>
                  <w:rStyle w:val="afb"/>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0188F4ED" w14:textId="77777777" w:rsidR="00AC4E6C" w:rsidRDefault="00BB4A1E">
            <w:pPr>
              <w:jc w:val="left"/>
              <w:rPr>
                <w:color w:val="000000"/>
                <w:lang w:val="en-US"/>
              </w:rPr>
            </w:pPr>
            <w:hyperlink r:id="rId48" w:history="1">
              <w:r w:rsidR="00C66DB1">
                <w:rPr>
                  <w:rStyle w:val="afb"/>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BB4A1E">
            <w:pPr>
              <w:jc w:val="left"/>
              <w:rPr>
                <w:color w:val="000000"/>
                <w:lang w:val="en-US"/>
              </w:rPr>
            </w:pPr>
            <w:hyperlink r:id="rId49" w:history="1">
              <w:r w:rsidR="00C66DB1">
                <w:rPr>
                  <w:rStyle w:val="afb"/>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BB4A1E">
            <w:pPr>
              <w:jc w:val="left"/>
              <w:rPr>
                <w:color w:val="000000"/>
                <w:lang w:val="en-US"/>
              </w:rPr>
            </w:pPr>
            <w:hyperlink r:id="rId50" w:history="1">
              <w:r w:rsidR="00C66DB1">
                <w:rPr>
                  <w:rStyle w:val="afb"/>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BB4A1E">
            <w:pPr>
              <w:jc w:val="left"/>
              <w:rPr>
                <w:color w:val="000000"/>
                <w:lang w:val="en-US"/>
              </w:rPr>
            </w:pPr>
            <w:hyperlink r:id="rId51" w:history="1">
              <w:r w:rsidR="00C66DB1">
                <w:rPr>
                  <w:rStyle w:val="afb"/>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BB4A1E">
            <w:pPr>
              <w:jc w:val="left"/>
              <w:rPr>
                <w:color w:val="000000"/>
                <w:lang w:val="en-US"/>
              </w:rPr>
            </w:pPr>
            <w:hyperlink r:id="rId52" w:history="1">
              <w:r w:rsidR="00C66DB1">
                <w:rPr>
                  <w:rStyle w:val="afb"/>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BB4A1E">
            <w:pPr>
              <w:jc w:val="left"/>
              <w:rPr>
                <w:color w:val="000000"/>
                <w:lang w:val="en-US"/>
              </w:rPr>
            </w:pPr>
            <w:hyperlink r:id="rId53" w:history="1">
              <w:r w:rsidR="00C66DB1">
                <w:rPr>
                  <w:rStyle w:val="afb"/>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BB4A1E">
            <w:pPr>
              <w:jc w:val="left"/>
              <w:rPr>
                <w:color w:val="000000"/>
                <w:lang w:val="en-US"/>
              </w:rPr>
            </w:pPr>
            <w:hyperlink r:id="rId54" w:history="1">
              <w:r w:rsidR="00C66DB1">
                <w:rPr>
                  <w:rStyle w:val="afb"/>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BB4A1E">
            <w:pPr>
              <w:jc w:val="left"/>
            </w:pPr>
            <w:hyperlink r:id="rId55" w:history="1">
              <w:r w:rsidR="00C66DB1">
                <w:rPr>
                  <w:rStyle w:val="afb"/>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BB4A1E">
            <w:pPr>
              <w:jc w:val="left"/>
            </w:pPr>
            <w:hyperlink r:id="rId56" w:history="1">
              <w:r w:rsidR="00C66DB1">
                <w:rPr>
                  <w:rStyle w:val="afb"/>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BB4A1E">
            <w:pPr>
              <w:jc w:val="left"/>
            </w:pPr>
            <w:hyperlink r:id="rId57" w:history="1">
              <w:r w:rsidR="00C66DB1">
                <w:rPr>
                  <w:rStyle w:val="afb"/>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BB4A1E">
            <w:pPr>
              <w:jc w:val="left"/>
            </w:pPr>
            <w:hyperlink r:id="rId58" w:history="1">
              <w:r w:rsidR="00C66DB1">
                <w:rPr>
                  <w:rStyle w:val="afb"/>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BB4A1E">
            <w:pPr>
              <w:jc w:val="left"/>
            </w:pPr>
            <w:hyperlink r:id="rId59" w:history="1">
              <w:r w:rsidR="00C66DB1">
                <w:rPr>
                  <w:rStyle w:val="afb"/>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BB4A1E">
            <w:pPr>
              <w:jc w:val="left"/>
            </w:pPr>
            <w:hyperlink r:id="rId60" w:history="1">
              <w:r w:rsidR="00C66DB1">
                <w:rPr>
                  <w:rStyle w:val="afb"/>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BB4A1E">
            <w:pPr>
              <w:jc w:val="left"/>
            </w:pPr>
            <w:hyperlink r:id="rId61" w:history="1">
              <w:r w:rsidR="00C66DB1">
                <w:rPr>
                  <w:rStyle w:val="afb"/>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BB4A1E">
            <w:pPr>
              <w:jc w:val="left"/>
            </w:pPr>
            <w:hyperlink r:id="rId62" w:history="1">
              <w:r w:rsidR="00C66DB1">
                <w:rPr>
                  <w:rStyle w:val="afb"/>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97CFA" w14:textId="77777777" w:rsidR="00BB4A1E" w:rsidRDefault="00BB4A1E">
      <w:pPr>
        <w:spacing w:line="240" w:lineRule="auto"/>
      </w:pPr>
      <w:r>
        <w:separator/>
      </w:r>
    </w:p>
  </w:endnote>
  <w:endnote w:type="continuationSeparator" w:id="0">
    <w:p w14:paraId="01DAC9F9" w14:textId="77777777" w:rsidR="00BB4A1E" w:rsidRDefault="00BB4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52856" w14:textId="77777777" w:rsidR="00BB4A1E" w:rsidRDefault="00BB4A1E">
      <w:pPr>
        <w:spacing w:after="0"/>
      </w:pPr>
      <w:r>
        <w:separator/>
      </w:r>
    </w:p>
  </w:footnote>
  <w:footnote w:type="continuationSeparator" w:id="0">
    <w:p w14:paraId="3FE5DCBC" w14:textId="77777777" w:rsidR="00BB4A1E" w:rsidRDefault="00BB4A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8E740"/>
  <w15:docId w15:val="{DA0CB4EB-60DA-4BA9-9E42-8C4E920C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011C4F8-3791-4B30-8F5A-30597838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59</Pages>
  <Words>21449</Words>
  <Characters>122263</Characters>
  <Application>Microsoft Office Word</Application>
  <DocSecurity>0</DocSecurity>
  <Lines>1018</Lines>
  <Paragraphs>286</Paragraphs>
  <ScaleCrop>false</ScaleCrop>
  <Company>Panasonic Corporation</Company>
  <LinksUpToDate>false</LinksUpToDate>
  <CharactersWithSpaces>143426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19</cp:revision>
  <dcterms:created xsi:type="dcterms:W3CDTF">2022-05-17T06:11:00Z</dcterms:created>
  <dcterms:modified xsi:type="dcterms:W3CDTF">2022-05-17T07:10:00Z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