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eRedCapComplexityFLS2-v002-CompanyA-CompanyB.docx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Y</w:t>
            </w:r>
          </w:p>
        </w:tc>
        <w:tc>
          <w:tcPr>
            <w:tcW w:w="6780" w:type="dxa"/>
          </w:tcPr>
          <w:p/>
        </w:tc>
      </w:tr>
    </w:tbl>
    <w:p>
      <w:pPr>
        <w:ind w:firstLine="284"/>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Spreadtrum</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Theme="minorEastAsia"/>
                <w:lang w:val="en-US" w:eastAsia="zh-CN"/>
              </w:rPr>
            </w:pPr>
            <w:r>
              <w:rPr>
                <w:rFonts w:hint="default" w:eastAsia="Malgun Gothic"/>
                <w:lang w:val="en-US" w:eastAsia="ko-KR"/>
              </w:rPr>
              <w:t>CMCC</w:t>
            </w:r>
          </w:p>
        </w:tc>
        <w:tc>
          <w:tcPr>
            <w:tcW w:w="1372" w:type="dxa"/>
            <w:vAlign w:val="top"/>
          </w:tcPr>
          <w:p>
            <w:pPr>
              <w:tabs>
                <w:tab w:val="left" w:pos="551"/>
              </w:tabs>
              <w:rPr>
                <w:rFonts w:hint="eastAsia" w:eastAsiaTheme="minorEastAsia"/>
                <w:lang w:val="en-US" w:eastAsia="zh-CN"/>
              </w:rPr>
            </w:pPr>
          </w:p>
        </w:tc>
        <w:tc>
          <w:tcPr>
            <w:tcW w:w="6780" w:type="dxa"/>
            <w:vAlign w:val="top"/>
          </w:tcPr>
          <w:p>
            <w:pPr>
              <w:rPr>
                <w:rFonts w:hint="default" w:eastAsia="Malgun Gothic"/>
                <w:lang w:val="en-US" w:eastAsia="ko-KR"/>
              </w:rPr>
            </w:pPr>
            <w:r>
              <w:rPr>
                <w:rFonts w:hint="default" w:eastAsia="Malgun Gothic"/>
                <w:lang w:val="en-US" w:eastAsia="ko-KR"/>
              </w:rPr>
              <w:t>We want to know whether the “network deployment” impact includes the network overhead analysis.</w:t>
            </w:r>
          </w:p>
          <w:p>
            <w:pPr>
              <w:rPr>
                <w:rFonts w:eastAsia="Malgun Gothic"/>
                <w:lang w:val="en-US" w:eastAsia="ko-KR"/>
              </w:rPr>
            </w:pPr>
            <w:r>
              <w:rPr>
                <w:rFonts w:hint="default"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1" w:name="_Toc101519368"/>
      <w:r>
        <w:rPr>
          <w:rFonts w:ascii="Arial" w:hAnsi="Arial" w:eastAsia="Times New Roman"/>
          <w:sz w:val="32"/>
        </w:rPr>
        <w:t>Further UE bandwidth reduction</w:t>
      </w:r>
      <w:bookmarkEnd w:id="11"/>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1"/>
              </w:numPr>
              <w:ind w:right="-99"/>
              <w:rPr>
                <w:lang w:eastAsia="ja-JP"/>
              </w:rPr>
            </w:pPr>
            <w:r>
              <w:rPr>
                <w:lang w:eastAsia="ja-JP"/>
              </w:rPr>
              <w:t>Potential solutions, which may complement each other, for reducing device complexity are focusing on:</w:t>
            </w:r>
          </w:p>
          <w:p>
            <w:pPr>
              <w:numPr>
                <w:ilvl w:val="2"/>
                <w:numId w:val="21"/>
              </w:numPr>
              <w:ind w:right="-99"/>
              <w:rPr>
                <w:lang w:eastAsia="ja-JP"/>
              </w:rPr>
            </w:pPr>
            <w:r>
              <w:rPr>
                <w:highlight w:val="cyan"/>
                <w:lang w:eastAsia="ja-JP"/>
              </w:rPr>
              <w:t>UE bandwidth reduction to 5MHz in FR1</w:t>
            </w:r>
            <w:r>
              <w:rPr>
                <w:lang w:eastAsia="ja-JP"/>
              </w:rPr>
              <w:t>,</w:t>
            </w:r>
          </w:p>
          <w:p>
            <w:pPr>
              <w:numPr>
                <w:ilvl w:val="3"/>
                <w:numId w:val="21"/>
              </w:numPr>
              <w:ind w:right="-99"/>
              <w:rPr>
                <w:lang w:eastAsia="ja-JP"/>
              </w:rPr>
            </w:pPr>
            <w:r>
              <w:rPr>
                <w:lang w:eastAsia="ja-JP"/>
              </w:rPr>
              <w:t>Possibly in combination with relaxed UE processing timeline for PDSCH and/or PUSCH and/or CSI</w:t>
            </w:r>
          </w:p>
          <w:p>
            <w:pPr>
              <w:numPr>
                <w:ilvl w:val="2"/>
                <w:numId w:val="21"/>
              </w:numPr>
              <w:ind w:right="-99"/>
              <w:rPr>
                <w:lang w:eastAsia="ja-JP"/>
              </w:rPr>
            </w:pPr>
            <w:r>
              <w:rPr>
                <w:highlight w:val="yellow"/>
                <w:lang w:eastAsia="ja-JP"/>
              </w:rPr>
              <w:t>reduced UE peak data rate</w:t>
            </w:r>
            <w:r>
              <w:rPr>
                <w:lang w:eastAsia="ja-JP"/>
              </w:rPr>
              <w:t xml:space="preserve"> in FR1, </w:t>
            </w:r>
          </w:p>
          <w:p>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6"/>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26"/>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6"/>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Panasonic</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2"/>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2"/>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2"/>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rPr>
                <w:rFonts w:eastAsiaTheme="minorEastAsia"/>
                <w:lang w:val="en-US" w:eastAsia="zh-CN"/>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27"/>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27"/>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27"/>
              </w:numPr>
              <w:ind w:right="-99"/>
              <w:jc w:val="left"/>
              <w:rPr>
                <w:lang w:val="en-US" w:eastAsia="zh-CN"/>
              </w:rPr>
            </w:pPr>
            <w:r>
              <w:rPr>
                <w:rFonts w:eastAsia="等线"/>
                <w:lang w:val="en-US" w:eastAsia="zh-CN" w:bidi="ar"/>
              </w:rPr>
              <w:t>PUSCH hopping can be performed within 20MHz bandwidth</w:t>
            </w:r>
          </w:p>
          <w:p>
            <w:pPr>
              <w:numPr>
                <w:ilvl w:val="0"/>
                <w:numId w:val="27"/>
              </w:numPr>
              <w:ind w:right="-99"/>
              <w:jc w:val="left"/>
              <w:rPr>
                <w:lang w:val="en-US" w:eastAsia="zh-CN"/>
              </w:rPr>
            </w:pPr>
            <w:r>
              <w:rPr>
                <w:rFonts w:eastAsia="等线"/>
                <w:lang w:val="en-US" w:eastAsia="zh-CN" w:bidi="ar"/>
              </w:rPr>
              <w:t>PDSCH resource can be assigned in non-continuous RBGs</w:t>
            </w:r>
          </w:p>
          <w:p>
            <w:pPr>
              <w:numPr>
                <w:ilvl w:val="0"/>
                <w:numId w:val="27"/>
              </w:numPr>
              <w:ind w:right="-99"/>
              <w:jc w:val="left"/>
              <w:rPr>
                <w:lang w:val="en-US" w:eastAsia="zh-CN"/>
              </w:rPr>
            </w:pPr>
            <w:r>
              <w:rPr>
                <w:rFonts w:eastAsia="等线"/>
                <w:lang w:val="en-US" w:eastAsia="zh-CN" w:bidi="ar"/>
              </w:rPr>
              <w:t>SSB, PDCCH, CSI-RS, PTRS, PRS can be received within 20MHz bandwidth</w:t>
            </w:r>
          </w:p>
          <w:p>
            <w:pPr>
              <w:numPr>
                <w:ilvl w:val="0"/>
                <w:numId w:val="27"/>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8"/>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8"/>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Spreadtrum</w:t>
            </w:r>
          </w:p>
        </w:tc>
        <w:tc>
          <w:tcPr>
            <w:tcW w:w="1583" w:type="dxa"/>
          </w:tcPr>
          <w:p>
            <w:pPr>
              <w:tabs>
                <w:tab w:val="left" w:pos="551"/>
              </w:tabs>
              <w:rPr>
                <w:rFonts w:eastAsia="Malgun Gothic"/>
                <w:lang w:val="en-US" w:eastAsia="ko-KR"/>
              </w:rPr>
            </w:pPr>
            <w:r>
              <w:rPr>
                <w:rFonts w:hint="eastAsia"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583" w:type="dxa"/>
          </w:tcPr>
          <w:p>
            <w:pPr>
              <w:tabs>
                <w:tab w:val="left" w:pos="551"/>
              </w:tabs>
              <w:rPr>
                <w:rFonts w:hint="default" w:eastAsiaTheme="minorEastAsia"/>
                <w:lang w:val="en-US" w:eastAsia="zh-CN"/>
              </w:rPr>
            </w:pPr>
            <w:r>
              <w:rPr>
                <w:rFonts w:hint="default" w:eastAsiaTheme="minorEastAsia"/>
                <w:lang w:val="en-US" w:eastAsia="zh-CN"/>
              </w:rPr>
              <w:t>Y</w:t>
            </w:r>
          </w:p>
        </w:tc>
        <w:tc>
          <w:tcPr>
            <w:tcW w:w="6569" w:type="dxa"/>
          </w:tcPr>
          <w:p>
            <w:pPr>
              <w:rPr>
                <w:rFonts w:eastAsia="Malgun Gothic"/>
                <w:lang w:val="en-US" w:eastAsia="ko-KR"/>
              </w:rPr>
            </w:pPr>
          </w:p>
        </w:tc>
      </w:tr>
    </w:tbl>
    <w:p>
      <w:pPr>
        <w:rPr>
          <w:lang w:val="en-US"/>
        </w:rPr>
      </w:pP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Regarding ‘asymmetric BB/RF reduction between idle/connected mode’, it seems the proponent is assuming a quite flexible architecture to share the capability of different compo</w:t>
            </w:r>
            <w:bookmarkStart w:id="20" w:name="_GoBack"/>
            <w:bookmarkEnd w:id="20"/>
            <w:r>
              <w:rPr>
                <w:rFonts w:eastAsiaTheme="minorEastAsia"/>
                <w:lang w:val="en-US" w:eastAsia="zh-CN"/>
              </w:rPr>
              <w:t xml:space="preserve">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v</m:t>
            </m:r>
            <m:ctrlPr>
              <w:rPr>
                <w:rFonts w:ascii="Cambria Math" w:hAnsi="Cambria Math" w:cs="Arial"/>
                <w:i/>
                <w:iCs/>
                <w:sz w:val="20"/>
                <w:szCs w:val="16"/>
              </w:rPr>
            </m:ctrlPr>
          </m:e>
          <m:sub>
            <m:r>
              <m:rP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m:rP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Q</m:t>
            </m:r>
            <m:ctrlPr>
              <w:rPr>
                <w:rFonts w:ascii="Cambria Math" w:hAnsi="Cambria Math" w:cs="Arial"/>
                <w:i/>
                <w:iCs/>
                <w:sz w:val="20"/>
                <w:szCs w:val="16"/>
              </w:rPr>
            </m:ctrlPr>
          </m:e>
          <m:sub>
            <m:r>
              <m:rP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p>
          <m:sSupPr>
            <m:ctrlPr>
              <w:rPr>
                <w:rFonts w:ascii="Cambria Math" w:hAnsi="Cambria Math" w:cs="Arial"/>
                <w:iCs/>
                <w:sz w:val="20"/>
                <w:szCs w:val="16"/>
              </w:rPr>
            </m:ctrlPr>
          </m:sSupPr>
          <m:e>
            <m:r>
              <m:rP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m:rP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6"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3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3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3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m:rPr/>
                <w:rPr>
                  <w:rFonts w:ascii="Cambria Math" w:hAnsi="Cambria Math"/>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8"/>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8"/>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default" w:eastAsiaTheme="minorEastAsia"/>
                <w:lang w:val="en-US" w:eastAsia="zh-CN"/>
              </w:rPr>
            </w:pPr>
            <w:r>
              <w:rPr>
                <w:rFonts w:hint="default" w:eastAsiaTheme="minorEastAsia"/>
                <w:lang w:val="en-US" w:eastAsia="zh-CN"/>
              </w:rPr>
              <w:t>CMCC</w:t>
            </w:r>
          </w:p>
        </w:tc>
        <w:tc>
          <w:tcPr>
            <w:tcW w:w="1745" w:type="dxa"/>
          </w:tcPr>
          <w:p>
            <w:pPr>
              <w:tabs>
                <w:tab w:val="left" w:pos="551"/>
              </w:tabs>
              <w:rPr>
                <w:rFonts w:hint="default" w:eastAsiaTheme="minorEastAsia"/>
                <w:lang w:val="en-US" w:eastAsia="zh-CN"/>
              </w:rPr>
            </w:pPr>
            <w:r>
              <w:rPr>
                <w:rFonts w:hint="default" w:eastAsiaTheme="minorEastAsia"/>
                <w:lang w:val="en-US" w:eastAsia="zh-CN"/>
              </w:rPr>
              <w:t>Y</w:t>
            </w:r>
          </w:p>
        </w:tc>
        <w:tc>
          <w:tcPr>
            <w:tcW w:w="6415" w:type="dxa"/>
          </w:tc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default" w:eastAsiaTheme="minorEastAsia"/>
                <w:lang w:val="en-US" w:eastAsia="zh-CN"/>
              </w:rPr>
            </w:pPr>
            <w:r>
              <w:rPr>
                <w:rFonts w:hint="default" w:eastAsiaTheme="minorEastAsia"/>
                <w:lang w:val="en-US" w:eastAsia="zh-CN"/>
              </w:rPr>
              <w:t>CMCC</w:t>
            </w:r>
          </w:p>
        </w:tc>
        <w:tc>
          <w:tcPr>
            <w:tcW w:w="1501" w:type="dxa"/>
          </w:tcPr>
          <w:p>
            <w:pPr>
              <w:tabs>
                <w:tab w:val="left" w:pos="551"/>
              </w:tabs>
              <w:rPr>
                <w:rFonts w:hint="default" w:eastAsiaTheme="minorEastAsia"/>
                <w:lang w:val="en-US" w:eastAsia="zh-CN"/>
              </w:rPr>
            </w:pPr>
            <w:r>
              <w:rPr>
                <w:rFonts w:hint="default" w:eastAsiaTheme="minorEastAsia"/>
                <w:lang w:val="en-US" w:eastAsia="zh-CN"/>
              </w:rPr>
              <w:t>Y</w:t>
            </w:r>
          </w:p>
        </w:tc>
        <w:tc>
          <w:tcPr>
            <w:tcW w:w="6659" w:type="dxa"/>
          </w:tcPr>
          <w:p>
            <w:pPr>
              <w:rPr>
                <w:rFonts w:eastAsia="Malgun Gothic"/>
                <w:lang w:val="en-US" w:eastAsia="ko-KR"/>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eastAsiaTheme="minorEastAsia"/>
                <w:lang w:eastAsia="zh-CN"/>
              </w:rPr>
            </w:pPr>
            <w:r>
              <w:rPr>
                <w:rFonts w:hint="default"/>
                <w:lang w:val="en-US"/>
              </w:rPr>
              <w:t>CMCC</w:t>
            </w:r>
          </w:p>
        </w:tc>
        <w:tc>
          <w:tcPr>
            <w:tcW w:w="1501" w:type="dxa"/>
            <w:vAlign w:val="top"/>
          </w:tcPr>
          <w:p>
            <w:pPr>
              <w:tabs>
                <w:tab w:val="left" w:pos="551"/>
              </w:tabs>
              <w:jc w:val="left"/>
              <w:rPr>
                <w:rFonts w:hint="eastAsia" w:eastAsiaTheme="minorEastAsia"/>
                <w:lang w:val="en-US" w:eastAsia="zh-CN"/>
              </w:rPr>
            </w:pPr>
          </w:p>
        </w:tc>
        <w:tc>
          <w:tcPr>
            <w:tcW w:w="6659" w:type="dxa"/>
            <w:vAlign w:val="top"/>
          </w:tcPr>
          <w:p>
            <w:pPr>
              <w:rPr>
                <w:rFonts w:eastAsiaTheme="minorEastAsia"/>
                <w:lang w:val="en-US" w:eastAsia="zh-CN"/>
              </w:rPr>
            </w:pPr>
            <w:r>
              <w:rPr>
                <w:rFonts w:hint="default"/>
                <w:lang w:val="en-US"/>
              </w:rPr>
              <w:t>We are open to study both if differences are justified.</w:t>
            </w: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eastAsiaTheme="minorEastAsia"/>
                <w:lang w:eastAsia="zh-CN"/>
              </w:rPr>
            </w:pPr>
            <w:r>
              <w:rPr>
                <w:rFonts w:hint="default"/>
                <w:lang w:val="en-US"/>
              </w:rPr>
              <w:t>CMCC</w:t>
            </w:r>
          </w:p>
        </w:tc>
        <w:tc>
          <w:tcPr>
            <w:tcW w:w="1501" w:type="dxa"/>
            <w:vAlign w:val="top"/>
          </w:tcPr>
          <w:p>
            <w:pPr>
              <w:tabs>
                <w:tab w:val="left" w:pos="551"/>
              </w:tabs>
              <w:jc w:val="left"/>
              <w:rPr>
                <w:rFonts w:hint="eastAsia" w:eastAsiaTheme="minorEastAsia"/>
                <w:lang w:eastAsia="zh-CN"/>
              </w:rPr>
            </w:pPr>
            <w:r>
              <w:rPr>
                <w:rFonts w:hint="default"/>
                <w:lang w:val="en-US"/>
              </w:rPr>
              <w:t>N</w:t>
            </w:r>
          </w:p>
        </w:tc>
        <w:tc>
          <w:tcPr>
            <w:tcW w:w="6659" w:type="dxa"/>
            <w:vAlign w:val="top"/>
          </w:tcPr>
          <w:p>
            <w:pPr>
              <w:rPr>
                <w:rFonts w:eastAsiaTheme="minorEastAsia"/>
                <w:lang w:val="en-US" w:eastAsia="zh-CN"/>
              </w:rPr>
            </w:pPr>
            <w:r>
              <w:rPr>
                <w:rFonts w:hint="default" w:eastAsiaTheme="minorEastAsia"/>
                <w:lang w:val="en-US" w:eastAsia="zh-CN"/>
              </w:rPr>
              <w:t>According the previous comments, there may be different frequency allocation limitations for PR3 and BW3. Both can be analyzed or evaluated for further possible down selection.</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Theme="minorEastAsia"/>
                <w:lang w:val="en-US" w:eastAsia="zh-CN"/>
              </w:rPr>
              <w:t>CMCC</w:t>
            </w:r>
          </w:p>
        </w:tc>
        <w:tc>
          <w:tcPr>
            <w:tcW w:w="1501" w:type="dxa"/>
            <w:vAlign w:val="top"/>
          </w:tcPr>
          <w:p>
            <w:pPr>
              <w:tabs>
                <w:tab w:val="left" w:pos="551"/>
              </w:tabs>
              <w:jc w:val="left"/>
              <w:rPr>
                <w:rFonts w:eastAsiaTheme="minorEastAsia"/>
                <w:lang w:val="en-US" w:eastAsia="zh-CN"/>
              </w:rPr>
            </w:pPr>
            <w:r>
              <w:rPr>
                <w:rFonts w:hint="default" w:eastAsiaTheme="minorEastAsia"/>
                <w:lang w:val="en-US" w:eastAsia="zh-CN"/>
              </w:rPr>
              <w:t>Y</w:t>
            </w:r>
          </w:p>
        </w:tc>
        <w:tc>
          <w:tcPr>
            <w:tcW w:w="6659" w:type="dxa"/>
            <w:vAlign w:val="top"/>
          </w:tcPr>
          <w:p>
            <w:pPr>
              <w:rPr>
                <w:rFonts w:eastAsiaTheme="minorEastAsia"/>
                <w:lang w:val="en-US" w:eastAsia="zh-CN"/>
              </w:rPr>
            </w:pPr>
            <w:r>
              <w:rPr>
                <w:rFonts w:hint="default" w:eastAsiaTheme="minorEastAsia"/>
                <w:lang w:val="en-US" w:eastAsia="zh-CN"/>
              </w:rPr>
              <w:t>To make clear difference between PR3 and PR2, it may be better to always limit the PRB number.</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Theme="minorEastAsia"/>
                <w:lang w:val="en-US" w:eastAsia="zh-CN"/>
              </w:rPr>
              <w:t>CMCC</w:t>
            </w:r>
          </w:p>
        </w:tc>
        <w:tc>
          <w:tcPr>
            <w:tcW w:w="1501" w:type="dxa"/>
            <w:vAlign w:val="top"/>
          </w:tcPr>
          <w:p>
            <w:pPr>
              <w:tabs>
                <w:tab w:val="left" w:pos="551"/>
              </w:tabs>
              <w:jc w:val="left"/>
              <w:rPr>
                <w:rFonts w:eastAsiaTheme="minorEastAsia"/>
                <w:lang w:val="en-US" w:eastAsia="zh-CN"/>
              </w:rPr>
            </w:pPr>
            <w:r>
              <w:rPr>
                <w:rFonts w:hint="default" w:eastAsiaTheme="minorEastAsia"/>
                <w:lang w:val="en-US" w:eastAsia="zh-CN"/>
              </w:rPr>
              <w:t>N</w:t>
            </w:r>
          </w:p>
        </w:tc>
        <w:tc>
          <w:tcPr>
            <w:tcW w:w="6659" w:type="dxa"/>
            <w:vAlign w:val="top"/>
          </w:tcPr>
          <w:p>
            <w:pPr>
              <w:rPr>
                <w:rFonts w:hint="default" w:eastAsiaTheme="minorEastAsia"/>
                <w:lang w:val="en-US" w:eastAsia="zh-CN"/>
              </w:rPr>
            </w:pPr>
            <w:r>
              <w:rPr>
                <w:rFonts w:hint="default" w:eastAsiaTheme="minorEastAsia"/>
                <w:lang w:val="en-US" w:eastAsia="zh-CN"/>
              </w:rPr>
              <w:t>In R17, reduced UL modulation order has been studied and it is not introduced during WI.</w:t>
            </w:r>
          </w:p>
          <w:p>
            <w:pPr>
              <w:rPr>
                <w:rFonts w:eastAsiaTheme="minorEastAsia"/>
                <w:lang w:val="en-US" w:eastAsia="zh-CN"/>
              </w:rPr>
            </w:pPr>
            <w:r>
              <w:rPr>
                <w:rFonts w:hint="default"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jc w:val="left"/>
              <w:rPr>
                <w:b/>
                <w:bCs/>
                <w:lang w:val="en-US"/>
              </w:rPr>
            </w:pPr>
            <w:r>
              <w:rPr>
                <w:rFonts w:eastAsia="Yu Mincho"/>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3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3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bl>
    <w:p>
      <w:pPr>
        <w:rPr>
          <w:lang w:val="en-US"/>
        </w:rPr>
      </w:pPr>
    </w:p>
    <w:p>
      <w:r>
        <w:t>While the exact sets of combination of techniques depend on the outcome of previous sections regarding the adopted options for evaluations, the two main sets of combinations are as follows:</w:t>
      </w:r>
    </w:p>
    <w:p>
      <w:pPr>
        <w:pStyle w:val="49"/>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0" w:type="dxa"/>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36"/>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36"/>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37"/>
        </w:numPr>
        <w:rPr>
          <w:sz w:val="20"/>
          <w:szCs w:val="22"/>
          <w:lang w:val="en-US"/>
        </w:rPr>
      </w:pPr>
      <w:r>
        <w:rPr>
          <w:sz w:val="20"/>
          <w:szCs w:val="22"/>
          <w:lang w:val="en-US"/>
        </w:rPr>
        <w:t>HD-FDD complexity reduction [31, 32, 35]</w:t>
      </w:r>
    </w:p>
    <w:p>
      <w:pPr>
        <w:pStyle w:val="49"/>
        <w:numPr>
          <w:ilvl w:val="0"/>
          <w:numId w:val="37"/>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We support to study all 3 additional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p>
        </w:tc>
        <w:tc>
          <w:tcPr>
            <w:tcW w:w="6780"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r>
              <w:rPr>
                <w:rFonts w:hint="default"/>
                <w:lang w:val="en-US"/>
              </w:rPr>
              <w:t>CMCC</w:t>
            </w:r>
          </w:p>
        </w:tc>
        <w:tc>
          <w:tcPr>
            <w:tcW w:w="1372" w:type="dxa"/>
            <w:vAlign w:val="top"/>
          </w:tcPr>
          <w:p>
            <w:pPr>
              <w:tabs>
                <w:tab w:val="left" w:pos="551"/>
              </w:tabs>
              <w:rPr>
                <w:rFonts w:eastAsiaTheme="minorEastAsia"/>
                <w:lang w:val="en-US" w:eastAsia="zh-CN"/>
              </w:rPr>
            </w:pPr>
          </w:p>
        </w:tc>
        <w:tc>
          <w:tcPr>
            <w:tcW w:w="6780" w:type="dxa"/>
            <w:vAlign w:val="top"/>
          </w:tcPr>
          <w:p>
            <w:r>
              <w:rPr>
                <w:rFonts w:hint="default"/>
                <w:lang w:val="en-US"/>
              </w:rPr>
              <w:t>Since they are not listed explicitly as BW reduction and peak date rate in the SID, they may have lower priority. However, we are open to study them if the cost reduction gain is justified.</w:t>
            </w:r>
          </w:p>
        </w:tc>
      </w:tr>
    </w:tbl>
    <w:p>
      <w:pPr>
        <w:tabs>
          <w:tab w:val="left" w:pos="5510"/>
        </w:tabs>
        <w:rPr>
          <w:lang w:val="en-US"/>
        </w:rPr>
      </w:pPr>
      <w:r>
        <w:rPr>
          <w:lang w:val="en-US"/>
        </w:rPr>
        <w:tab/>
      </w:r>
    </w:p>
    <w:p>
      <w:pPr>
        <w:pStyle w:val="2"/>
        <w:numPr>
          <w:ilvl w:val="0"/>
          <w:numId w:val="0"/>
        </w:numPr>
        <w:ind w:left="432" w:hanging="432"/>
        <w:rPr>
          <w:lang w:val="en-US"/>
        </w:rPr>
      </w:pPr>
      <w:r>
        <w:rPr>
          <w:lang w:val="en-US"/>
        </w:rPr>
        <w:t>References</w:t>
      </w:r>
    </w:p>
    <w:bookmarkEnd w:id="19"/>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5"/>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6"/>
  </w:num>
  <w:num w:numId="32">
    <w:abstractNumId w:val="33"/>
  </w:num>
  <w:num w:numId="33">
    <w:abstractNumId w:val="24"/>
  </w:num>
  <w:num w:numId="34">
    <w:abstractNumId w:val="5"/>
  </w:num>
  <w:num w:numId="35">
    <w:abstractNumId w:val="6"/>
  </w:num>
  <w:num w:numId="36">
    <w:abstractNumId w:val="38"/>
  </w:num>
  <w:num w:numId="37">
    <w:abstractNumId w:val="37"/>
  </w:num>
  <w:num w:numId="38">
    <w:abstractNumId w:val="1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eastAsia="en-US"/>
    </w:rPr>
  </w:style>
  <w:style w:type="character" w:customStyle="1" w:styleId="48">
    <w:name w:val="列出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C3337-0484-48D5-8155-2CC01FFF1257}">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3ADA918-949F-4A00-9C8D-5F76CE273424}">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43</Pages>
  <Words>16488</Words>
  <Characters>93986</Characters>
  <Lines>783</Lines>
  <Paragraphs>220</Paragraphs>
  <TotalTime>2</TotalTime>
  <ScaleCrop>false</ScaleCrop>
  <LinksUpToDate>false</LinksUpToDate>
  <CharactersWithSpaces>110254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2022-05-16T02:52:00Z</dcterms:created>
  <dc:creator>Johan Bergman</dc:creator>
  <cp:lastModifiedBy>狐狸姐</cp:lastModifiedBy>
  <dcterms:modified xsi:type="dcterms:W3CDTF">2022-05-16T04:12:23Z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