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Debdeep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r>
              <w:rPr>
                <w:rFonts w:eastAsiaTheme="minorEastAsia"/>
              </w:rPr>
              <w:t>Huaming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of sidelink positioning, we suggest to put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Evaluation methodology of sidelink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assumation and use A.1 for sidelink </w:t>
            </w:r>
            <w:r w:rsidR="001B6596" w:rsidRPr="005F5FA1">
              <w:lastRenderedPageBreak/>
              <w:t xml:space="preserve">positioning, A.2 for </w:t>
            </w:r>
            <w:r w:rsidR="001157E0" w:rsidRPr="005F5FA1">
              <w:t>PRS/SRS aggregation, A.3 for carrier phase, A.4 for LPHA</w:t>
            </w:r>
            <w:r w:rsidR="001A619C" w:rsidRPr="005F5FA1">
              <w:t xml:space="preserve">P, A.5 for RedCap.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lastRenderedPageBreak/>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Solutions for Sidelink Positioning</w:t>
            </w:r>
          </w:p>
          <w:p w14:paraId="694F35A6" w14:textId="77777777" w:rsidR="00EE4FA0" w:rsidRDefault="00EE4FA0" w:rsidP="00EE4FA0">
            <w:pPr>
              <w:pStyle w:val="Heading2"/>
              <w:outlineLvl w:val="1"/>
            </w:pPr>
            <w:bookmarkStart w:id="2" w:name="_Toc101407679"/>
          </w:p>
          <w:p w14:paraId="1ECA1EF6" w14:textId="77777777" w:rsidR="00EE4FA0" w:rsidRPr="002C3B43" w:rsidRDefault="00EE4FA0" w:rsidP="00EE4FA0">
            <w:pPr>
              <w:pStyle w:val="Heading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Heading2"/>
              <w:outlineLvl w:val="1"/>
            </w:pPr>
            <w:r>
              <w:t>5</w:t>
            </w:r>
            <w:r w:rsidRPr="004D3578">
              <w:t>.</w:t>
            </w:r>
            <w:r>
              <w:t>4</w:t>
            </w:r>
            <w:r w:rsidRPr="004D3578">
              <w:tab/>
            </w:r>
            <w:r>
              <w:t>Summary of Sidelink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proofErr w:type="gramStart"/>
            <w:r>
              <w:t>Current Sec</w:t>
            </w:r>
            <w:r w:rsidR="003809BF">
              <w:t>.</w:t>
            </w:r>
            <w:r>
              <w:t xml:space="preserve"> 6 title,</w:t>
            </w:r>
            <w:proofErr w:type="gramEnd"/>
            <w:r>
              <w:t xml:space="preserv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(Uu)</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3"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3"/>
    </w:p>
    <w:p w14:paraId="194FAB41" w14:textId="0929ED72" w:rsidR="000A4CAB" w:rsidRPr="0059163E" w:rsidRDefault="00853842" w:rsidP="00853842">
      <w:pPr>
        <w:widowControl w:val="0"/>
        <w:numPr>
          <w:ilvl w:val="0"/>
          <w:numId w:val="2"/>
        </w:numPr>
        <w:overflowPunct w:val="0"/>
        <w:snapToGrid/>
        <w:rPr>
          <w:lang w:eastAsia="x-none"/>
        </w:rPr>
      </w:pPr>
      <w:bookmarkStart w:id="4" w:name="_Ref102941782"/>
      <w:bookmarkStart w:id="5"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4"/>
      <w:r>
        <w:rPr>
          <w:lang w:eastAsia="x-none"/>
        </w:rPr>
        <w:t>.</w:t>
      </w:r>
      <w:bookmarkEnd w:id="5"/>
    </w:p>
    <w:sectPr w:rsidR="000A4CAB" w:rsidRPr="005916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12C3" w14:textId="77777777" w:rsidR="00230278" w:rsidRDefault="00230278" w:rsidP="004C0876">
      <w:pPr>
        <w:spacing w:after="0"/>
      </w:pPr>
      <w:r>
        <w:separator/>
      </w:r>
    </w:p>
  </w:endnote>
  <w:endnote w:type="continuationSeparator" w:id="0">
    <w:p w14:paraId="2FCBDCB6" w14:textId="77777777" w:rsidR="00230278" w:rsidRDefault="00230278"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ED39" w14:textId="77777777" w:rsidR="00EE4FA0" w:rsidRDefault="00EE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098266B"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54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494">
              <w:rPr>
                <w:b/>
                <w:bCs/>
                <w:noProof/>
              </w:rPr>
              <w:t>3</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B0A4" w14:textId="77777777" w:rsidR="00EE4FA0" w:rsidRDefault="00EE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F960" w14:textId="77777777" w:rsidR="00230278" w:rsidRDefault="00230278" w:rsidP="004C0876">
      <w:pPr>
        <w:spacing w:after="0"/>
      </w:pPr>
      <w:r>
        <w:separator/>
      </w:r>
    </w:p>
  </w:footnote>
  <w:footnote w:type="continuationSeparator" w:id="0">
    <w:p w14:paraId="4B0E7179" w14:textId="77777777" w:rsidR="00230278" w:rsidRDefault="00230278"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68B1" w14:textId="77777777" w:rsidR="00EE4FA0" w:rsidRDefault="00EE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1EC" w14:textId="77777777" w:rsidR="00EE4FA0" w:rsidRDefault="00EE4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E1AD" w14:textId="77777777" w:rsidR="00EE4FA0" w:rsidRDefault="00EE4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3EAE0469-10B8-4FCE-A1C6-06C4137BE627}">
  <ds:schemaRefs>
    <ds:schemaRef ds:uri="http://schemas.openxmlformats.org/officeDocument/2006/bibliography"/>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Lenovo (Robin)</cp:lastModifiedBy>
  <cp:revision>3</cp:revision>
  <dcterms:created xsi:type="dcterms:W3CDTF">2022-05-10T20:34:00Z</dcterms:created>
  <dcterms:modified xsi:type="dcterms:W3CDTF">2022-05-10T20:45:00Z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