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r>
              <w:rPr>
                <w:rFonts w:hint="eastAsia"/>
              </w:rPr>
              <w:t>Z</w:t>
            </w:r>
            <w:r>
              <w:t>hihua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Thomas Novlan</w:t>
            </w:r>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r>
              <w:t>Baoling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r>
              <w:rPr>
                <w:rFonts w:hint="eastAsia"/>
                <w:lang w:eastAsia="ko-KR"/>
              </w:rPr>
              <w:t>SeongWon Go</w:t>
            </w:r>
          </w:p>
          <w:p w14:paraId="05455E80"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Henrik Ryden</w:t>
            </w:r>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r>
              <w:t>Keeth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6BD32309"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305B8658"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r>
        <w:t>In order to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Set B is a sub set of Set A.</w:t>
      </w:r>
    </w:p>
    <w:p w14:paraId="6AD55D12"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CATT [5], vivo [6], DOCOMO[19],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r>
        <w:rPr>
          <w:sz w:val="18"/>
          <w:szCs w:val="18"/>
        </w:rPr>
        <w:t>ZTE[2],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r>
        <w:rPr>
          <w:sz w:val="18"/>
          <w:szCs w:val="18"/>
        </w:rPr>
        <w:t>Panasonic[13],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r>
        <w:rPr>
          <w:sz w:val="18"/>
          <w:szCs w:val="18"/>
        </w:rPr>
        <w:t>Panasonic[13],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r>
              <w:rPr>
                <w:rFonts w:hint="eastAsia"/>
              </w:rPr>
              <w:t>S</w:t>
            </w:r>
            <w:r>
              <w:t>ony[8],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r>
              <w:rPr>
                <w:rFonts w:hint="eastAsia"/>
              </w:rPr>
              <w:t>L</w:t>
            </w:r>
            <w:r>
              <w:t>enovo[20],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r>
              <w:rPr>
                <w:rFonts w:hint="eastAsia"/>
                <w:strike/>
              </w:rPr>
              <w:t>N</w:t>
            </w:r>
            <w:r>
              <w:rPr>
                <w:strike/>
              </w:rPr>
              <w:t>okia[23]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r>
              <w:t>Samsung[10],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r>
              <w:t>Intel[24]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r>
              <w:t>Samsung[10],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r>
              <w:rPr>
                <w:rFonts w:eastAsia="SimSun"/>
                <w:szCs w:val="20"/>
                <w:lang w:eastAsia="zh-CN"/>
              </w:rPr>
              <w:t xml:space="preserve">Mavenir[27],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r w:rsidR="002418C0" w14:paraId="314F0B72" w14:textId="77777777">
        <w:tc>
          <w:tcPr>
            <w:tcW w:w="1385" w:type="dxa"/>
            <w:tcBorders>
              <w:top w:val="single" w:sz="4" w:space="0" w:color="auto"/>
              <w:left w:val="single" w:sz="4" w:space="0" w:color="auto"/>
              <w:bottom w:val="single" w:sz="4" w:space="0" w:color="auto"/>
              <w:right w:val="single" w:sz="4" w:space="0" w:color="auto"/>
            </w:tcBorders>
          </w:tcPr>
          <w:p w14:paraId="2BCC73A6" w14:textId="7561ACBE"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245314E"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350B3EBC" w14:textId="77777777" w:rsidR="002418C0" w:rsidRDefault="002418C0" w:rsidP="002418C0">
            <w:pPr>
              <w:autoSpaceDE w:val="0"/>
              <w:autoSpaceDN w:val="0"/>
              <w:adjustRightInd w:val="0"/>
              <w:snapToGrid w:val="0"/>
              <w:jc w:val="both"/>
              <w:rPr>
                <w:rFonts w:eastAsiaTheme="minorEastAsia"/>
                <w:lang w:eastAsia="zh-CN"/>
              </w:rPr>
            </w:pPr>
          </w:p>
          <w:p w14:paraId="40F66A12" w14:textId="43A789C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48500649"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485B9379"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F062241"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5D7D771A" w14:textId="7C355DFF" w:rsidR="002418C0" w:rsidRPr="002418C0" w:rsidRDefault="002418C0" w:rsidP="002418C0">
            <w:pPr>
              <w:autoSpaceDE w:val="0"/>
              <w:autoSpaceDN w:val="0"/>
              <w:adjustRightInd w:val="0"/>
              <w:snapToGrid w:val="0"/>
              <w:jc w:val="both"/>
              <w:rPr>
                <w:rFonts w:eastAsia="SimSun"/>
                <w:b/>
                <w:bCs/>
                <w:i/>
                <w:iCs/>
              </w:rPr>
            </w:pP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w:t>
            </w:r>
            <w:r>
              <w:lastRenderedPageBreak/>
              <w:t>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lastRenderedPageBreak/>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 )</w:t>
      </w:r>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{Training at X, Inference at Y}: both at gNB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side]  </w:t>
      </w:r>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Alt1a: Location information is obtained from GNSS and/or sensor  (i.e.,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lastRenderedPageBreak/>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Input of AI model :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lang w:eastAsia="zh-CN"/>
              </w:rPr>
            </w:pPr>
            <w:r w:rsidRPr="00B10FA2">
              <w:t>Sony</w:t>
            </w:r>
          </w:p>
        </w:tc>
        <w:tc>
          <w:tcPr>
            <w:tcW w:w="7649" w:type="dxa"/>
          </w:tcPr>
          <w:p w14:paraId="614E7A53" w14:textId="07094423" w:rsidR="00735320" w:rsidRDefault="00735320" w:rsidP="00735320">
            <w:pPr>
              <w:pStyle w:val="BodyText"/>
              <w:rPr>
                <w:rFonts w:eastAsiaTheme="minorEastAsia"/>
                <w:lang w:eastAsia="zh-CN"/>
              </w:rPr>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tc>
      </w:tr>
      <w:tr w:rsidR="004B7D43" w14:paraId="2EA956EE" w14:textId="77777777">
        <w:tc>
          <w:tcPr>
            <w:tcW w:w="1413" w:type="dxa"/>
          </w:tcPr>
          <w:p w14:paraId="3DE148A6" w14:textId="478E24C0" w:rsidR="004B7D43" w:rsidRPr="00B10FA2" w:rsidRDefault="004B7D43" w:rsidP="004B7D43">
            <w:pPr>
              <w:pStyle w:val="BodyText"/>
            </w:pPr>
            <w:r>
              <w:t>MediaTek</w:t>
            </w:r>
          </w:p>
        </w:tc>
        <w:tc>
          <w:tcPr>
            <w:tcW w:w="7649" w:type="dxa"/>
          </w:tcPr>
          <w:p w14:paraId="00E5D3A9"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6ACCFB7" w14:textId="6D18DECB" w:rsidR="004B7D43" w:rsidRPr="00B10FA2" w:rsidRDefault="004B7D43" w:rsidP="004B7D43">
            <w:pPr>
              <w:pStyle w:val="BodyText"/>
            </w:pPr>
            <w:r w:rsidRPr="00F54B99">
              <w:rPr>
                <w:rFonts w:eastAsiaTheme="minorEastAsia"/>
                <w:lang w:eastAsia="zh-CN"/>
              </w:rPr>
              <w:t>Training: Offline training</w:t>
            </w:r>
            <w:r>
              <w:rPr>
                <w:rFonts w:eastAsiaTheme="minorEastAsia"/>
                <w:lang w:eastAsia="zh-CN"/>
              </w:rPr>
              <w:t xml:space="preserve"> (likely at UE side)</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lastRenderedPageBreak/>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Alt.1: Set B is a sub set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lastRenderedPageBreak/>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lastRenderedPageBreak/>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 ,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77777777" w:rsidR="003153BB" w:rsidRDefault="003153BB">
            <w:pPr>
              <w:pStyle w:val="BodyText"/>
            </w:pPr>
          </w:p>
        </w:tc>
        <w:tc>
          <w:tcPr>
            <w:tcW w:w="7649" w:type="dxa"/>
          </w:tcPr>
          <w:p w14:paraId="46F5375C" w14:textId="77777777" w:rsidR="003153BB" w:rsidRDefault="003153BB">
            <w:pPr>
              <w:pStyle w:val="BodyText"/>
            </w:pP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t>Joint AL/ML model at NW and UE size can be studied</w:t>
      </w:r>
    </w:p>
    <w:p w14:paraId="56131379"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r>
              <w:t xml:space="preserve">Samsung[10],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lastRenderedPageBreak/>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lastRenderedPageBreak/>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04286684" w14:textId="77777777">
        <w:tc>
          <w:tcPr>
            <w:tcW w:w="1385" w:type="dxa"/>
            <w:tcBorders>
              <w:top w:val="single" w:sz="4" w:space="0" w:color="auto"/>
              <w:left w:val="single" w:sz="4" w:space="0" w:color="auto"/>
              <w:bottom w:val="single" w:sz="4" w:space="0" w:color="auto"/>
              <w:right w:val="single" w:sz="4" w:space="0" w:color="auto"/>
            </w:tcBorders>
          </w:tcPr>
          <w:p w14:paraId="2C35CAE1" w14:textId="1CF17B32"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33CB44" w14:textId="0A443D59"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w:t>
            </w:r>
            <w:r>
              <w:rPr>
                <w:rFonts w:eastAsiaTheme="minorEastAsia"/>
                <w:lang w:eastAsia="zh-CN"/>
              </w:rPr>
              <w:t xml:space="preserve">r suggestion but are supportive of the </w:t>
            </w:r>
            <w:r>
              <w:rPr>
                <w:rFonts w:eastAsiaTheme="minorEastAsia"/>
                <w:lang w:eastAsia="zh-CN"/>
              </w:rPr>
              <w:t>proposal</w:t>
            </w:r>
            <w:r>
              <w:rPr>
                <w:rFonts w:eastAsiaTheme="minorEastAsia"/>
                <w:lang w:eastAsia="zh-CN"/>
              </w:rPr>
              <w:t xml:space="preserve"> from Fujitsu above:</w:t>
            </w:r>
          </w:p>
          <w:p w14:paraId="5DB21A99" w14:textId="77777777" w:rsidR="005D53C3" w:rsidRDefault="005D53C3" w:rsidP="00FD1645">
            <w:pPr>
              <w:autoSpaceDE w:val="0"/>
              <w:autoSpaceDN w:val="0"/>
              <w:adjustRightInd w:val="0"/>
              <w:snapToGrid w:val="0"/>
              <w:jc w:val="both"/>
              <w:rPr>
                <w:rFonts w:eastAsiaTheme="minorEastAsia"/>
                <w:lang w:eastAsia="zh-CN"/>
              </w:rPr>
            </w:pPr>
          </w:p>
          <w:p w14:paraId="358BE5DB" w14:textId="400AD4DC"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w:t>
            </w:r>
            <w:r>
              <w:rPr>
                <w:rFonts w:eastAsiaTheme="minorEastAsia"/>
                <w:lang w:eastAsia="zh-CN"/>
              </w:rPr>
              <w:t>It’s better to waiting for the conclusion of discussion on training in AI9.2.1. Currently, proposal 2-1 can be modified as</w:t>
            </w:r>
          </w:p>
          <w:p w14:paraId="52FDC89E"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A151323" w14:textId="78D3C63B"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r>
              <w:rPr>
                <w:b/>
                <w:bCs/>
                <w:i/>
                <w:iCs/>
              </w:rPr>
              <w:t>”</w:t>
            </w:r>
          </w:p>
          <w:p w14:paraId="26B4E0FF" w14:textId="1549544D" w:rsidR="005D53C3" w:rsidRDefault="005D53C3" w:rsidP="00FD1645">
            <w:pPr>
              <w:autoSpaceDE w:val="0"/>
              <w:autoSpaceDN w:val="0"/>
              <w:adjustRightInd w:val="0"/>
              <w:snapToGrid w:val="0"/>
              <w:jc w:val="both"/>
              <w:rPr>
                <w:rFonts w:eastAsia="PMingLiU" w:hint="eastAsia"/>
                <w:lang w:eastAsia="zh-TW"/>
              </w:rPr>
            </w:pPr>
          </w:p>
        </w:tc>
      </w:tr>
    </w:tbl>
    <w:p w14:paraId="74FB8C6D" w14:textId="1309B983"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lastRenderedPageBreak/>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lastRenderedPageBreak/>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444AAA9" w14:textId="77777777">
        <w:tc>
          <w:tcPr>
            <w:tcW w:w="1385" w:type="dxa"/>
            <w:tcBorders>
              <w:top w:val="single" w:sz="4" w:space="0" w:color="auto"/>
              <w:left w:val="single" w:sz="4" w:space="0" w:color="auto"/>
              <w:bottom w:val="single" w:sz="4" w:space="0" w:color="auto"/>
              <w:right w:val="single" w:sz="4" w:space="0" w:color="auto"/>
            </w:tcBorders>
          </w:tcPr>
          <w:p w14:paraId="1013F890" w14:textId="09541D78"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93368B4" w14:textId="7AFB32AC"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lastRenderedPageBreak/>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and etc.</w:t>
              </w:r>
            </w:ins>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w:t>
            </w:r>
            <w:r>
              <w:rPr>
                <w:b/>
                <w:bCs/>
                <w:i/>
                <w:iCs/>
                <w:color w:val="FF0000"/>
              </w:rPr>
              <w:lastRenderedPageBreak/>
              <w:t>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lastRenderedPageBreak/>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In general, we are ok with proposal 2-3b. However, we suggest only specifying ”Set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To answer FL’s following comment, Yes,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D2DE4D0" w14:textId="77777777">
        <w:tc>
          <w:tcPr>
            <w:tcW w:w="1385" w:type="dxa"/>
            <w:tcBorders>
              <w:top w:val="single" w:sz="4" w:space="0" w:color="auto"/>
              <w:left w:val="single" w:sz="4" w:space="0" w:color="auto"/>
              <w:bottom w:val="single" w:sz="4" w:space="0" w:color="auto"/>
              <w:right w:val="single" w:sz="4" w:space="0" w:color="auto"/>
            </w:tcBorders>
          </w:tcPr>
          <w:p w14:paraId="22489519" w14:textId="34AFC59F"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DF2360" w14:textId="5E136B93"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095CDE10" w14:textId="77777777" w:rsidR="005D53C3" w:rsidRPr="00854B92" w:rsidRDefault="005D53C3" w:rsidP="005D53C3">
            <w:pPr>
              <w:autoSpaceDE w:val="0"/>
              <w:autoSpaceDN w:val="0"/>
              <w:adjustRightInd w:val="0"/>
              <w:snapToGrid w:val="0"/>
              <w:jc w:val="both"/>
              <w:rPr>
                <w:rFonts w:eastAsiaTheme="minorEastAsia"/>
                <w:lang w:eastAsia="zh-CN"/>
              </w:rPr>
            </w:pPr>
          </w:p>
          <w:p w14:paraId="558C949B" w14:textId="4ABFCA87" w:rsidR="005D53C3" w:rsidRDefault="005D53C3" w:rsidP="005D53C3">
            <w:pPr>
              <w:autoSpaceDE w:val="0"/>
              <w:autoSpaceDN w:val="0"/>
              <w:adjustRightInd w:val="0"/>
              <w:snapToGrid w:val="0"/>
              <w:jc w:val="both"/>
              <w:rPr>
                <w:rFonts w:eastAsia="PMingLiU"/>
                <w:lang w:eastAsia="zh-TW"/>
              </w:rPr>
            </w:pPr>
            <w:r w:rsidRPr="00854B92">
              <w:rPr>
                <w:rFonts w:eastAsiaTheme="minorEastAsia"/>
                <w:lang w:eastAsia="zh-CN"/>
              </w:rPr>
              <w:lastRenderedPageBreak/>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 xml:space="preserve">e prefer to make an inclusive list where each component is not a combination (e.g., each component is L1-RSRP, Beam ID, or etc.), </w:t>
            </w:r>
            <w:r>
              <w:rPr>
                <w:rFonts w:eastAsia="Yu Mincho"/>
                <w:lang w:eastAsia="ja-JP"/>
              </w:rPr>
              <w:lastRenderedPageBreak/>
              <w:t>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lastRenderedPageBreak/>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CommentText"/>
            </w:pPr>
            <w:r>
              <w:rPr>
                <w:rFonts w:eastAsia="PMingLiU"/>
                <w:lang w:eastAsia="zh-TW"/>
              </w:rPr>
              <w:t xml:space="preserve">We support the proposal with Nokia’s suggestion. </w:t>
            </w:r>
          </w:p>
        </w:tc>
      </w:tr>
      <w:tr w:rsidR="005D53C3" w14:paraId="21E206F2" w14:textId="77777777">
        <w:tc>
          <w:tcPr>
            <w:tcW w:w="1385" w:type="dxa"/>
            <w:tcBorders>
              <w:top w:val="single" w:sz="4" w:space="0" w:color="auto"/>
              <w:left w:val="single" w:sz="4" w:space="0" w:color="auto"/>
              <w:bottom w:val="single" w:sz="4" w:space="0" w:color="auto"/>
              <w:right w:val="single" w:sz="4" w:space="0" w:color="auto"/>
            </w:tcBorders>
          </w:tcPr>
          <w:p w14:paraId="1B91987B" w14:textId="773127A2"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B936DA4" w14:textId="33CA7B1F" w:rsidR="005D53C3" w:rsidRDefault="005D53C3" w:rsidP="00223620">
            <w:pPr>
              <w:pStyle w:val="CommentText"/>
              <w:rPr>
                <w:rFonts w:eastAsia="PMingLiU"/>
                <w:lang w:eastAsia="zh-TW"/>
              </w:rPr>
            </w:pPr>
            <w:r>
              <w:rPr>
                <w:rFonts w:eastAsia="PMingLiU"/>
                <w:lang w:eastAsia="zh-TW"/>
              </w:rPr>
              <w:t>Support</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r>
              <w:t>Similar to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 xml:space="preserve">Q1 : Original </w:t>
            </w:r>
          </w:p>
          <w:p w14:paraId="58197D24" w14:textId="77777777" w:rsidR="003153BB" w:rsidRDefault="00DB7C96">
            <w:pPr>
              <w:autoSpaceDE w:val="0"/>
              <w:autoSpaceDN w:val="0"/>
              <w:adjustRightInd w:val="0"/>
              <w:snapToGrid w:val="0"/>
              <w:jc w:val="both"/>
            </w:pPr>
            <w:r>
              <w:t xml:space="preserve">Q2 :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r w:rsidR="005D53C3" w14:paraId="23F3274D" w14:textId="77777777">
        <w:tc>
          <w:tcPr>
            <w:tcW w:w="1385" w:type="dxa"/>
            <w:tcBorders>
              <w:top w:val="single" w:sz="4" w:space="0" w:color="auto"/>
              <w:left w:val="single" w:sz="4" w:space="0" w:color="auto"/>
              <w:bottom w:val="single" w:sz="4" w:space="0" w:color="auto"/>
              <w:right w:val="single" w:sz="4" w:space="0" w:color="auto"/>
            </w:tcBorders>
          </w:tcPr>
          <w:p w14:paraId="3AD84E8F" w14:textId="42376899"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74A9998" w14:textId="62B49530" w:rsidR="005D53C3" w:rsidRDefault="005D53C3" w:rsidP="00407FA2">
            <w:pPr>
              <w:autoSpaceDE w:val="0"/>
              <w:autoSpaceDN w:val="0"/>
              <w:adjustRightInd w:val="0"/>
              <w:snapToGrid w:val="0"/>
              <w:jc w:val="both"/>
            </w:pPr>
            <w:r>
              <w:t>Same comment as for 2-1a</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29130D6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lastRenderedPageBreak/>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r w:rsidR="005D53C3" w14:paraId="06050BA9" w14:textId="77777777">
        <w:tc>
          <w:tcPr>
            <w:tcW w:w="1385" w:type="dxa"/>
            <w:tcBorders>
              <w:top w:val="single" w:sz="4" w:space="0" w:color="auto"/>
              <w:left w:val="single" w:sz="4" w:space="0" w:color="auto"/>
              <w:bottom w:val="single" w:sz="4" w:space="0" w:color="auto"/>
              <w:right w:val="single" w:sz="4" w:space="0" w:color="auto"/>
            </w:tcBorders>
          </w:tcPr>
          <w:p w14:paraId="17B88853" w14:textId="0A9CFF94"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D52A15C" w14:textId="4405988C" w:rsidR="005D53C3" w:rsidRDefault="005D53C3" w:rsidP="00735320">
            <w:pPr>
              <w:autoSpaceDE w:val="0"/>
              <w:autoSpaceDN w:val="0"/>
              <w:adjustRightInd w:val="0"/>
              <w:snapToGrid w:val="0"/>
              <w:jc w:val="both"/>
            </w:pPr>
            <w:r>
              <w:t>Support</w:t>
            </w: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lastRenderedPageBreak/>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r>
              <w:t>Similar to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and etc.</w:t>
              </w:r>
            </w:ins>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lastRenderedPageBreak/>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w:t>
      </w:r>
      <w:r>
        <w:rPr>
          <w:b/>
          <w:bCs/>
          <w:i/>
          <w:iCs/>
        </w:rPr>
        <w:lastRenderedPageBreak/>
        <w:t>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99D5A00" w14:textId="77777777">
        <w:tc>
          <w:tcPr>
            <w:tcW w:w="1385" w:type="dxa"/>
            <w:tcBorders>
              <w:top w:val="single" w:sz="4" w:space="0" w:color="auto"/>
              <w:left w:val="single" w:sz="4" w:space="0" w:color="auto"/>
              <w:bottom w:val="single" w:sz="4" w:space="0" w:color="auto"/>
              <w:right w:val="single" w:sz="4" w:space="0" w:color="auto"/>
            </w:tcBorders>
          </w:tcPr>
          <w:p w14:paraId="2143260D" w14:textId="14926EB2"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0AD5B16"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81786DB" w14:textId="258C2C37" w:rsidR="005D53C3" w:rsidRDefault="005D53C3" w:rsidP="005D53C3">
            <w:pPr>
              <w:autoSpaceDE w:val="0"/>
              <w:autoSpaceDN w:val="0"/>
              <w:adjustRightInd w:val="0"/>
              <w:snapToGrid w:val="0"/>
              <w:jc w:val="both"/>
              <w:rPr>
                <w:rFonts w:eastAsia="PMingLiU" w:hint="eastAsia"/>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proposal ?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0ECB3BF5" w14:textId="77777777">
        <w:tc>
          <w:tcPr>
            <w:tcW w:w="1385" w:type="dxa"/>
            <w:tcBorders>
              <w:top w:val="single" w:sz="4" w:space="0" w:color="auto"/>
              <w:left w:val="single" w:sz="4" w:space="0" w:color="auto"/>
              <w:bottom w:val="single" w:sz="4" w:space="0" w:color="auto"/>
              <w:right w:val="single" w:sz="4" w:space="0" w:color="auto"/>
            </w:tcBorders>
          </w:tcPr>
          <w:p w14:paraId="2777A472" w14:textId="25C7EF49"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3EC6429" w14:textId="02338FBA" w:rsidR="005D53C3" w:rsidRDefault="005D53C3" w:rsidP="00344565">
            <w:pPr>
              <w:autoSpaceDE w:val="0"/>
              <w:autoSpaceDN w:val="0"/>
              <w:adjustRightInd w:val="0"/>
              <w:snapToGrid w:val="0"/>
              <w:jc w:val="both"/>
              <w:rPr>
                <w:rFonts w:eastAsia="PMingLiU" w:hint="eastAsia"/>
                <w:lang w:eastAsia="zh-TW"/>
              </w:rPr>
            </w:pPr>
            <w:r>
              <w:rPr>
                <w:rFonts w:eastAsia="PMingLiU"/>
                <w:lang w:eastAsia="zh-TW"/>
              </w:rPr>
              <w:t>Support</w:t>
            </w:r>
          </w:p>
        </w:tc>
      </w:tr>
    </w:tbl>
    <w:p w14:paraId="73308127" w14:textId="77777777" w:rsidR="003153BB" w:rsidRDefault="003153BB">
      <w:pPr>
        <w:pStyle w:val="BodyText"/>
      </w:pPr>
      <w:bookmarkStart w:id="36" w:name="_GoBack"/>
      <w:bookmarkEnd w:id="36"/>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r>
        <w:t>Generally speaking, the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lastRenderedPageBreak/>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lastRenderedPageBreak/>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lastRenderedPageBreak/>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2418C0">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2418C0">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2418C0">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lastRenderedPageBreak/>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lastRenderedPageBreak/>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lastRenderedPageBreak/>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7" w:name="OLE_LINK218"/>
            <w:bookmarkStart w:id="38" w:name="OLE_LINK217"/>
            <w:r>
              <w:rPr>
                <w:rFonts w:eastAsiaTheme="minorEastAsia"/>
                <w:b/>
                <w:i/>
                <w:szCs w:val="20"/>
                <w:lang w:eastAsia="zh-CN"/>
              </w:rPr>
              <w:t>Proposal 1: Support beam prediction in spatial/time domain as the final representative sub use cases.</w:t>
            </w:r>
            <w:bookmarkEnd w:id="37"/>
            <w:bookmarkEnd w:id="38"/>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lastRenderedPageBreak/>
              <w:t>: Support beam prediction at gNB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r>
              <w:rPr>
                <w:rFonts w:hint="eastAsia"/>
              </w:rPr>
              <w:lastRenderedPageBreak/>
              <w:t>X</w:t>
            </w:r>
            <w:r>
              <w:t>iaomi[9]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r>
              <w:rPr>
                <w:rFonts w:hint="eastAsia"/>
              </w:rPr>
              <w:t>S</w:t>
            </w:r>
            <w:r>
              <w:t>amsung[10]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r>
              <w:rPr>
                <w:rFonts w:hint="eastAsia"/>
              </w:rPr>
              <w:t>O</w:t>
            </w:r>
            <w:r>
              <w:t>PPO[11]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Beijing Jiaotong University[12]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r>
              <w:rPr>
                <w:rFonts w:hint="eastAsia"/>
              </w:rPr>
              <w:t>P</w:t>
            </w:r>
            <w:r>
              <w:t>anasonic[13]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489C615" w14:textId="77777777" w:rsidR="003153BB" w:rsidRDefault="00DB7C96">
            <w:pPr>
              <w:pStyle w:val="BodyText"/>
              <w:rPr>
                <w:rFonts w:eastAsia="MS Mincho"/>
                <w:b/>
                <w:bCs/>
                <w:szCs w:val="20"/>
              </w:rPr>
            </w:pPr>
            <w:r>
              <w:rPr>
                <w:rFonts w:eastAsia="MS Mincho"/>
                <w:b/>
                <w:bCs/>
                <w:szCs w:val="20"/>
              </w:rPr>
              <w:lastRenderedPageBreak/>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r>
                    <w:rPr>
                      <w:b/>
                      <w:bCs/>
                      <w:szCs w:val="20"/>
                    </w:rPr>
                    <w:t>Deprioritzed</w:t>
                  </w:r>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r>
              <w:rPr>
                <w:rFonts w:hint="eastAsia"/>
              </w:rPr>
              <w:lastRenderedPageBreak/>
              <w:t>F</w:t>
            </w:r>
            <w:r>
              <w:t>UTUREWEI[14]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r>
              <w:rPr>
                <w:rFonts w:hint="eastAsia"/>
              </w:rPr>
              <w:lastRenderedPageBreak/>
              <w:t>C</w:t>
            </w:r>
            <w:r>
              <w:t>IACT[16]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r>
              <w:rPr>
                <w:rFonts w:hint="eastAsia"/>
              </w:rPr>
              <w:t>A</w:t>
            </w:r>
            <w:r>
              <w:t>pple[17]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r>
              <w:rPr>
                <w:rFonts w:hint="eastAsia"/>
              </w:rPr>
              <w:t>C</w:t>
            </w:r>
            <w:r>
              <w:t>MCC[18]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r>
              <w:t>DOCOMO[19]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r>
              <w:rPr>
                <w:rFonts w:hint="eastAsia"/>
              </w:rPr>
              <w:t>L</w:t>
            </w:r>
            <w:r>
              <w:t>enovo[20]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r>
              <w:rPr>
                <w:rFonts w:hint="eastAsia"/>
              </w:rPr>
              <w:lastRenderedPageBreak/>
              <w:t>S</w:t>
            </w:r>
            <w:r>
              <w:t>preadtrum[21]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r>
              <w:rPr>
                <w:rFonts w:hint="eastAsia"/>
              </w:rPr>
              <w:t>T</w:t>
            </w:r>
            <w:r>
              <w:t>CL[22]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Proposal 6: The new candidate beam qnew can be jointly determined by an ML model when beam failure occurs.</w:t>
            </w:r>
          </w:p>
        </w:tc>
      </w:tr>
      <w:tr w:rsidR="003153BB" w14:paraId="62F190D0" w14:textId="77777777">
        <w:tc>
          <w:tcPr>
            <w:tcW w:w="1413" w:type="dxa"/>
            <w:vAlign w:val="center"/>
          </w:tcPr>
          <w:p w14:paraId="7661A69C" w14:textId="77777777" w:rsidR="003153BB" w:rsidRDefault="00DB7C96">
            <w:r>
              <w:rPr>
                <w:rFonts w:hint="eastAsia"/>
              </w:rPr>
              <w:t>N</w:t>
            </w:r>
            <w:r>
              <w:t>okia[23]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r>
              <w:rPr>
                <w:rFonts w:hint="eastAsia"/>
              </w:rPr>
              <w:lastRenderedPageBreak/>
              <w:t>I</w:t>
            </w:r>
            <w:r>
              <w:t>ntel[24]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r>
              <w:rPr>
                <w:rFonts w:hint="eastAsia"/>
              </w:rPr>
              <w:t>N</w:t>
            </w:r>
            <w:r>
              <w:t>VIDIA[25]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t>A</w:t>
            </w:r>
            <w:r>
              <w:t>T&amp;T[26]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r>
              <w:rPr>
                <w:rFonts w:hint="eastAsia"/>
              </w:rPr>
              <w:lastRenderedPageBreak/>
              <w:t>M</w:t>
            </w:r>
            <w:r>
              <w:t>avenir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40"/>
          </w:p>
          <w:p w14:paraId="4A279F17" w14:textId="77777777" w:rsidR="003153BB" w:rsidRDefault="003153BB"/>
        </w:tc>
      </w:tr>
      <w:tr w:rsidR="003153BB" w14:paraId="4EEC6CA4" w14:textId="77777777">
        <w:tc>
          <w:tcPr>
            <w:tcW w:w="1413" w:type="dxa"/>
            <w:vAlign w:val="center"/>
          </w:tcPr>
          <w:p w14:paraId="790E1D12" w14:textId="77777777" w:rsidR="003153BB" w:rsidRDefault="00DB7C96">
            <w:r>
              <w:rPr>
                <w:rFonts w:hint="eastAsia"/>
              </w:rPr>
              <w:t>Q</w:t>
            </w:r>
            <w:r>
              <w:t>C[28]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r>
              <w:rPr>
                <w:rFonts w:hint="eastAsia"/>
              </w:rPr>
              <w:lastRenderedPageBreak/>
              <w:t>F</w:t>
            </w:r>
            <w:r>
              <w:t>ujitsu[29]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r>
              <w:rPr>
                <w:rFonts w:hint="eastAsia"/>
              </w:rPr>
              <w:t>C</w:t>
            </w:r>
            <w:r>
              <w:t>harter[30]</w:t>
            </w:r>
          </w:p>
        </w:tc>
        <w:tc>
          <w:tcPr>
            <w:tcW w:w="7649" w:type="dxa"/>
            <w:vAlign w:val="center"/>
          </w:tcPr>
          <w:p w14:paraId="1678C06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r>
              <w:t>PML[31]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R1-2204060</w:t>
      </w:r>
      <w:r>
        <w:rPr>
          <w:rFonts w:eastAsia="SimSun"/>
          <w:szCs w:val="20"/>
          <w:lang w:eastAsia="zh-CN"/>
        </w:rPr>
        <w:tab/>
        <w:t xml:space="preserve"> Beam management with AI/ML</w:t>
      </w:r>
      <w:r>
        <w:rPr>
          <w:rFonts w:eastAsia="SimSun"/>
          <w:szCs w:val="20"/>
          <w:lang w:eastAsia="zh-CN"/>
        </w:rPr>
        <w:tab/>
        <w:t>Beijing Jiaotong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900A6" w14:textId="77777777" w:rsidR="00FB458D" w:rsidRDefault="00FB458D">
      <w:r>
        <w:separator/>
      </w:r>
    </w:p>
  </w:endnote>
  <w:endnote w:type="continuationSeparator" w:id="0">
    <w:p w14:paraId="56F454C9" w14:textId="77777777" w:rsidR="00FB458D" w:rsidRDefault="00F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5206E" w14:textId="77777777" w:rsidR="00FB458D" w:rsidRDefault="00FB458D">
      <w:r>
        <w:separator/>
      </w:r>
    </w:p>
  </w:footnote>
  <w:footnote w:type="continuationSeparator" w:id="0">
    <w:p w14:paraId="0EBA1E7A" w14:textId="77777777" w:rsidR="00FB458D" w:rsidRDefault="00FB4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062E0" w14:textId="77777777" w:rsidR="002418C0" w:rsidRDefault="002418C0">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oNotDisplayPageBoundaries/>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620"/>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18C0"/>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66B"/>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D52"/>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3C3"/>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645"/>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03565-55CA-40F1-A086-D61CBE16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31470</Words>
  <Characters>179380</Characters>
  <Application>Microsoft Office Word</Application>
  <DocSecurity>0</DocSecurity>
  <Lines>1494</Lines>
  <Paragraphs>420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2022-05-16T18:32:00Z</dcterms:created>
  <dcterms:modified xsi:type="dcterms:W3CDTF">2022-05-16T18:45:00Z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