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27F1EB32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2C524E">
        <w:rPr>
          <w:b/>
          <w:lang w:eastAsia="zh-CN"/>
        </w:rPr>
        <w:t>7.2.6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03F08D5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2C524E" w:rsidRPr="002C524E">
        <w:rPr>
          <w:b/>
          <w:lang w:eastAsia="zh-CN"/>
        </w:rPr>
        <w:t>Summary of [109-e-R16-MIMO-01]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Heading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403DD412" w:rsidR="0096387E" w:rsidRDefault="00A636A1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</w:t>
      </w:r>
      <w:r w:rsidR="009737A8">
        <w:rPr>
          <w:lang w:eastAsia="zh-CN"/>
        </w:rPr>
        <w:t>based on [1]</w:t>
      </w:r>
      <w:r w:rsidR="00655B94">
        <w:rPr>
          <w:lang w:eastAsia="zh-CN"/>
        </w:rPr>
        <w:t>.</w:t>
      </w:r>
    </w:p>
    <w:p w14:paraId="3623C689" w14:textId="15E4D93B" w:rsidR="00D36B6B" w:rsidRPr="0093747F" w:rsidRDefault="00C7304D" w:rsidP="00C7304D">
      <w:p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C7304D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[109-e-R16-MIMO-01] (based on issue MB.1) addressing “triggering offset for aperiodic CMR and IMR for L1-SINR” by May 13 – </w:t>
      </w:r>
      <w:proofErr w:type="spellStart"/>
      <w:r w:rsidRPr="00C7304D">
        <w:rPr>
          <w:rFonts w:ascii="Times" w:eastAsia="Batang" w:hAnsi="Times"/>
          <w:sz w:val="20"/>
          <w:szCs w:val="24"/>
          <w:highlight w:val="cyan"/>
          <w:lang w:val="en-GB" w:eastAsia="x-none"/>
        </w:rPr>
        <w:t>Yubo</w:t>
      </w:r>
      <w:proofErr w:type="spellEnd"/>
      <w:r w:rsidRPr="00C7304D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(Huawei)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22237140" w14:textId="43998BFD" w:rsidR="00D97CAC" w:rsidRDefault="00B21A0A" w:rsidP="00BC53D5">
      <w:pPr>
        <w:rPr>
          <w:lang w:eastAsia="zh-CN"/>
        </w:rPr>
      </w:pP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Rel-15, it was agreed that IMR and CMR are within the same slot to reduce UE complexity and CSI reporting latency, as captured in spec as below:</w:t>
      </w:r>
    </w:p>
    <w:p w14:paraId="1FD50223" w14:textId="77777777" w:rsidR="00B21A0A" w:rsidRPr="00B21A0A" w:rsidRDefault="00B21A0A" w:rsidP="00B21A0A">
      <w:pPr>
        <w:autoSpaceDE/>
        <w:autoSpaceDN/>
        <w:adjustRightInd/>
        <w:snapToGrid/>
        <w:spacing w:line="240" w:lineRule="auto"/>
        <w:ind w:leftChars="200" w:left="440"/>
        <w:rPr>
          <w:rFonts w:cs="Calibri"/>
          <w:i/>
          <w:lang w:eastAsia="zh-CN"/>
        </w:rPr>
      </w:pPr>
      <w:r w:rsidRPr="00B21A0A">
        <w:rPr>
          <w:rFonts w:cs="Calibri"/>
          <w:i/>
          <w:lang w:eastAsia="zh-CN"/>
        </w:rPr>
        <w:t>Section 5.2.1.5.1 TS 38.214</w:t>
      </w:r>
    </w:p>
    <w:p w14:paraId="49BFB016" w14:textId="036358E5" w:rsidR="00B21A0A" w:rsidRPr="00B21A0A" w:rsidRDefault="00B21A0A" w:rsidP="00B21A0A">
      <w:pPr>
        <w:autoSpaceDE/>
        <w:autoSpaceDN/>
        <w:adjustRightInd/>
        <w:snapToGrid/>
        <w:spacing w:line="240" w:lineRule="auto"/>
        <w:ind w:leftChars="200" w:left="440"/>
        <w:rPr>
          <w:rFonts w:eastAsia="Times New Roman"/>
          <w:i/>
          <w:lang w:eastAsia="zh-CN"/>
        </w:rPr>
      </w:pPr>
      <w:r w:rsidRPr="00B21A0A">
        <w:rPr>
          <w:rFonts w:eastAsia="Times New Roman"/>
          <w:i/>
          <w:color w:val="000000"/>
          <w:lang w:eastAsia="zh-CN"/>
        </w:rPr>
        <w:t xml:space="preserve">The aperiodic triggering offset of the CSI-IM follows offset of the associated NZP CSI-RS for channel measurement. </w:t>
      </w:r>
    </w:p>
    <w:p w14:paraId="59D31EBF" w14:textId="77777777" w:rsidR="00B21A0A" w:rsidRPr="00B21A0A" w:rsidRDefault="00B21A0A" w:rsidP="00B21A0A">
      <w:pPr>
        <w:autoSpaceDE/>
        <w:autoSpaceDN/>
        <w:adjustRightInd/>
        <w:snapToGrid/>
        <w:spacing w:line="240" w:lineRule="auto"/>
        <w:ind w:leftChars="200" w:left="440"/>
        <w:rPr>
          <w:rFonts w:eastAsia="Times New Roman"/>
          <w:i/>
          <w:lang w:eastAsia="zh-CN"/>
        </w:rPr>
      </w:pPr>
      <w:r w:rsidRPr="00B21A0A">
        <w:rPr>
          <w:i/>
          <w:lang w:eastAsia="zh-CN"/>
        </w:rPr>
        <w:t>…</w:t>
      </w:r>
    </w:p>
    <w:p w14:paraId="430F78C9" w14:textId="69552B19" w:rsidR="00B21A0A" w:rsidRDefault="00B21A0A" w:rsidP="00B21A0A">
      <w:pPr>
        <w:ind w:leftChars="200" w:left="440"/>
        <w:rPr>
          <w:lang w:eastAsia="zh-CN"/>
        </w:rPr>
      </w:pPr>
      <w:r w:rsidRPr="00B21A0A">
        <w:rPr>
          <w:rFonts w:eastAsia="Times New Roman"/>
          <w:i/>
          <w:color w:val="000000"/>
          <w:lang w:eastAsia="zh-CN"/>
        </w:rPr>
        <w:t>If interference measurement is performed on aperiodic NZP CSI-RS, a UE is not expected to be configured with a different aperiodic triggering offset of the NZP CSI-RS for interference measurement from the associated NZP CSI-RS for channel measurement.</w:t>
      </w:r>
    </w:p>
    <w:p w14:paraId="44BC78B2" w14:textId="348349A3" w:rsidR="00D97CAC" w:rsidRDefault="00E46B0A" w:rsidP="00BC53D5">
      <w:pPr>
        <w:rPr>
          <w:lang w:val="en-GB"/>
        </w:rPr>
      </w:pPr>
      <w:r w:rsidRPr="00E46B0A">
        <w:t xml:space="preserve">L1-SINR based measurement and report was specified in Rel-16, where </w:t>
      </w:r>
      <w:r w:rsidRPr="00E46B0A">
        <w:rPr>
          <w:lang w:val="en-GB"/>
        </w:rPr>
        <w:t>aperiodic CMR set and the associated aperiodic IMR (CSI-IM or NZP CSI-RS) set are supported</w:t>
      </w:r>
      <w:r>
        <w:rPr>
          <w:lang w:val="en-GB"/>
        </w:rPr>
        <w:t>. However, the abovementioned restriction was not discussed for L1-SINR in Rel-16. To remove any potential ambiguity, the following is proposed to clarify that:</w:t>
      </w:r>
    </w:p>
    <w:p w14:paraId="085AF80B" w14:textId="77777777" w:rsidR="00E46B0A" w:rsidRPr="00E46B0A" w:rsidRDefault="00E46B0A" w:rsidP="00E46B0A">
      <w:pPr>
        <w:autoSpaceDE/>
        <w:autoSpaceDN/>
        <w:adjustRightInd/>
        <w:snapToGrid/>
        <w:spacing w:line="240" w:lineRule="auto"/>
        <w:rPr>
          <w:rFonts w:eastAsia="Times New Roman" w:cs="Calibri"/>
          <w:b/>
          <w:i/>
          <w:lang w:eastAsia="zh-CN"/>
        </w:rPr>
      </w:pPr>
      <w:r w:rsidRPr="00E46B0A">
        <w:rPr>
          <w:rFonts w:cs="Calibri"/>
          <w:b/>
          <w:i/>
          <w:lang w:eastAsia="zh-CN"/>
        </w:rPr>
        <w:t>Proposed</w:t>
      </w:r>
      <w:r w:rsidRPr="00E46B0A">
        <w:rPr>
          <w:rFonts w:eastAsia="Times New Roman" w:cs="Calibri"/>
          <w:b/>
          <w:i/>
          <w:lang w:eastAsia="zh-CN"/>
        </w:rPr>
        <w:t xml:space="preserve"> conclusion: The following in TS 38.214 also applies to L1-SINR.</w:t>
      </w:r>
    </w:p>
    <w:p w14:paraId="24EA75F8" w14:textId="77777777" w:rsidR="00E46B0A" w:rsidRPr="00E46B0A" w:rsidRDefault="00E46B0A" w:rsidP="00E46B0A">
      <w:pPr>
        <w:numPr>
          <w:ilvl w:val="0"/>
          <w:numId w:val="25"/>
        </w:numPr>
        <w:autoSpaceDE/>
        <w:autoSpaceDN/>
        <w:adjustRightInd/>
        <w:snapToGrid/>
        <w:spacing w:after="0" w:line="240" w:lineRule="auto"/>
        <w:rPr>
          <w:rFonts w:eastAsia="Times New Roman" w:cs="Calibri"/>
          <w:b/>
          <w:i/>
          <w:lang w:val="sv-SE" w:eastAsia="sv-SE"/>
        </w:rPr>
      </w:pPr>
      <w:r w:rsidRPr="00E46B0A">
        <w:rPr>
          <w:rFonts w:eastAsia="Times New Roman" w:cs="Calibri"/>
          <w:b/>
          <w:i/>
          <w:lang w:val="sv-SE" w:eastAsia="sv-SE"/>
        </w:rPr>
        <w:t xml:space="preserve">The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aperiodic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triggering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offset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of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the CSI-IM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follows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offset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of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the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associated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NZP CSI-RS for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channel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measurement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>.</w:t>
      </w:r>
    </w:p>
    <w:p w14:paraId="51BC78DE" w14:textId="77777777" w:rsidR="00E46B0A" w:rsidRPr="00E46B0A" w:rsidRDefault="00E46B0A" w:rsidP="00E46B0A">
      <w:pPr>
        <w:numPr>
          <w:ilvl w:val="0"/>
          <w:numId w:val="25"/>
        </w:numPr>
        <w:autoSpaceDE/>
        <w:autoSpaceDN/>
        <w:adjustRightInd/>
        <w:snapToGrid/>
        <w:spacing w:after="0" w:line="240" w:lineRule="auto"/>
        <w:rPr>
          <w:rFonts w:eastAsia="Times New Roman" w:cs="Calibri"/>
          <w:b/>
          <w:i/>
          <w:lang w:val="sv-SE" w:eastAsia="sv-SE"/>
        </w:rPr>
      </w:pPr>
      <w:r w:rsidRPr="00E46B0A">
        <w:rPr>
          <w:rFonts w:eastAsia="Times New Roman" w:cs="Calibri"/>
          <w:b/>
          <w:i/>
          <w:lang w:val="sv-SE" w:eastAsia="sv-SE"/>
        </w:rPr>
        <w:t xml:space="preserve">If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interference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measurement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is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performed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on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aperiodic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NZP CSI-RS, a UE </w:t>
      </w:r>
      <w:proofErr w:type="gramStart"/>
      <w:r w:rsidRPr="00E46B0A">
        <w:rPr>
          <w:rFonts w:eastAsia="Times New Roman" w:cs="Calibri"/>
          <w:b/>
          <w:i/>
          <w:lang w:val="sv-SE" w:eastAsia="sv-SE"/>
        </w:rPr>
        <w:t>is not</w:t>
      </w:r>
      <w:proofErr w:type="gram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expected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to be configured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with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a different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aperiodic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triggering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offset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of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the NZP CSI-RS for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interference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measurement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from the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associated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NZP CSI-RS for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channel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 xml:space="preserve"> </w:t>
      </w:r>
      <w:proofErr w:type="spellStart"/>
      <w:r w:rsidRPr="00E46B0A">
        <w:rPr>
          <w:rFonts w:eastAsia="Times New Roman" w:cs="Calibri"/>
          <w:b/>
          <w:i/>
          <w:lang w:val="sv-SE" w:eastAsia="sv-SE"/>
        </w:rPr>
        <w:t>measurement</w:t>
      </w:r>
      <w:proofErr w:type="spellEnd"/>
      <w:r w:rsidRPr="00E46B0A">
        <w:rPr>
          <w:rFonts w:eastAsia="Times New Roman" w:cs="Calibri"/>
          <w:b/>
          <w:i/>
          <w:lang w:val="sv-SE" w:eastAsia="sv-SE"/>
        </w:rPr>
        <w:t>.</w:t>
      </w:r>
    </w:p>
    <w:p w14:paraId="04DA4587" w14:textId="3005C721" w:rsidR="00BC53D5" w:rsidRDefault="00BC53D5" w:rsidP="00BC53D5">
      <w:pPr>
        <w:rPr>
          <w:lang w:val="en-GB" w:eastAsia="zh-CN"/>
        </w:rPr>
      </w:pPr>
    </w:p>
    <w:p w14:paraId="5D39E524" w14:textId="7BA47653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Please input your comments on </w:t>
      </w:r>
      <w:r w:rsidR="00E46B0A">
        <w:rPr>
          <w:lang w:val="en-GB" w:eastAsia="zh-CN"/>
        </w:rPr>
        <w:t>the proposed conclusion in the following table</w:t>
      </w:r>
      <w:r>
        <w:rPr>
          <w:rFonts w:hint="eastAsia"/>
          <w:lang w:val="en-GB" w:eastAsia="zh-CN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77FA1D55" w:rsidR="008A01D6" w:rsidRDefault="006A5CB0" w:rsidP="009805A7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8036" w:type="dxa"/>
          </w:tcPr>
          <w:p w14:paraId="3F1DBFD8" w14:textId="685AAE30" w:rsidR="008A01D6" w:rsidRDefault="006A5CB0" w:rsidP="009805A7">
            <w:pPr>
              <w:spacing w:line="240" w:lineRule="auto"/>
            </w:pPr>
            <w:r>
              <w:t>Support the conclusion</w:t>
            </w:r>
          </w:p>
        </w:tc>
      </w:tr>
      <w:tr w:rsidR="008A01D6" w14:paraId="5B6327D4" w14:textId="77777777" w:rsidTr="009805A7">
        <w:tc>
          <w:tcPr>
            <w:tcW w:w="1271" w:type="dxa"/>
          </w:tcPr>
          <w:p w14:paraId="334E58BD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5FAF191C" w14:textId="77777777" w:rsidR="008A01D6" w:rsidRDefault="008A01D6" w:rsidP="009805A7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8A01D6" w14:paraId="1680BB1D" w14:textId="77777777" w:rsidTr="009805A7">
        <w:tc>
          <w:tcPr>
            <w:tcW w:w="1271" w:type="dxa"/>
          </w:tcPr>
          <w:p w14:paraId="05FBD5FF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D5348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</w:tr>
    </w:tbl>
    <w:p w14:paraId="691DCBFC" w14:textId="77777777" w:rsidR="0096387E" w:rsidRDefault="0096387E"/>
    <w:p w14:paraId="691DCBFD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11B3FAAB" w14:textId="65EE54E6" w:rsidR="00E47F32" w:rsidRPr="00E47F32" w:rsidRDefault="00FB5465" w:rsidP="00FB5465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FB5465">
        <w:rPr>
          <w:rFonts w:ascii="Times New Roman" w:hAnsi="Times New Roman" w:cs="Times New Roman"/>
          <w:sz w:val="22"/>
        </w:rPr>
        <w:t>R1-2204931</w:t>
      </w:r>
      <w:r>
        <w:rPr>
          <w:rFonts w:ascii="Times New Roman" w:hAnsi="Times New Roman" w:cs="Times New Roman"/>
          <w:sz w:val="22"/>
        </w:rPr>
        <w:t xml:space="preserve">, </w:t>
      </w:r>
      <w:r w:rsidRPr="00FB5465">
        <w:rPr>
          <w:rFonts w:ascii="Times New Roman" w:hAnsi="Times New Roman" w:cs="Times New Roman"/>
          <w:sz w:val="22"/>
        </w:rPr>
        <w:t>Discussion on triggering offset of aperiodic CMR and IMR set for L1-SINR</w:t>
      </w:r>
      <w:r>
        <w:rPr>
          <w:rFonts w:ascii="Times New Roman" w:hAnsi="Times New Roman" w:cs="Times New Roman"/>
          <w:sz w:val="22"/>
        </w:rPr>
        <w:t xml:space="preserve">, </w:t>
      </w:r>
      <w:r w:rsidRPr="00FB5465">
        <w:rPr>
          <w:rFonts w:ascii="Times New Roman" w:hAnsi="Times New Roman" w:cs="Times New Roman"/>
          <w:sz w:val="22"/>
        </w:rPr>
        <w:t>Huawei, HiSilicon</w:t>
      </w:r>
      <w:r>
        <w:rPr>
          <w:rFonts w:ascii="Times New Roman" w:hAnsi="Times New Roman" w:cs="Times New Roman"/>
          <w:sz w:val="22"/>
        </w:rPr>
        <w:t xml:space="preserve">, RAN1#109-e, </w:t>
      </w:r>
      <w:proofErr w:type="spellStart"/>
      <w:r>
        <w:rPr>
          <w:rFonts w:ascii="Times New Roman" w:hAnsi="Times New Roman" w:cs="Times New Roman"/>
          <w:sz w:val="22"/>
        </w:rPr>
        <w:t>eMeeting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gramStart"/>
      <w:r>
        <w:rPr>
          <w:rFonts w:ascii="Times New Roman" w:hAnsi="Times New Roman" w:cs="Times New Roman"/>
          <w:sz w:val="22"/>
        </w:rPr>
        <w:t>May,</w:t>
      </w:r>
      <w:proofErr w:type="gramEnd"/>
      <w:r>
        <w:rPr>
          <w:rFonts w:ascii="Times New Roman" w:hAnsi="Times New Roman" w:cs="Times New Roman"/>
          <w:sz w:val="22"/>
        </w:rPr>
        <w:t xml:space="preserve"> 2022.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4EEB" w14:textId="77777777" w:rsidR="00FE602A" w:rsidRDefault="00FE602A"/>
  </w:endnote>
  <w:endnote w:type="continuationSeparator" w:id="0">
    <w:p w14:paraId="4F1B78AB" w14:textId="77777777" w:rsidR="00FE602A" w:rsidRDefault="00FE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F228" w14:textId="77777777" w:rsidR="00FE602A" w:rsidRDefault="00FE602A"/>
  </w:footnote>
  <w:footnote w:type="continuationSeparator" w:id="0">
    <w:p w14:paraId="23253FB5" w14:textId="77777777" w:rsidR="00FE602A" w:rsidRDefault="00FE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5963"/>
    <w:multiLevelType w:val="hybridMultilevel"/>
    <w:tmpl w:val="0A7ED474"/>
    <w:lvl w:ilvl="0" w:tplc="8AE4EE42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 w16cid:durableId="779690012">
    <w:abstractNumId w:val="19"/>
  </w:num>
  <w:num w:numId="2" w16cid:durableId="1236742158">
    <w:abstractNumId w:val="0"/>
  </w:num>
  <w:num w:numId="3" w16cid:durableId="2037194619">
    <w:abstractNumId w:val="9"/>
  </w:num>
  <w:num w:numId="4" w16cid:durableId="115177902">
    <w:abstractNumId w:val="20"/>
  </w:num>
  <w:num w:numId="5" w16cid:durableId="1535458765">
    <w:abstractNumId w:val="10"/>
  </w:num>
  <w:num w:numId="6" w16cid:durableId="42678611">
    <w:abstractNumId w:val="6"/>
  </w:num>
  <w:num w:numId="7" w16cid:durableId="231544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606787">
    <w:abstractNumId w:val="15"/>
  </w:num>
  <w:num w:numId="9" w16cid:durableId="1082871722">
    <w:abstractNumId w:val="14"/>
  </w:num>
  <w:num w:numId="10" w16cid:durableId="639846277">
    <w:abstractNumId w:val="13"/>
  </w:num>
  <w:num w:numId="11" w16cid:durableId="1718237206">
    <w:abstractNumId w:val="3"/>
  </w:num>
  <w:num w:numId="12" w16cid:durableId="765228882">
    <w:abstractNumId w:val="12"/>
  </w:num>
  <w:num w:numId="13" w16cid:durableId="1957633566">
    <w:abstractNumId w:val="23"/>
  </w:num>
  <w:num w:numId="14" w16cid:durableId="219295787">
    <w:abstractNumId w:val="11"/>
  </w:num>
  <w:num w:numId="15" w16cid:durableId="401223864">
    <w:abstractNumId w:val="18"/>
  </w:num>
  <w:num w:numId="16" w16cid:durableId="1160924718">
    <w:abstractNumId w:val="8"/>
  </w:num>
  <w:num w:numId="17" w16cid:durableId="404377564">
    <w:abstractNumId w:val="1"/>
  </w:num>
  <w:num w:numId="18" w16cid:durableId="758717302">
    <w:abstractNumId w:val="4"/>
  </w:num>
  <w:num w:numId="19" w16cid:durableId="1166363037">
    <w:abstractNumId w:val="2"/>
  </w:num>
  <w:num w:numId="20" w16cid:durableId="872424731">
    <w:abstractNumId w:val="7"/>
  </w:num>
  <w:num w:numId="21" w16cid:durableId="1254050932">
    <w:abstractNumId w:val="17"/>
  </w:num>
  <w:num w:numId="22" w16cid:durableId="17705237">
    <w:abstractNumId w:val="12"/>
  </w:num>
  <w:num w:numId="23" w16cid:durableId="1476222054">
    <w:abstractNumId w:val="16"/>
  </w:num>
  <w:num w:numId="24" w16cid:durableId="2034990877">
    <w:abstractNumId w:val="22"/>
  </w:num>
  <w:num w:numId="25" w16cid:durableId="147752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4B66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4E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42D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A2E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5CB0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0E57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7A8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A0A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04D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97CAC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6B0A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465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02A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72C3505-55D1-4FB2-BB10-CC73F7AB8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Yushu Zhang</cp:lastModifiedBy>
  <cp:revision>2</cp:revision>
  <dcterms:created xsi:type="dcterms:W3CDTF">2022-05-09T09:36:00Z</dcterms:created>
  <dcterms:modified xsi:type="dcterms:W3CDTF">2022-05-09T09:36:00Z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