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1F64F" w14:textId="0B251264" w:rsidR="00AD18E3" w:rsidRDefault="00BD4F84">
      <w:pPr>
        <w:pStyle w:val="3GPPHeader"/>
        <w:spacing w:after="60"/>
        <w:rPr>
          <w:sz w:val="32"/>
          <w:szCs w:val="32"/>
        </w:rPr>
      </w:pPr>
      <w:r>
        <w:t>3GPP TSG RAN WG1 #109-e</w:t>
      </w:r>
      <w:r>
        <w:tab/>
      </w:r>
      <w:r>
        <w:rPr>
          <w:sz w:val="28"/>
          <w:szCs w:val="28"/>
        </w:rPr>
        <w:t>R1-</w:t>
      </w:r>
      <w:r w:rsidR="006C592E">
        <w:rPr>
          <w:sz w:val="28"/>
          <w:szCs w:val="28"/>
        </w:rPr>
        <w:t>2205634</w:t>
      </w:r>
    </w:p>
    <w:p w14:paraId="1F42FF08" w14:textId="77777777" w:rsidR="00AD18E3" w:rsidRDefault="00BD4F84">
      <w:pPr>
        <w:pStyle w:val="CRCoverPage"/>
        <w:tabs>
          <w:tab w:val="right" w:pos="9639"/>
        </w:tabs>
        <w:spacing w:after="0"/>
        <w:rPr>
          <w:b/>
          <w:bCs/>
          <w:sz w:val="24"/>
          <w:szCs w:val="24"/>
        </w:rPr>
      </w:pPr>
      <w:r>
        <w:rPr>
          <w:b/>
          <w:bCs/>
          <w:sz w:val="24"/>
          <w:szCs w:val="24"/>
        </w:rPr>
        <w:t>e-Meeting, May 9</w:t>
      </w:r>
      <w:r>
        <w:rPr>
          <w:b/>
          <w:bCs/>
          <w:sz w:val="24"/>
          <w:szCs w:val="24"/>
          <w:vertAlign w:val="superscript"/>
        </w:rPr>
        <w:t xml:space="preserve">th </w:t>
      </w:r>
      <w:r>
        <w:rPr>
          <w:b/>
          <w:bCs/>
          <w:sz w:val="24"/>
          <w:szCs w:val="24"/>
        </w:rPr>
        <w:t>- 20</w:t>
      </w:r>
      <w:r>
        <w:rPr>
          <w:b/>
          <w:bCs/>
          <w:sz w:val="24"/>
          <w:szCs w:val="24"/>
          <w:vertAlign w:val="superscript"/>
        </w:rPr>
        <w:t>th</w:t>
      </w:r>
      <w:r>
        <w:rPr>
          <w:b/>
          <w:bCs/>
          <w:sz w:val="24"/>
          <w:szCs w:val="24"/>
        </w:rPr>
        <w:t>, 2022</w:t>
      </w:r>
    </w:p>
    <w:p w14:paraId="683E9093" w14:textId="77777777" w:rsidR="00AD18E3" w:rsidRDefault="00AD18E3">
      <w:pPr>
        <w:pStyle w:val="Header"/>
        <w:tabs>
          <w:tab w:val="clear" w:pos="8306"/>
          <w:tab w:val="right" w:pos="7088"/>
          <w:tab w:val="right" w:pos="9781"/>
        </w:tabs>
        <w:rPr>
          <w:rFonts w:ascii="Arial" w:hAnsi="Arial" w:cs="Arial"/>
          <w:b/>
          <w:bCs/>
          <w:sz w:val="22"/>
        </w:rPr>
      </w:pPr>
    </w:p>
    <w:p w14:paraId="433D39DC" w14:textId="77777777" w:rsidR="00AD18E3" w:rsidRDefault="00AD18E3">
      <w:pPr>
        <w:rPr>
          <w:rFonts w:ascii="Arial" w:hAnsi="Arial" w:cs="Arial"/>
        </w:rPr>
      </w:pPr>
    </w:p>
    <w:p w14:paraId="1EE17A53" w14:textId="77777777" w:rsidR="00AD18E3" w:rsidRDefault="00BD4F84">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Cs/>
        </w:rPr>
        <w:t>[DRAFT]</w:t>
      </w:r>
      <w:r>
        <w:rPr>
          <w:rFonts w:ascii="Arial" w:hAnsi="Arial" w:cs="Arial"/>
          <w:b/>
        </w:rPr>
        <w:t xml:space="preserve"> </w:t>
      </w:r>
      <w:r>
        <w:rPr>
          <w:rFonts w:ascii="Arial" w:hAnsi="Arial" w:cs="Arial"/>
          <w:bCs/>
        </w:rPr>
        <w:t>LS on New UE Feature for H</w:t>
      </w:r>
      <w:r>
        <w:rPr>
          <w:rFonts w:ascii="Arial" w:hAnsi="Arial" w:cs="Arial"/>
          <w:bCs/>
          <w:lang w:val="en-US"/>
        </w:rPr>
        <w:t>ARQ-ACK multiplexing on PUSCH in the absence of PUCCH</w:t>
      </w:r>
    </w:p>
    <w:p w14:paraId="4B1E8DFB" w14:textId="77777777" w:rsidR="00AD18E3" w:rsidRDefault="00BD4F84">
      <w:pPr>
        <w:spacing w:after="60"/>
        <w:ind w:left="1985" w:hanging="1985"/>
        <w:rPr>
          <w:rFonts w:ascii="Arial" w:hAnsi="Arial" w:cs="Arial"/>
          <w:bCs/>
        </w:rPr>
      </w:pPr>
      <w:r>
        <w:rPr>
          <w:rFonts w:ascii="Arial" w:hAnsi="Arial" w:cs="Arial"/>
          <w:b/>
        </w:rPr>
        <w:t>Release:</w:t>
      </w:r>
      <w:r>
        <w:rPr>
          <w:rFonts w:ascii="Arial" w:hAnsi="Arial" w:cs="Arial"/>
          <w:bCs/>
        </w:rPr>
        <w:tab/>
        <w:t>Rel-16</w:t>
      </w:r>
    </w:p>
    <w:p w14:paraId="6E39A920" w14:textId="77777777" w:rsidR="00AD18E3" w:rsidRDefault="00BD4F84">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lang w:val="en-US"/>
        </w:rPr>
        <w:t xml:space="preserve">TEI16, </w:t>
      </w:r>
      <w:proofErr w:type="spellStart"/>
      <w:r>
        <w:rPr>
          <w:rFonts w:ascii="Arial" w:hAnsi="Arial" w:cs="Arial"/>
          <w:bCs/>
          <w:lang w:val="en-US"/>
        </w:rPr>
        <w:t>NR_newRAT</w:t>
      </w:r>
      <w:proofErr w:type="spellEnd"/>
      <w:r>
        <w:rPr>
          <w:rFonts w:ascii="Arial" w:hAnsi="Arial" w:cs="Arial"/>
          <w:bCs/>
          <w:lang w:val="en-US"/>
        </w:rPr>
        <w:t>-Core</w:t>
      </w:r>
    </w:p>
    <w:p w14:paraId="351A33C0" w14:textId="77777777" w:rsidR="00AD18E3" w:rsidRDefault="00AD18E3">
      <w:pPr>
        <w:spacing w:after="60"/>
        <w:ind w:left="1985" w:hanging="1985"/>
        <w:rPr>
          <w:rFonts w:ascii="Arial" w:hAnsi="Arial" w:cs="Arial"/>
          <w:b/>
        </w:rPr>
      </w:pPr>
    </w:p>
    <w:p w14:paraId="494021CB" w14:textId="77777777" w:rsidR="00AD18E3" w:rsidRDefault="00BD4F84">
      <w:pPr>
        <w:spacing w:after="60"/>
        <w:ind w:left="1985" w:hanging="1985"/>
        <w:rPr>
          <w:rFonts w:ascii="Arial" w:hAnsi="Arial" w:cs="Arial"/>
          <w:bCs/>
        </w:rPr>
      </w:pPr>
      <w:r>
        <w:rPr>
          <w:rFonts w:ascii="Arial" w:hAnsi="Arial" w:cs="Arial"/>
          <w:b/>
        </w:rPr>
        <w:t>Source:</w:t>
      </w:r>
      <w:r>
        <w:rPr>
          <w:rFonts w:ascii="Arial" w:hAnsi="Arial" w:cs="Arial"/>
          <w:bCs/>
        </w:rPr>
        <w:tab/>
        <w:t>RAN WG1</w:t>
      </w:r>
    </w:p>
    <w:p w14:paraId="3C5D48CE" w14:textId="77777777" w:rsidR="00AD18E3" w:rsidRDefault="00BD4F84">
      <w:pPr>
        <w:spacing w:after="60"/>
        <w:ind w:left="1985" w:hanging="1985"/>
        <w:rPr>
          <w:rFonts w:ascii="Arial" w:eastAsia="Yu Mincho" w:hAnsi="Arial" w:cs="Arial"/>
          <w:b/>
          <w:lang w:eastAsia="ja-JP"/>
        </w:rPr>
      </w:pPr>
      <w:r>
        <w:rPr>
          <w:rFonts w:ascii="Arial" w:eastAsia="Yu Mincho" w:hAnsi="Arial" w:cs="Arial" w:hint="eastAsia"/>
          <w:b/>
          <w:lang w:eastAsia="ja-JP"/>
        </w:rPr>
        <w:t>Response to:</w:t>
      </w:r>
      <w:r>
        <w:rPr>
          <w:rFonts w:ascii="Arial" w:eastAsia="Yu Mincho" w:hAnsi="Arial" w:cs="Arial" w:hint="eastAsia"/>
          <w:b/>
          <w:lang w:eastAsia="ja-JP"/>
        </w:rPr>
        <w:tab/>
        <w:t>-</w:t>
      </w:r>
    </w:p>
    <w:p w14:paraId="61BEDB6E" w14:textId="77777777" w:rsidR="00AD18E3" w:rsidRDefault="00BD4F84">
      <w:pPr>
        <w:spacing w:after="60"/>
        <w:ind w:left="1985" w:hanging="1985"/>
        <w:rPr>
          <w:rFonts w:ascii="Arial" w:hAnsi="Arial" w:cs="Arial"/>
          <w:bCs/>
          <w:lang w:eastAsia="zh-CN"/>
        </w:rPr>
      </w:pPr>
      <w:r>
        <w:rPr>
          <w:rFonts w:ascii="Arial" w:hAnsi="Arial" w:cs="Arial"/>
          <w:b/>
        </w:rPr>
        <w:t>To:</w:t>
      </w:r>
      <w:r>
        <w:rPr>
          <w:rFonts w:ascii="Arial" w:hAnsi="Arial" w:cs="Arial"/>
          <w:bCs/>
        </w:rPr>
        <w:tab/>
        <w:t>RAN WG2</w:t>
      </w:r>
    </w:p>
    <w:p w14:paraId="71F4E792" w14:textId="77777777" w:rsidR="00AD18E3" w:rsidRDefault="00BD4F84">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p>
    <w:p w14:paraId="5B64B95C" w14:textId="77777777" w:rsidR="00AD18E3" w:rsidRDefault="00AD18E3">
      <w:pPr>
        <w:spacing w:after="60"/>
        <w:ind w:left="1985" w:hanging="1985"/>
        <w:rPr>
          <w:rFonts w:ascii="Arial" w:hAnsi="Arial" w:cs="Arial"/>
          <w:bCs/>
        </w:rPr>
      </w:pPr>
    </w:p>
    <w:p w14:paraId="4227D8DC" w14:textId="77777777" w:rsidR="00AD18E3" w:rsidRDefault="00BD4F84">
      <w:pPr>
        <w:tabs>
          <w:tab w:val="left" w:pos="2268"/>
        </w:tabs>
        <w:rPr>
          <w:rFonts w:ascii="Arial" w:hAnsi="Arial" w:cs="Arial"/>
          <w:bCs/>
        </w:rPr>
      </w:pPr>
      <w:r>
        <w:rPr>
          <w:rFonts w:ascii="Arial" w:hAnsi="Arial" w:cs="Arial"/>
          <w:b/>
        </w:rPr>
        <w:t>Contact Person:</w:t>
      </w:r>
      <w:r>
        <w:rPr>
          <w:rFonts w:ascii="Arial" w:hAnsi="Arial" w:cs="Arial"/>
          <w:bCs/>
        </w:rPr>
        <w:tab/>
      </w:r>
    </w:p>
    <w:p w14:paraId="0DB752FB" w14:textId="77777777" w:rsidR="00AD18E3" w:rsidRDefault="00BD4F84">
      <w:pPr>
        <w:pStyle w:val="Heading4"/>
        <w:tabs>
          <w:tab w:val="left" w:pos="2268"/>
        </w:tabs>
        <w:ind w:left="567"/>
        <w:rPr>
          <w:rFonts w:cs="Arial"/>
          <w:b w:val="0"/>
          <w:bCs/>
        </w:rPr>
      </w:pPr>
      <w:r>
        <w:rPr>
          <w:rFonts w:cs="Arial"/>
        </w:rPr>
        <w:t>Name:</w:t>
      </w:r>
      <w:r>
        <w:rPr>
          <w:rFonts w:cs="Arial"/>
          <w:b w:val="0"/>
          <w:bCs/>
        </w:rPr>
        <w:tab/>
        <w:t>Kome Oteri</w:t>
      </w:r>
    </w:p>
    <w:p w14:paraId="4CF71F9B" w14:textId="77777777" w:rsidR="00AD18E3" w:rsidRDefault="00BD4F84">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3F844E88" w14:textId="77777777" w:rsidR="00AD18E3" w:rsidRDefault="00BD4F84">
      <w:pPr>
        <w:pStyle w:val="Heading7"/>
        <w:tabs>
          <w:tab w:val="left" w:pos="2268"/>
        </w:tabs>
        <w:ind w:left="567"/>
        <w:rPr>
          <w:rFonts w:cs="Arial"/>
          <w:b w:val="0"/>
          <w:bCs/>
        </w:rPr>
      </w:pPr>
      <w:r>
        <w:rPr>
          <w:rFonts w:cs="Arial"/>
        </w:rPr>
        <w:t>E-mail Address:</w:t>
      </w:r>
      <w:r>
        <w:rPr>
          <w:rFonts w:cs="Arial"/>
          <w:b w:val="0"/>
          <w:bCs/>
        </w:rPr>
        <w:tab/>
      </w:r>
      <w:proofErr w:type="spellStart"/>
      <w:r>
        <w:rPr>
          <w:rFonts w:cs="Arial"/>
          <w:b w:val="0"/>
          <w:bCs/>
        </w:rPr>
        <w:t>ooteri</w:t>
      </w:r>
      <w:proofErr w:type="spellEnd"/>
      <w:r>
        <w:rPr>
          <w:rFonts w:cs="Arial"/>
          <w:b w:val="0"/>
          <w:bCs/>
        </w:rPr>
        <w:t xml:space="preserve"> (at) apple.com </w:t>
      </w:r>
    </w:p>
    <w:p w14:paraId="51C58D59" w14:textId="77777777" w:rsidR="00AD18E3" w:rsidRDefault="00AD18E3">
      <w:pPr>
        <w:spacing w:after="60"/>
        <w:rPr>
          <w:rFonts w:ascii="Arial" w:hAnsi="Arial" w:cs="Arial"/>
          <w:b/>
        </w:rPr>
      </w:pPr>
    </w:p>
    <w:p w14:paraId="22CC7649" w14:textId="77777777" w:rsidR="00AD18E3" w:rsidRDefault="00AD18E3">
      <w:pPr>
        <w:spacing w:after="60"/>
        <w:rPr>
          <w:rFonts w:ascii="Arial" w:hAnsi="Arial" w:cs="Arial"/>
          <w:b/>
        </w:rPr>
      </w:pPr>
    </w:p>
    <w:p w14:paraId="18E29807" w14:textId="77777777" w:rsidR="00AD18E3" w:rsidRDefault="00BD4F84">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7EEFF49" w14:textId="77777777" w:rsidR="00AD18E3" w:rsidRDefault="00AD18E3">
      <w:pPr>
        <w:pBdr>
          <w:bottom w:val="single" w:sz="4" w:space="1" w:color="auto"/>
        </w:pBdr>
        <w:rPr>
          <w:rFonts w:ascii="Arial" w:hAnsi="Arial" w:cs="Arial"/>
        </w:rPr>
      </w:pPr>
    </w:p>
    <w:p w14:paraId="36C47CF2" w14:textId="77777777" w:rsidR="00AD18E3" w:rsidRDefault="00AD18E3">
      <w:pPr>
        <w:rPr>
          <w:rFonts w:ascii="Arial" w:hAnsi="Arial" w:cs="Arial"/>
        </w:rPr>
      </w:pPr>
    </w:p>
    <w:p w14:paraId="2AFA1932" w14:textId="77777777" w:rsidR="00AD18E3" w:rsidRDefault="00BD4F84">
      <w:pPr>
        <w:spacing w:after="120"/>
        <w:rPr>
          <w:rFonts w:ascii="Arial" w:hAnsi="Arial" w:cs="Arial"/>
          <w:b/>
        </w:rPr>
      </w:pPr>
      <w:r>
        <w:rPr>
          <w:rFonts w:ascii="Arial" w:hAnsi="Arial" w:cs="Arial"/>
          <w:b/>
        </w:rPr>
        <w:t>1. Overall Description:</w:t>
      </w:r>
    </w:p>
    <w:p w14:paraId="57A55F5D" w14:textId="77777777" w:rsidR="00AD18E3" w:rsidRDefault="00BD4F84">
      <w:pPr>
        <w:pStyle w:val="Header"/>
        <w:snapToGrid w:val="0"/>
        <w:spacing w:line="240" w:lineRule="exact"/>
        <w:jc w:val="both"/>
        <w:rPr>
          <w:rFonts w:ascii="Arial" w:hAnsi="Arial" w:cs="Arial"/>
          <w:lang w:val="en-US"/>
        </w:rPr>
      </w:pPr>
      <w:r>
        <w:rPr>
          <w:rFonts w:ascii="Arial" w:hAnsi="Arial" w:cs="Arial"/>
          <w:lang w:val="en-US"/>
        </w:rPr>
        <w:t xml:space="preserve">In the current specification, the UE behavior is unknown when a PUSCH is scheduled by a DAI field in a PUCCH </w:t>
      </w:r>
      <w:proofErr w:type="gramStart"/>
      <w:r>
        <w:rPr>
          <w:rFonts w:ascii="Arial" w:hAnsi="Arial" w:cs="Arial"/>
          <w:lang w:val="en-US"/>
        </w:rPr>
        <w:t>slot</w:t>
      </w:r>
      <w:proofErr w:type="gramEnd"/>
      <w:r>
        <w:rPr>
          <w:rFonts w:ascii="Arial" w:hAnsi="Arial" w:cs="Arial"/>
          <w:lang w:val="en-US"/>
        </w:rPr>
        <w:t xml:space="preserve"> but the UE does not determine any PUCCH resource with HARQ-ACK information for transmission in the PUCCH slot. RAN WG1 has agreed on a solution to the case where there are multiple PUSCHs within the PUCCH slot subject to a new Rel-16 UE capability </w:t>
      </w:r>
      <w:r>
        <w:rPr>
          <w:rFonts w:ascii="Arial" w:hAnsi="Arial" w:cs="Arial"/>
          <w:i/>
          <w:iCs/>
          <w:lang w:val="en-US"/>
        </w:rPr>
        <w:t>Multiplexing-HARQ-ACK-without-PUCCH-on-PUSCH</w:t>
      </w:r>
      <w:r>
        <w:rPr>
          <w:rFonts w:ascii="Arial" w:hAnsi="Arial" w:cs="Arial"/>
          <w:lang w:val="en-US"/>
        </w:rPr>
        <w:t xml:space="preserve"> as follows:</w:t>
      </w:r>
    </w:p>
    <w:p w14:paraId="7E486892" w14:textId="6F7A7566" w:rsidR="00AD18E3" w:rsidRDefault="00AD18E3">
      <w:pPr>
        <w:pStyle w:val="Header"/>
        <w:snapToGrid w:val="0"/>
        <w:spacing w:line="240" w:lineRule="exact"/>
        <w:ind w:left="720"/>
        <w:rPr>
          <w:lang w:val="en-US"/>
        </w:rPr>
      </w:pPr>
    </w:p>
    <w:p w14:paraId="47F6C503" w14:textId="77777777" w:rsidR="008A3124" w:rsidRDefault="008A3124">
      <w:pPr>
        <w:pStyle w:val="Header"/>
        <w:snapToGrid w:val="0"/>
        <w:spacing w:line="240" w:lineRule="exact"/>
        <w:ind w:left="720"/>
        <w:rPr>
          <w:lang w:val="en-US"/>
        </w:rPr>
      </w:pPr>
    </w:p>
    <w:p w14:paraId="3AE0978F" w14:textId="77777777" w:rsidR="00AD18E3" w:rsidRDefault="00BD4F84">
      <w:pPr>
        <w:rPr>
          <w:rFonts w:ascii="Arial" w:eastAsia="Malgun Gothic" w:hAnsi="Arial" w:cs="Arial"/>
          <w:b/>
          <w:color w:val="000000"/>
          <w:shd w:val="clear" w:color="auto" w:fill="00F900"/>
          <w:lang w:val="en-US" w:eastAsia="ko-KR"/>
        </w:rPr>
      </w:pPr>
      <w:r>
        <w:rPr>
          <w:rFonts w:ascii="Arial" w:hAnsi="Arial" w:cs="Arial"/>
          <w:b/>
          <w:color w:val="000000"/>
          <w:shd w:val="clear" w:color="auto" w:fill="00F900"/>
        </w:rPr>
        <w:t>Agreement</w:t>
      </w:r>
    </w:p>
    <w:p w14:paraId="55231FCA" w14:textId="77777777" w:rsidR="00AD18E3" w:rsidRDefault="00BD4F84">
      <w:pPr>
        <w:rPr>
          <w:rFonts w:ascii="Arial" w:hAnsi="Arial" w:cs="Arial"/>
        </w:rPr>
      </w:pPr>
      <w:r>
        <w:rPr>
          <w:rFonts w:ascii="Arial" w:hAnsi="Arial" w:cs="Arial"/>
        </w:rPr>
        <w:t>For Rel-16 UEs, in the scenario with more than one PUSCH (overlapping and non-overlapping) and no overlapping PUCCH with HARQ-ACK within a span on one PUCCH slot (both single carrier and UL CA), for a unified design, the following should be specified:</w:t>
      </w:r>
    </w:p>
    <w:p w14:paraId="3F87763A" w14:textId="77777777" w:rsidR="00AD18E3" w:rsidRDefault="00BD4F84">
      <w:pPr>
        <w:numPr>
          <w:ilvl w:val="0"/>
          <w:numId w:val="5"/>
        </w:numPr>
        <w:rPr>
          <w:rFonts w:ascii="Arial" w:eastAsia="Times New Roman" w:hAnsi="Arial" w:cs="Arial"/>
        </w:rPr>
      </w:pPr>
      <w:r>
        <w:rPr>
          <w:rFonts w:ascii="Arial" w:eastAsia="Times New Roman" w:hAnsi="Arial" w:cs="Arial"/>
        </w:rPr>
        <w:t xml:space="preserve">Selection of the  candidate PUSCH for multiplexing:  PUSCHs without UL-TDAI=4 in case Type 2 CB, and without UL-TDAI </w:t>
      </w:r>
      <w:proofErr w:type="spellStart"/>
      <w:r>
        <w:rPr>
          <w:rFonts w:ascii="Arial" w:eastAsia="Times New Roman" w:hAnsi="Arial" w:cs="Arial"/>
        </w:rPr>
        <w:t>n.e.</w:t>
      </w:r>
      <w:proofErr w:type="spellEnd"/>
      <w:r>
        <w:rPr>
          <w:rFonts w:ascii="Arial" w:eastAsia="Times New Roman" w:hAnsi="Arial" w:cs="Arial"/>
        </w:rPr>
        <w:t xml:space="preserve"> 1 in case of Type 1 CB within the PUCCH slot are candidates</w:t>
      </w:r>
    </w:p>
    <w:p w14:paraId="4ACF73D9" w14:textId="77777777" w:rsidR="00AD18E3" w:rsidRDefault="00BD4F84">
      <w:pPr>
        <w:numPr>
          <w:ilvl w:val="0"/>
          <w:numId w:val="5"/>
        </w:numPr>
        <w:rPr>
          <w:rFonts w:ascii="Arial" w:eastAsia="Times New Roman" w:hAnsi="Arial" w:cs="Arial"/>
        </w:rPr>
      </w:pPr>
      <w:r>
        <w:rPr>
          <w:rFonts w:ascii="Arial" w:eastAsia="Times New Roman" w:hAnsi="Arial" w:cs="Arial"/>
        </w:rPr>
        <w:t>Prioritization rules to select PUSCH for multiplexing. Prioritization rules are identical to 38.213</w:t>
      </w:r>
    </w:p>
    <w:p w14:paraId="139C3170" w14:textId="77777777" w:rsidR="00AD18E3" w:rsidRDefault="00BD4F84">
      <w:pPr>
        <w:numPr>
          <w:ilvl w:val="0"/>
          <w:numId w:val="5"/>
        </w:numPr>
        <w:rPr>
          <w:rFonts w:ascii="Arial" w:eastAsia="Times New Roman" w:hAnsi="Arial" w:cs="Arial"/>
        </w:rPr>
      </w:pPr>
      <w:r>
        <w:rPr>
          <w:rFonts w:ascii="Arial" w:eastAsia="Times New Roman" w:hAnsi="Arial" w:cs="Arial"/>
        </w:rPr>
        <w:t>Limitations for multiplexing</w:t>
      </w:r>
    </w:p>
    <w:p w14:paraId="6A2154DA" w14:textId="77777777" w:rsidR="00AD18E3" w:rsidRDefault="00BD4F84">
      <w:pPr>
        <w:numPr>
          <w:ilvl w:val="1"/>
          <w:numId w:val="6"/>
        </w:numPr>
        <w:rPr>
          <w:rFonts w:ascii="Arial" w:eastAsia="Times New Roman" w:hAnsi="Arial" w:cs="Arial"/>
        </w:rPr>
      </w:pPr>
      <w:r>
        <w:rPr>
          <w:rFonts w:ascii="Arial" w:eastAsia="Times New Roman" w:hAnsi="Arial" w:cs="Arial"/>
        </w:rPr>
        <w:t>UE expects to multiplex HARQ-ACK on only 1 PUSCH selected based on step 2 in the PUCCH slot.</w:t>
      </w:r>
    </w:p>
    <w:p w14:paraId="1BC10DC2" w14:textId="77777777" w:rsidR="00AD18E3" w:rsidRDefault="00BD4F84">
      <w:pPr>
        <w:numPr>
          <w:ilvl w:val="1"/>
          <w:numId w:val="6"/>
        </w:numPr>
        <w:rPr>
          <w:rFonts w:ascii="Arial" w:eastAsia="Times New Roman" w:hAnsi="Arial" w:cs="Arial"/>
        </w:rPr>
      </w:pPr>
      <w:r>
        <w:rPr>
          <w:rFonts w:ascii="Arial" w:eastAsia="Times New Roman" w:hAnsi="Arial" w:cs="Arial"/>
        </w:rPr>
        <w:t>All the PUSCHs in the determined candidate set after step 1 have to satisfy Rel-15 UCI multiplexing timeline, defined with respect the starting symbol of the earliest PUSCH transmission in the candidate set.</w:t>
      </w:r>
    </w:p>
    <w:p w14:paraId="583987CB" w14:textId="77777777" w:rsidR="00AD18E3" w:rsidRDefault="00BD4F84">
      <w:pPr>
        <w:rPr>
          <w:rFonts w:ascii="Arial" w:eastAsia="Malgun Gothic" w:hAnsi="Arial" w:cs="Arial"/>
        </w:rPr>
      </w:pPr>
      <w:r>
        <w:rPr>
          <w:rFonts w:ascii="Arial" w:hAnsi="Arial" w:cs="Arial"/>
        </w:rPr>
        <w:t>The above specified behaviour is supported subject to a new Rel-16 UE capability [</w:t>
      </w:r>
      <w:proofErr w:type="spellStart"/>
      <w:r>
        <w:rPr>
          <w:rFonts w:ascii="Arial" w:hAnsi="Arial" w:cs="Arial"/>
        </w:rPr>
        <w:t>xxxxx</w:t>
      </w:r>
      <w:proofErr w:type="spellEnd"/>
      <w:r>
        <w:rPr>
          <w:rFonts w:ascii="Arial" w:hAnsi="Arial" w:cs="Arial"/>
        </w:rPr>
        <w:t>]</w:t>
      </w:r>
    </w:p>
    <w:p w14:paraId="321B590E" w14:textId="60F0E0C6" w:rsidR="00AD18E3" w:rsidRDefault="00BD4F84">
      <w:pPr>
        <w:numPr>
          <w:ilvl w:val="0"/>
          <w:numId w:val="7"/>
        </w:numPr>
        <w:rPr>
          <w:rFonts w:ascii="Arial" w:eastAsia="Times New Roman" w:hAnsi="Arial" w:cs="Arial"/>
        </w:rPr>
      </w:pPr>
      <w:r>
        <w:rPr>
          <w:rFonts w:ascii="Arial" w:eastAsia="Times New Roman" w:hAnsi="Arial" w:cs="Arial"/>
        </w:rPr>
        <w:t>FFS: the details of the capability signaling</w:t>
      </w:r>
    </w:p>
    <w:p w14:paraId="13EC0039" w14:textId="77777777" w:rsidR="008A3124" w:rsidRDefault="008A3124" w:rsidP="008A3124">
      <w:pPr>
        <w:tabs>
          <w:tab w:val="left" w:pos="720"/>
        </w:tabs>
        <w:ind w:left="720"/>
        <w:rPr>
          <w:rFonts w:ascii="Arial" w:eastAsia="Times New Roman" w:hAnsi="Arial" w:cs="Arial"/>
        </w:rPr>
      </w:pPr>
    </w:p>
    <w:p w14:paraId="5E342D8C" w14:textId="77777777" w:rsidR="00AD18E3" w:rsidRDefault="00BD4F84">
      <w:pPr>
        <w:rPr>
          <w:rFonts w:eastAsia="Malgun Gothic" w:cs="Times"/>
        </w:rPr>
      </w:pPr>
      <w:r>
        <w:rPr>
          <w:rFonts w:cs="Times"/>
        </w:rPr>
        <w:t> </w:t>
      </w:r>
    </w:p>
    <w:p w14:paraId="12C44E4C" w14:textId="77777777" w:rsidR="00AD18E3" w:rsidRDefault="00BD4F84">
      <w:pPr>
        <w:rPr>
          <w:rFonts w:cs="Times"/>
        </w:rPr>
      </w:pPr>
      <w:r>
        <w:rPr>
          <w:rFonts w:cs="Times"/>
          <w:b/>
          <w:color w:val="000000"/>
          <w:shd w:val="clear" w:color="auto" w:fill="00F900"/>
        </w:rPr>
        <w:t>Agreement</w:t>
      </w:r>
      <w:r>
        <w:rPr>
          <w:rFonts w:cs="Times"/>
        </w:rPr>
        <w:t> </w:t>
      </w:r>
    </w:p>
    <w:tbl>
      <w:tblPr>
        <w:tblW w:w="10910"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3"/>
        <w:gridCol w:w="478"/>
        <w:gridCol w:w="745"/>
        <w:gridCol w:w="1411"/>
        <w:gridCol w:w="795"/>
        <w:gridCol w:w="705"/>
        <w:gridCol w:w="722"/>
        <w:gridCol w:w="872"/>
        <w:gridCol w:w="733"/>
        <w:gridCol w:w="883"/>
        <w:gridCol w:w="883"/>
        <w:gridCol w:w="861"/>
        <w:gridCol w:w="439"/>
        <w:gridCol w:w="750"/>
      </w:tblGrid>
      <w:tr w:rsidR="00AD18E3" w14:paraId="0335D8D7" w14:textId="77777777" w:rsidTr="00343BBC">
        <w:trPr>
          <w:trHeight w:val="20"/>
          <w:jc w:val="center"/>
        </w:trPr>
        <w:tc>
          <w:tcPr>
            <w:tcW w:w="633" w:type="dxa"/>
            <w:tcMar>
              <w:top w:w="0" w:type="dxa"/>
              <w:left w:w="108" w:type="dxa"/>
              <w:bottom w:w="0" w:type="dxa"/>
              <w:right w:w="108" w:type="dxa"/>
            </w:tcMar>
          </w:tcPr>
          <w:p w14:paraId="0FFC6572" w14:textId="77777777" w:rsidR="00AD18E3" w:rsidRDefault="00BD4F84">
            <w:pPr>
              <w:jc w:val="center"/>
              <w:rPr>
                <w:rFonts w:ascii="Arial" w:hAnsi="Arial" w:cs="Arial"/>
                <w:sz w:val="10"/>
              </w:rPr>
            </w:pPr>
            <w:r>
              <w:rPr>
                <w:rFonts w:ascii="Arial" w:hAnsi="Arial" w:cs="Arial"/>
                <w:b/>
                <w:bCs/>
                <w:sz w:val="10"/>
              </w:rPr>
              <w:t>Features</w:t>
            </w:r>
          </w:p>
        </w:tc>
        <w:tc>
          <w:tcPr>
            <w:tcW w:w="478" w:type="dxa"/>
            <w:tcMar>
              <w:top w:w="0" w:type="dxa"/>
              <w:left w:w="108" w:type="dxa"/>
              <w:bottom w:w="0" w:type="dxa"/>
              <w:right w:w="108" w:type="dxa"/>
            </w:tcMar>
          </w:tcPr>
          <w:p w14:paraId="60CC83DB" w14:textId="77777777" w:rsidR="00AD18E3" w:rsidRDefault="00BD4F84">
            <w:pPr>
              <w:jc w:val="center"/>
              <w:rPr>
                <w:rFonts w:ascii="Arial" w:hAnsi="Arial" w:cs="Arial"/>
                <w:sz w:val="10"/>
              </w:rPr>
            </w:pPr>
            <w:r>
              <w:rPr>
                <w:rFonts w:ascii="Arial" w:hAnsi="Arial" w:cs="Arial"/>
                <w:b/>
                <w:bCs/>
                <w:sz w:val="10"/>
              </w:rPr>
              <w:t>Index</w:t>
            </w:r>
          </w:p>
        </w:tc>
        <w:tc>
          <w:tcPr>
            <w:tcW w:w="745" w:type="dxa"/>
            <w:tcMar>
              <w:top w:w="0" w:type="dxa"/>
              <w:left w:w="108" w:type="dxa"/>
              <w:bottom w:w="0" w:type="dxa"/>
              <w:right w:w="108" w:type="dxa"/>
            </w:tcMar>
          </w:tcPr>
          <w:p w14:paraId="20EB404D" w14:textId="77777777" w:rsidR="00AD18E3" w:rsidRDefault="00BD4F84">
            <w:pPr>
              <w:jc w:val="center"/>
              <w:rPr>
                <w:rFonts w:ascii="Arial" w:hAnsi="Arial" w:cs="Arial"/>
                <w:sz w:val="10"/>
              </w:rPr>
            </w:pPr>
            <w:r>
              <w:rPr>
                <w:rFonts w:ascii="Arial" w:hAnsi="Arial" w:cs="Arial"/>
                <w:b/>
                <w:bCs/>
                <w:sz w:val="10"/>
              </w:rPr>
              <w:t>Feature group</w:t>
            </w:r>
          </w:p>
        </w:tc>
        <w:tc>
          <w:tcPr>
            <w:tcW w:w="1554" w:type="dxa"/>
            <w:tcMar>
              <w:top w:w="0" w:type="dxa"/>
              <w:left w:w="108" w:type="dxa"/>
              <w:bottom w:w="0" w:type="dxa"/>
              <w:right w:w="108" w:type="dxa"/>
            </w:tcMar>
          </w:tcPr>
          <w:p w14:paraId="7C0E9858" w14:textId="77777777" w:rsidR="00AD18E3" w:rsidRDefault="00BD4F84">
            <w:pPr>
              <w:jc w:val="center"/>
              <w:rPr>
                <w:rFonts w:ascii="Arial" w:hAnsi="Arial" w:cs="Arial"/>
                <w:sz w:val="10"/>
              </w:rPr>
            </w:pPr>
            <w:r>
              <w:rPr>
                <w:rFonts w:ascii="Arial" w:hAnsi="Arial" w:cs="Arial"/>
                <w:b/>
                <w:bCs/>
                <w:sz w:val="10"/>
              </w:rPr>
              <w:t>Components</w:t>
            </w:r>
          </w:p>
        </w:tc>
        <w:tc>
          <w:tcPr>
            <w:tcW w:w="652" w:type="dxa"/>
            <w:tcMar>
              <w:top w:w="0" w:type="dxa"/>
              <w:left w:w="108" w:type="dxa"/>
              <w:bottom w:w="0" w:type="dxa"/>
              <w:right w:w="108" w:type="dxa"/>
            </w:tcMar>
          </w:tcPr>
          <w:p w14:paraId="56F76805" w14:textId="77777777" w:rsidR="00AD18E3" w:rsidRDefault="00BD4F84">
            <w:pPr>
              <w:jc w:val="center"/>
              <w:rPr>
                <w:rFonts w:ascii="Arial" w:hAnsi="Arial" w:cs="Arial"/>
                <w:sz w:val="10"/>
              </w:rPr>
            </w:pPr>
            <w:r>
              <w:rPr>
                <w:rFonts w:ascii="Arial" w:hAnsi="Arial" w:cs="Arial"/>
                <w:b/>
                <w:bCs/>
                <w:sz w:val="10"/>
              </w:rPr>
              <w:t>Prerequisite feature groups</w:t>
            </w:r>
          </w:p>
        </w:tc>
        <w:tc>
          <w:tcPr>
            <w:tcW w:w="705" w:type="dxa"/>
            <w:tcMar>
              <w:top w:w="0" w:type="dxa"/>
              <w:left w:w="108" w:type="dxa"/>
              <w:bottom w:w="0" w:type="dxa"/>
              <w:right w:w="108" w:type="dxa"/>
            </w:tcMar>
          </w:tcPr>
          <w:p w14:paraId="6C5E71FD" w14:textId="77777777" w:rsidR="00AD18E3" w:rsidRDefault="00BD4F84">
            <w:pPr>
              <w:jc w:val="center"/>
              <w:rPr>
                <w:rFonts w:ascii="Arial" w:hAnsi="Arial" w:cs="Arial"/>
                <w:sz w:val="10"/>
              </w:rPr>
            </w:pPr>
            <w:r>
              <w:rPr>
                <w:rFonts w:ascii="Arial" w:hAnsi="Arial" w:cs="Arial"/>
                <w:b/>
                <w:bCs/>
                <w:sz w:val="10"/>
              </w:rPr>
              <w:t xml:space="preserve">Need for the </w:t>
            </w:r>
            <w:proofErr w:type="spellStart"/>
            <w:r>
              <w:rPr>
                <w:rFonts w:ascii="Arial" w:hAnsi="Arial" w:cs="Arial"/>
                <w:b/>
                <w:bCs/>
                <w:sz w:val="10"/>
              </w:rPr>
              <w:t>gNB</w:t>
            </w:r>
            <w:proofErr w:type="spellEnd"/>
            <w:r>
              <w:rPr>
                <w:rFonts w:ascii="Arial" w:hAnsi="Arial" w:cs="Arial"/>
                <w:b/>
                <w:bCs/>
                <w:sz w:val="10"/>
              </w:rPr>
              <w:t xml:space="preserve"> to know if the feature is supported</w:t>
            </w:r>
          </w:p>
        </w:tc>
        <w:tc>
          <w:tcPr>
            <w:tcW w:w="722" w:type="dxa"/>
            <w:tcMar>
              <w:top w:w="0" w:type="dxa"/>
              <w:left w:w="108" w:type="dxa"/>
              <w:bottom w:w="0" w:type="dxa"/>
              <w:right w:w="108" w:type="dxa"/>
            </w:tcMar>
          </w:tcPr>
          <w:p w14:paraId="7E47DF82" w14:textId="77777777" w:rsidR="00AD18E3" w:rsidRDefault="00BD4F84">
            <w:pPr>
              <w:jc w:val="center"/>
              <w:rPr>
                <w:rFonts w:ascii="Arial" w:hAnsi="Arial" w:cs="Arial"/>
                <w:sz w:val="10"/>
              </w:rPr>
            </w:pPr>
            <w:r>
              <w:rPr>
                <w:rFonts w:ascii="Arial" w:hAnsi="Arial" w:cs="Arial"/>
                <w:b/>
                <w:bCs/>
                <w:sz w:val="10"/>
              </w:rPr>
              <w:t>Applicable to the capability signalling exchange between UEs (V2X WI only)”.</w:t>
            </w:r>
          </w:p>
        </w:tc>
        <w:tc>
          <w:tcPr>
            <w:tcW w:w="872" w:type="dxa"/>
            <w:tcMar>
              <w:top w:w="0" w:type="dxa"/>
              <w:left w:w="108" w:type="dxa"/>
              <w:bottom w:w="0" w:type="dxa"/>
              <w:right w:w="108" w:type="dxa"/>
            </w:tcMar>
          </w:tcPr>
          <w:p w14:paraId="26566DF2" w14:textId="77777777" w:rsidR="00AD18E3" w:rsidRDefault="00BD4F84">
            <w:pPr>
              <w:rPr>
                <w:rFonts w:ascii="Arial" w:hAnsi="Arial" w:cs="Arial"/>
                <w:sz w:val="10"/>
              </w:rPr>
            </w:pPr>
            <w:r>
              <w:rPr>
                <w:rFonts w:ascii="Arial" w:hAnsi="Arial" w:cs="Arial"/>
                <w:b/>
                <w:bCs/>
                <w:sz w:val="10"/>
              </w:rPr>
              <w:t>Consequence if the feature is not supported by the UE</w:t>
            </w:r>
          </w:p>
        </w:tc>
        <w:tc>
          <w:tcPr>
            <w:tcW w:w="733" w:type="dxa"/>
            <w:tcMar>
              <w:top w:w="0" w:type="dxa"/>
              <w:left w:w="108" w:type="dxa"/>
              <w:bottom w:w="0" w:type="dxa"/>
              <w:right w:w="108" w:type="dxa"/>
            </w:tcMar>
          </w:tcPr>
          <w:p w14:paraId="5CC4B028" w14:textId="77777777" w:rsidR="00AD18E3" w:rsidRDefault="00BD4F84">
            <w:pPr>
              <w:rPr>
                <w:rFonts w:ascii="Arial" w:hAnsi="Arial" w:cs="Arial"/>
                <w:sz w:val="10"/>
              </w:rPr>
            </w:pPr>
            <w:r>
              <w:rPr>
                <w:rFonts w:ascii="Arial" w:hAnsi="Arial" w:cs="Arial"/>
                <w:b/>
                <w:bCs/>
                <w:sz w:val="10"/>
              </w:rPr>
              <w:t>Type</w:t>
            </w:r>
          </w:p>
          <w:p w14:paraId="00A6E72C" w14:textId="77777777" w:rsidR="00AD18E3" w:rsidRDefault="00BD4F84">
            <w:pPr>
              <w:rPr>
                <w:rFonts w:ascii="Arial" w:hAnsi="Arial" w:cs="Arial"/>
                <w:sz w:val="10"/>
              </w:rPr>
            </w:pPr>
            <w:r>
              <w:rPr>
                <w:rFonts w:ascii="Arial" w:hAnsi="Arial" w:cs="Arial"/>
                <w:b/>
                <w:bCs/>
                <w:sz w:val="10"/>
              </w:rPr>
              <w:t>(the ‘type’ definition from UE features should be based on the granularity of 1) Per UE or 2) Per Band or 3) Per BC or 4) Per FS or 5) Per FSPC)</w:t>
            </w:r>
          </w:p>
        </w:tc>
        <w:tc>
          <w:tcPr>
            <w:tcW w:w="883" w:type="dxa"/>
            <w:tcMar>
              <w:top w:w="0" w:type="dxa"/>
              <w:left w:w="108" w:type="dxa"/>
              <w:bottom w:w="0" w:type="dxa"/>
              <w:right w:w="108" w:type="dxa"/>
            </w:tcMar>
          </w:tcPr>
          <w:p w14:paraId="1DFF2108" w14:textId="77777777" w:rsidR="00AD18E3" w:rsidRDefault="00BD4F84">
            <w:pPr>
              <w:jc w:val="center"/>
              <w:rPr>
                <w:rFonts w:ascii="Arial" w:hAnsi="Arial" w:cs="Arial"/>
                <w:sz w:val="10"/>
              </w:rPr>
            </w:pPr>
            <w:r>
              <w:rPr>
                <w:rFonts w:ascii="Arial" w:hAnsi="Arial" w:cs="Arial"/>
                <w:b/>
                <w:bCs/>
                <w:sz w:val="10"/>
              </w:rPr>
              <w:t>Need of FDD/TDD differentiation</w:t>
            </w:r>
          </w:p>
        </w:tc>
        <w:tc>
          <w:tcPr>
            <w:tcW w:w="883" w:type="dxa"/>
            <w:tcMar>
              <w:top w:w="0" w:type="dxa"/>
              <w:left w:w="108" w:type="dxa"/>
              <w:bottom w:w="0" w:type="dxa"/>
              <w:right w:w="108" w:type="dxa"/>
            </w:tcMar>
          </w:tcPr>
          <w:p w14:paraId="5FA30387" w14:textId="77777777" w:rsidR="00AD18E3" w:rsidRDefault="00BD4F84">
            <w:pPr>
              <w:jc w:val="center"/>
              <w:rPr>
                <w:rFonts w:ascii="Arial" w:hAnsi="Arial" w:cs="Arial"/>
                <w:sz w:val="10"/>
              </w:rPr>
            </w:pPr>
            <w:r>
              <w:rPr>
                <w:rFonts w:ascii="Arial" w:hAnsi="Arial" w:cs="Arial"/>
                <w:b/>
                <w:bCs/>
                <w:sz w:val="10"/>
              </w:rPr>
              <w:t>Need of FR1/FR2 differentiation</w:t>
            </w:r>
          </w:p>
        </w:tc>
        <w:tc>
          <w:tcPr>
            <w:tcW w:w="861" w:type="dxa"/>
            <w:tcMar>
              <w:top w:w="0" w:type="dxa"/>
              <w:left w:w="108" w:type="dxa"/>
              <w:bottom w:w="0" w:type="dxa"/>
              <w:right w:w="108" w:type="dxa"/>
            </w:tcMar>
          </w:tcPr>
          <w:p w14:paraId="0BCB2C4C" w14:textId="77777777" w:rsidR="00AD18E3" w:rsidRDefault="00BD4F84">
            <w:pPr>
              <w:jc w:val="center"/>
              <w:rPr>
                <w:rFonts w:ascii="Arial" w:hAnsi="Arial" w:cs="Arial"/>
                <w:sz w:val="10"/>
              </w:rPr>
            </w:pPr>
            <w:r>
              <w:rPr>
                <w:rFonts w:ascii="Arial" w:hAnsi="Arial" w:cs="Arial"/>
                <w:b/>
                <w:bCs/>
                <w:sz w:val="10"/>
              </w:rPr>
              <w:t>Capability interpretation for mixture of FDD/TDD and/or FR1/FR2</w:t>
            </w:r>
          </w:p>
        </w:tc>
        <w:tc>
          <w:tcPr>
            <w:tcW w:w="439" w:type="dxa"/>
            <w:tcMar>
              <w:top w:w="0" w:type="dxa"/>
              <w:left w:w="108" w:type="dxa"/>
              <w:bottom w:w="0" w:type="dxa"/>
              <w:right w:w="108" w:type="dxa"/>
            </w:tcMar>
          </w:tcPr>
          <w:p w14:paraId="0C6F1E1A" w14:textId="77777777" w:rsidR="00AD18E3" w:rsidRDefault="00BD4F84">
            <w:pPr>
              <w:jc w:val="center"/>
              <w:rPr>
                <w:rFonts w:ascii="Arial" w:hAnsi="Arial" w:cs="Arial"/>
                <w:sz w:val="10"/>
              </w:rPr>
            </w:pPr>
            <w:r>
              <w:rPr>
                <w:rFonts w:ascii="Arial" w:hAnsi="Arial" w:cs="Arial"/>
                <w:b/>
                <w:bCs/>
                <w:sz w:val="10"/>
              </w:rPr>
              <w:t>Note</w:t>
            </w:r>
          </w:p>
        </w:tc>
        <w:tc>
          <w:tcPr>
            <w:tcW w:w="750" w:type="dxa"/>
            <w:tcMar>
              <w:top w:w="0" w:type="dxa"/>
              <w:left w:w="108" w:type="dxa"/>
              <w:bottom w:w="0" w:type="dxa"/>
              <w:right w:w="108" w:type="dxa"/>
            </w:tcMar>
          </w:tcPr>
          <w:p w14:paraId="1DE291A8" w14:textId="77777777" w:rsidR="00AD18E3" w:rsidRDefault="00BD4F84">
            <w:pPr>
              <w:jc w:val="center"/>
              <w:rPr>
                <w:rFonts w:ascii="Arial" w:hAnsi="Arial" w:cs="Arial"/>
                <w:b/>
                <w:bCs/>
                <w:sz w:val="10"/>
              </w:rPr>
            </w:pPr>
            <w:r>
              <w:rPr>
                <w:rFonts w:ascii="Arial" w:hAnsi="Arial" w:cs="Arial"/>
                <w:b/>
                <w:bCs/>
                <w:sz w:val="10"/>
              </w:rPr>
              <w:t>Mandatory/</w:t>
            </w:r>
          </w:p>
          <w:p w14:paraId="17FA9514" w14:textId="77777777" w:rsidR="00AD18E3" w:rsidRDefault="00BD4F84">
            <w:pPr>
              <w:jc w:val="center"/>
              <w:rPr>
                <w:rFonts w:ascii="Arial" w:hAnsi="Arial" w:cs="Arial"/>
                <w:sz w:val="10"/>
              </w:rPr>
            </w:pPr>
            <w:r>
              <w:rPr>
                <w:rFonts w:ascii="Arial" w:hAnsi="Arial" w:cs="Arial"/>
                <w:b/>
                <w:bCs/>
                <w:sz w:val="10"/>
              </w:rPr>
              <w:t>Optional</w:t>
            </w:r>
          </w:p>
        </w:tc>
      </w:tr>
      <w:tr w:rsidR="00AD18E3" w14:paraId="55270833" w14:textId="77777777" w:rsidTr="00343BBC">
        <w:trPr>
          <w:trHeight w:val="20"/>
          <w:jc w:val="center"/>
        </w:trPr>
        <w:tc>
          <w:tcPr>
            <w:tcW w:w="633" w:type="dxa"/>
            <w:tcMar>
              <w:top w:w="0" w:type="dxa"/>
              <w:left w:w="108" w:type="dxa"/>
              <w:bottom w:w="0" w:type="dxa"/>
              <w:right w:w="108" w:type="dxa"/>
            </w:tcMar>
          </w:tcPr>
          <w:p w14:paraId="43CC68E7" w14:textId="77777777" w:rsidR="00AD18E3" w:rsidRDefault="00BD4F84">
            <w:pPr>
              <w:rPr>
                <w:rFonts w:ascii="Arial" w:hAnsi="Arial" w:cs="Arial"/>
                <w:sz w:val="10"/>
              </w:rPr>
            </w:pPr>
            <w:r>
              <w:rPr>
                <w:rFonts w:ascii="Arial" w:hAnsi="Arial" w:cs="Arial"/>
                <w:sz w:val="10"/>
              </w:rPr>
              <w:t>22. NR Others</w:t>
            </w:r>
          </w:p>
        </w:tc>
        <w:tc>
          <w:tcPr>
            <w:tcW w:w="478" w:type="dxa"/>
            <w:tcMar>
              <w:top w:w="0" w:type="dxa"/>
              <w:left w:w="108" w:type="dxa"/>
              <w:bottom w:w="0" w:type="dxa"/>
              <w:right w:w="108" w:type="dxa"/>
            </w:tcMar>
          </w:tcPr>
          <w:p w14:paraId="13E133A0" w14:textId="77777777" w:rsidR="00AD18E3" w:rsidRDefault="00BD4F84">
            <w:pPr>
              <w:rPr>
                <w:rFonts w:ascii="Arial" w:hAnsi="Arial" w:cs="Arial"/>
                <w:sz w:val="10"/>
              </w:rPr>
            </w:pPr>
            <w:r>
              <w:rPr>
                <w:rFonts w:ascii="Arial" w:hAnsi="Arial" w:cs="Arial"/>
                <w:sz w:val="10"/>
              </w:rPr>
              <w:t>22-12</w:t>
            </w:r>
          </w:p>
        </w:tc>
        <w:tc>
          <w:tcPr>
            <w:tcW w:w="745" w:type="dxa"/>
            <w:tcMar>
              <w:top w:w="0" w:type="dxa"/>
              <w:left w:w="108" w:type="dxa"/>
              <w:bottom w:w="0" w:type="dxa"/>
              <w:right w:w="108" w:type="dxa"/>
            </w:tcMar>
          </w:tcPr>
          <w:p w14:paraId="4186331A" w14:textId="77777777" w:rsidR="00AD18E3" w:rsidRDefault="00BD4F84">
            <w:pPr>
              <w:rPr>
                <w:rFonts w:ascii="Arial" w:hAnsi="Arial" w:cs="Arial"/>
                <w:sz w:val="10"/>
              </w:rPr>
            </w:pPr>
            <w:r>
              <w:rPr>
                <w:rFonts w:ascii="Arial" w:hAnsi="Arial" w:cs="Arial"/>
                <w:sz w:val="10"/>
              </w:rPr>
              <w:t xml:space="preserve">Multiplexing HARQ-ACK without </w:t>
            </w:r>
            <w:r>
              <w:rPr>
                <w:rFonts w:ascii="Arial" w:hAnsi="Arial" w:cs="Arial"/>
                <w:sz w:val="10"/>
              </w:rPr>
              <w:lastRenderedPageBreak/>
              <w:t>PUCCH on PUSCH</w:t>
            </w:r>
          </w:p>
        </w:tc>
        <w:tc>
          <w:tcPr>
            <w:tcW w:w="1554" w:type="dxa"/>
            <w:tcMar>
              <w:top w:w="0" w:type="dxa"/>
              <w:left w:w="108" w:type="dxa"/>
              <w:bottom w:w="0" w:type="dxa"/>
              <w:right w:w="108" w:type="dxa"/>
            </w:tcMar>
          </w:tcPr>
          <w:p w14:paraId="54634C34" w14:textId="77777777" w:rsidR="00AD18E3" w:rsidRDefault="00BD4F84">
            <w:pPr>
              <w:rPr>
                <w:rFonts w:ascii="Arial" w:hAnsi="Arial" w:cs="Arial"/>
                <w:sz w:val="10"/>
              </w:rPr>
            </w:pPr>
            <w:r>
              <w:rPr>
                <w:rFonts w:ascii="Arial" w:hAnsi="Arial" w:cs="Arial"/>
                <w:sz w:val="10"/>
              </w:rPr>
              <w:lastRenderedPageBreak/>
              <w:t xml:space="preserve">1.      multiplexing HARQ-ACK in a PUSCH in a PUCCH slot when the UE misses any HARQ-ACK to </w:t>
            </w:r>
            <w:r>
              <w:rPr>
                <w:rFonts w:ascii="Arial" w:hAnsi="Arial" w:cs="Arial"/>
                <w:sz w:val="10"/>
              </w:rPr>
              <w:lastRenderedPageBreak/>
              <w:t>transmit in any PUCCH but receives UL grant(s) with UL-TDAI field to transmit </w:t>
            </w:r>
            <w:r>
              <w:rPr>
                <w:rFonts w:ascii="Arial" w:hAnsi="Arial" w:cs="Arial"/>
                <w:b/>
                <w:bCs/>
                <w:sz w:val="10"/>
              </w:rPr>
              <w:t>multiple </w:t>
            </w:r>
            <w:r>
              <w:rPr>
                <w:rFonts w:ascii="Arial" w:hAnsi="Arial" w:cs="Arial"/>
                <w:sz w:val="10"/>
              </w:rPr>
              <w:t>PUSCHs in the PUCCH slot</w:t>
            </w:r>
          </w:p>
        </w:tc>
        <w:tc>
          <w:tcPr>
            <w:tcW w:w="652" w:type="dxa"/>
            <w:tcMar>
              <w:top w:w="0" w:type="dxa"/>
              <w:left w:w="108" w:type="dxa"/>
              <w:bottom w:w="0" w:type="dxa"/>
              <w:right w:w="108" w:type="dxa"/>
            </w:tcMar>
          </w:tcPr>
          <w:p w14:paraId="006F45FB" w14:textId="77777777" w:rsidR="00AD18E3" w:rsidRDefault="00AD18E3">
            <w:pPr>
              <w:rPr>
                <w:rFonts w:ascii="Arial" w:hAnsi="Arial" w:cs="Arial"/>
                <w:sz w:val="10"/>
              </w:rPr>
            </w:pPr>
          </w:p>
        </w:tc>
        <w:tc>
          <w:tcPr>
            <w:tcW w:w="705" w:type="dxa"/>
            <w:tcMar>
              <w:top w:w="0" w:type="dxa"/>
              <w:left w:w="108" w:type="dxa"/>
              <w:bottom w:w="0" w:type="dxa"/>
              <w:right w:w="108" w:type="dxa"/>
            </w:tcMar>
          </w:tcPr>
          <w:p w14:paraId="47DC4E8D" w14:textId="77777777" w:rsidR="00AD18E3" w:rsidRDefault="00BD4F84">
            <w:pPr>
              <w:rPr>
                <w:rFonts w:ascii="Arial" w:eastAsia="Malgun Gothic" w:hAnsi="Arial" w:cs="Arial"/>
                <w:sz w:val="10"/>
              </w:rPr>
            </w:pPr>
            <w:r>
              <w:rPr>
                <w:rFonts w:ascii="Arial" w:hAnsi="Arial" w:cs="Arial"/>
                <w:sz w:val="10"/>
              </w:rPr>
              <w:t>Yes</w:t>
            </w:r>
          </w:p>
        </w:tc>
        <w:tc>
          <w:tcPr>
            <w:tcW w:w="722" w:type="dxa"/>
            <w:tcMar>
              <w:top w:w="0" w:type="dxa"/>
              <w:left w:w="108" w:type="dxa"/>
              <w:bottom w:w="0" w:type="dxa"/>
              <w:right w:w="108" w:type="dxa"/>
            </w:tcMar>
          </w:tcPr>
          <w:p w14:paraId="69BE630B" w14:textId="77777777" w:rsidR="00AD18E3" w:rsidRDefault="00BD4F84">
            <w:pPr>
              <w:rPr>
                <w:rFonts w:ascii="Arial" w:hAnsi="Arial" w:cs="Arial"/>
                <w:sz w:val="10"/>
              </w:rPr>
            </w:pPr>
            <w:r>
              <w:rPr>
                <w:rFonts w:ascii="Arial" w:hAnsi="Arial" w:cs="Arial"/>
                <w:sz w:val="10"/>
              </w:rPr>
              <w:t>N/A</w:t>
            </w:r>
          </w:p>
        </w:tc>
        <w:tc>
          <w:tcPr>
            <w:tcW w:w="872" w:type="dxa"/>
            <w:tcMar>
              <w:top w:w="0" w:type="dxa"/>
              <w:left w:w="108" w:type="dxa"/>
              <w:bottom w:w="0" w:type="dxa"/>
              <w:right w:w="108" w:type="dxa"/>
            </w:tcMar>
          </w:tcPr>
          <w:p w14:paraId="47EA90E9" w14:textId="77777777" w:rsidR="00AD18E3" w:rsidRDefault="00BD4F84">
            <w:pPr>
              <w:rPr>
                <w:rFonts w:ascii="Arial" w:hAnsi="Arial" w:cs="Arial"/>
                <w:sz w:val="10"/>
              </w:rPr>
            </w:pPr>
            <w:r>
              <w:rPr>
                <w:rFonts w:ascii="Arial" w:hAnsi="Arial" w:cs="Arial"/>
                <w:sz w:val="10"/>
              </w:rPr>
              <w:t> </w:t>
            </w:r>
          </w:p>
        </w:tc>
        <w:tc>
          <w:tcPr>
            <w:tcW w:w="733" w:type="dxa"/>
            <w:tcMar>
              <w:top w:w="0" w:type="dxa"/>
              <w:left w:w="108" w:type="dxa"/>
              <w:bottom w:w="0" w:type="dxa"/>
              <w:right w:w="108" w:type="dxa"/>
            </w:tcMar>
          </w:tcPr>
          <w:p w14:paraId="0CC61469" w14:textId="1A858EE3" w:rsidR="00AD18E3" w:rsidRDefault="006C592E">
            <w:pPr>
              <w:rPr>
                <w:rFonts w:ascii="Arial" w:hAnsi="Arial" w:cs="Arial"/>
                <w:sz w:val="10"/>
              </w:rPr>
            </w:pPr>
            <w:r w:rsidRPr="006C592E">
              <w:rPr>
                <w:rFonts w:ascii="Arial" w:hAnsi="Arial" w:cs="Arial"/>
                <w:sz w:val="10"/>
              </w:rPr>
              <w:t xml:space="preserve">Per </w:t>
            </w:r>
            <w:proofErr w:type="spellStart"/>
            <w:r w:rsidRPr="006C592E">
              <w:rPr>
                <w:rFonts w:ascii="Arial" w:hAnsi="Arial" w:cs="Arial"/>
                <w:sz w:val="10"/>
              </w:rPr>
              <w:t>Ue</w:t>
            </w:r>
            <w:proofErr w:type="spellEnd"/>
          </w:p>
        </w:tc>
        <w:tc>
          <w:tcPr>
            <w:tcW w:w="883" w:type="dxa"/>
            <w:tcMar>
              <w:top w:w="0" w:type="dxa"/>
              <w:left w:w="108" w:type="dxa"/>
              <w:bottom w:w="0" w:type="dxa"/>
              <w:right w:w="108" w:type="dxa"/>
            </w:tcMar>
          </w:tcPr>
          <w:p w14:paraId="2609CADA" w14:textId="1584FC55" w:rsidR="00AD18E3" w:rsidRDefault="006C592E">
            <w:pPr>
              <w:rPr>
                <w:rFonts w:ascii="Arial" w:hAnsi="Arial" w:cs="Arial"/>
                <w:sz w:val="10"/>
              </w:rPr>
            </w:pPr>
            <w:r w:rsidRPr="006C592E">
              <w:rPr>
                <w:rFonts w:ascii="Arial" w:hAnsi="Arial" w:cs="Arial"/>
                <w:sz w:val="10"/>
              </w:rPr>
              <w:t>N/A</w:t>
            </w:r>
          </w:p>
        </w:tc>
        <w:tc>
          <w:tcPr>
            <w:tcW w:w="883" w:type="dxa"/>
            <w:tcMar>
              <w:top w:w="0" w:type="dxa"/>
              <w:left w:w="108" w:type="dxa"/>
              <w:bottom w:w="0" w:type="dxa"/>
              <w:right w:w="108" w:type="dxa"/>
            </w:tcMar>
          </w:tcPr>
          <w:p w14:paraId="60B7C457" w14:textId="55B5ADEE" w:rsidR="00AD18E3" w:rsidRDefault="006C592E">
            <w:pPr>
              <w:rPr>
                <w:rFonts w:ascii="Arial" w:hAnsi="Arial" w:cs="Arial"/>
                <w:sz w:val="10"/>
              </w:rPr>
            </w:pPr>
            <w:r>
              <w:rPr>
                <w:rFonts w:ascii="Arial" w:hAnsi="Arial" w:cs="Arial"/>
                <w:sz w:val="10"/>
              </w:rPr>
              <w:t>N/A</w:t>
            </w:r>
          </w:p>
        </w:tc>
        <w:tc>
          <w:tcPr>
            <w:tcW w:w="861" w:type="dxa"/>
            <w:tcMar>
              <w:top w:w="0" w:type="dxa"/>
              <w:left w:w="108" w:type="dxa"/>
              <w:bottom w:w="0" w:type="dxa"/>
              <w:right w:w="108" w:type="dxa"/>
            </w:tcMar>
          </w:tcPr>
          <w:p w14:paraId="04F431D3" w14:textId="77777777" w:rsidR="00AD18E3" w:rsidRDefault="00BD4F84">
            <w:pPr>
              <w:rPr>
                <w:rFonts w:ascii="Arial" w:hAnsi="Arial" w:cs="Arial"/>
                <w:sz w:val="10"/>
              </w:rPr>
            </w:pPr>
            <w:r>
              <w:rPr>
                <w:rFonts w:ascii="Arial" w:hAnsi="Arial" w:cs="Arial"/>
                <w:sz w:val="10"/>
              </w:rPr>
              <w:t>N/A</w:t>
            </w:r>
          </w:p>
        </w:tc>
        <w:tc>
          <w:tcPr>
            <w:tcW w:w="439" w:type="dxa"/>
            <w:tcMar>
              <w:top w:w="0" w:type="dxa"/>
              <w:left w:w="108" w:type="dxa"/>
              <w:bottom w:w="0" w:type="dxa"/>
              <w:right w:w="108" w:type="dxa"/>
            </w:tcMar>
          </w:tcPr>
          <w:p w14:paraId="27281491" w14:textId="77777777" w:rsidR="00AD18E3" w:rsidRDefault="00AD18E3">
            <w:pPr>
              <w:rPr>
                <w:rFonts w:ascii="Arial" w:hAnsi="Arial" w:cs="Arial"/>
                <w:sz w:val="10"/>
              </w:rPr>
            </w:pPr>
          </w:p>
        </w:tc>
        <w:tc>
          <w:tcPr>
            <w:tcW w:w="750" w:type="dxa"/>
            <w:tcMar>
              <w:top w:w="0" w:type="dxa"/>
              <w:left w:w="108" w:type="dxa"/>
              <w:bottom w:w="0" w:type="dxa"/>
              <w:right w:w="108" w:type="dxa"/>
            </w:tcMar>
          </w:tcPr>
          <w:p w14:paraId="47A9B8E5" w14:textId="77777777" w:rsidR="00AD18E3" w:rsidRDefault="00BD4F84">
            <w:pPr>
              <w:rPr>
                <w:rFonts w:ascii="Arial" w:eastAsia="Malgun Gothic" w:hAnsi="Arial" w:cs="Arial"/>
                <w:sz w:val="10"/>
              </w:rPr>
            </w:pPr>
            <w:r>
              <w:rPr>
                <w:rFonts w:ascii="Arial" w:hAnsi="Arial" w:cs="Arial"/>
                <w:sz w:val="10"/>
              </w:rPr>
              <w:t>Optional</w:t>
            </w:r>
          </w:p>
        </w:tc>
      </w:tr>
    </w:tbl>
    <w:p w14:paraId="557272A7" w14:textId="77777777" w:rsidR="00AD18E3" w:rsidRDefault="00AD18E3">
      <w:pPr>
        <w:pStyle w:val="Header"/>
        <w:tabs>
          <w:tab w:val="clear" w:pos="4153"/>
          <w:tab w:val="clear" w:pos="8306"/>
        </w:tabs>
        <w:rPr>
          <w:rFonts w:ascii="Arial" w:hAnsi="Arial" w:cs="Arial"/>
        </w:rPr>
      </w:pPr>
    </w:p>
    <w:p w14:paraId="22A5609D" w14:textId="77777777" w:rsidR="00AD18E3" w:rsidRDefault="00AD18E3">
      <w:pPr>
        <w:pStyle w:val="Header"/>
        <w:tabs>
          <w:tab w:val="clear" w:pos="4153"/>
          <w:tab w:val="clear" w:pos="8306"/>
        </w:tabs>
        <w:rPr>
          <w:rFonts w:ascii="Arial" w:hAnsi="Arial" w:cs="Arial"/>
        </w:rPr>
      </w:pPr>
    </w:p>
    <w:p w14:paraId="3D7828BF" w14:textId="77777777" w:rsidR="00AD18E3" w:rsidRDefault="00AD18E3">
      <w:pPr>
        <w:pStyle w:val="Header"/>
        <w:tabs>
          <w:tab w:val="clear" w:pos="4153"/>
          <w:tab w:val="clear" w:pos="8306"/>
        </w:tabs>
        <w:rPr>
          <w:rFonts w:ascii="Arial" w:hAnsi="Arial" w:cs="Arial"/>
        </w:rPr>
      </w:pPr>
    </w:p>
    <w:p w14:paraId="45C00CB1" w14:textId="77777777" w:rsidR="00AD18E3" w:rsidRDefault="00AD18E3">
      <w:pPr>
        <w:pStyle w:val="Header"/>
        <w:tabs>
          <w:tab w:val="clear" w:pos="4153"/>
          <w:tab w:val="clear" w:pos="8306"/>
        </w:tabs>
        <w:rPr>
          <w:rFonts w:ascii="Arial" w:hAnsi="Arial" w:cs="Arial"/>
        </w:rPr>
      </w:pPr>
    </w:p>
    <w:p w14:paraId="73B3ABF4" w14:textId="77777777" w:rsidR="00AD18E3" w:rsidRDefault="00AD18E3">
      <w:pPr>
        <w:pStyle w:val="Header"/>
        <w:tabs>
          <w:tab w:val="clear" w:pos="4153"/>
          <w:tab w:val="clear" w:pos="8306"/>
        </w:tabs>
        <w:rPr>
          <w:rFonts w:ascii="Arial" w:hAnsi="Arial" w:cs="Arial"/>
        </w:rPr>
      </w:pPr>
    </w:p>
    <w:p w14:paraId="4ED89EAF" w14:textId="77777777" w:rsidR="00AD18E3" w:rsidRDefault="00BD4F84">
      <w:pPr>
        <w:spacing w:after="120"/>
        <w:rPr>
          <w:rFonts w:ascii="Arial" w:hAnsi="Arial" w:cs="Arial"/>
          <w:b/>
        </w:rPr>
      </w:pPr>
      <w:r>
        <w:rPr>
          <w:rFonts w:ascii="Arial" w:hAnsi="Arial" w:cs="Arial"/>
          <w:b/>
        </w:rPr>
        <w:t>2. Actions:</w:t>
      </w:r>
    </w:p>
    <w:p w14:paraId="674C80E7" w14:textId="77777777" w:rsidR="00AD18E3" w:rsidRDefault="00BD4F84">
      <w:pPr>
        <w:spacing w:after="120"/>
        <w:ind w:left="1985" w:hanging="1985"/>
        <w:rPr>
          <w:rFonts w:ascii="Arial" w:hAnsi="Arial" w:cs="Arial"/>
          <w:b/>
        </w:rPr>
      </w:pPr>
      <w:r>
        <w:rPr>
          <w:rFonts w:ascii="Arial" w:hAnsi="Arial" w:cs="Arial"/>
          <w:b/>
        </w:rPr>
        <w:t xml:space="preserve">To RAN WG2: </w:t>
      </w:r>
    </w:p>
    <w:p w14:paraId="7CFA1C3E" w14:textId="77777777" w:rsidR="00AD18E3" w:rsidRDefault="00BD4F84">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RAN2 to implement the newly defined UE feature in their specification.</w:t>
      </w:r>
    </w:p>
    <w:p w14:paraId="221A802B" w14:textId="77777777" w:rsidR="00AD18E3" w:rsidRDefault="00AD18E3">
      <w:pPr>
        <w:spacing w:after="120"/>
        <w:ind w:left="993" w:hanging="993"/>
        <w:rPr>
          <w:rFonts w:ascii="Arial" w:hAnsi="Arial" w:cs="Arial"/>
        </w:rPr>
      </w:pPr>
    </w:p>
    <w:p w14:paraId="6DB3BF05" w14:textId="77777777" w:rsidR="00AD18E3" w:rsidRDefault="00AD18E3">
      <w:pPr>
        <w:spacing w:after="120"/>
        <w:ind w:left="993" w:hanging="993"/>
        <w:rPr>
          <w:rFonts w:ascii="Arial" w:hAnsi="Arial" w:cs="Arial"/>
        </w:rPr>
      </w:pPr>
    </w:p>
    <w:p w14:paraId="23B41502" w14:textId="77777777" w:rsidR="00AD18E3" w:rsidRDefault="00BD4F84">
      <w:pPr>
        <w:spacing w:after="120"/>
        <w:rPr>
          <w:rFonts w:ascii="Arial" w:hAnsi="Arial" w:cs="Arial"/>
          <w:b/>
        </w:rPr>
      </w:pPr>
      <w:r>
        <w:rPr>
          <w:rFonts w:ascii="Arial" w:hAnsi="Arial" w:cs="Arial"/>
          <w:b/>
        </w:rPr>
        <w:t>3. Date of Next TSG-RAN WG1 Meetings:</w:t>
      </w:r>
    </w:p>
    <w:p w14:paraId="4E96C0AC" w14:textId="77777777" w:rsidR="00AD18E3" w:rsidRDefault="00BD4F84">
      <w:pPr>
        <w:pStyle w:val="CRCoverPage"/>
        <w:outlineLvl w:val="0"/>
        <w:rPr>
          <w:bCs/>
          <w:lang w:val="en-US" w:eastAsia="ja-JP"/>
        </w:rPr>
      </w:pPr>
      <w:r>
        <w:rPr>
          <w:bCs/>
          <w:lang w:val="en-US" w:eastAsia="zh-CN"/>
        </w:rPr>
        <w:t>TSG RAN1 #110</w:t>
      </w:r>
      <w:r>
        <w:rPr>
          <w:bCs/>
          <w:lang w:val="en-US" w:eastAsia="zh-CN"/>
        </w:rPr>
        <w:tab/>
      </w:r>
      <w:r>
        <w:rPr>
          <w:bCs/>
          <w:lang w:val="en-US" w:eastAsia="ja-JP"/>
        </w:rPr>
        <w:tab/>
        <w:t xml:space="preserve">             22 – 26 August 2022</w:t>
      </w:r>
      <w:r>
        <w:rPr>
          <w:bCs/>
          <w:lang w:val="en-US" w:eastAsia="ja-JP"/>
        </w:rPr>
        <w:tab/>
      </w:r>
      <w:r>
        <w:rPr>
          <w:bCs/>
          <w:lang w:val="en-US" w:eastAsia="ja-JP"/>
        </w:rPr>
        <w:tab/>
        <w:t>Toulouse, FR</w:t>
      </w:r>
    </w:p>
    <w:p w14:paraId="086A6340" w14:textId="77777777" w:rsidR="00AD18E3" w:rsidRDefault="00BD4F84">
      <w:pPr>
        <w:pStyle w:val="CRCoverPage"/>
        <w:outlineLvl w:val="0"/>
        <w:rPr>
          <w:bCs/>
          <w:lang w:val="en-US" w:eastAsia="ja-JP"/>
        </w:rPr>
      </w:pPr>
      <w:r>
        <w:rPr>
          <w:bCs/>
          <w:lang w:val="en-US" w:eastAsia="zh-CN"/>
        </w:rPr>
        <w:t>TSG RAN1 #110-bis-e</w:t>
      </w:r>
      <w:r>
        <w:rPr>
          <w:bCs/>
          <w:lang w:val="en-US" w:eastAsia="ja-JP"/>
        </w:rPr>
        <w:tab/>
      </w:r>
      <w:r>
        <w:rPr>
          <w:bCs/>
          <w:lang w:val="en-US" w:eastAsia="zh-CN"/>
        </w:rPr>
        <w:tab/>
      </w:r>
      <w:r>
        <w:rPr>
          <w:bCs/>
          <w:lang w:val="en-US" w:eastAsia="ja-JP"/>
        </w:rPr>
        <w:tab/>
        <w:t>10 – 19 October 2022</w:t>
      </w:r>
      <w:r>
        <w:rPr>
          <w:bCs/>
          <w:lang w:val="en-US" w:eastAsia="ja-JP"/>
        </w:rPr>
        <w:tab/>
      </w:r>
      <w:r>
        <w:rPr>
          <w:bCs/>
          <w:lang w:val="en-US" w:eastAsia="ja-JP"/>
        </w:rPr>
        <w:tab/>
        <w:t xml:space="preserve">Online </w:t>
      </w:r>
    </w:p>
    <w:p w14:paraId="746E3CC7" w14:textId="7B81CD3C" w:rsidR="00AD18E3" w:rsidRDefault="00AD18E3">
      <w:pPr>
        <w:rPr>
          <w:rFonts w:ascii="Arial" w:hAnsi="Arial" w:cs="Arial"/>
          <w:bCs/>
          <w:lang w:val="en-US"/>
        </w:rPr>
      </w:pPr>
    </w:p>
    <w:p w14:paraId="7B6EB6D7" w14:textId="77777777" w:rsidR="00AD18E3" w:rsidRDefault="00AD18E3">
      <w:pPr>
        <w:tabs>
          <w:tab w:val="left" w:pos="5103"/>
        </w:tabs>
        <w:spacing w:after="120"/>
        <w:ind w:left="2268" w:hanging="2268"/>
        <w:rPr>
          <w:rFonts w:ascii="Arial" w:hAnsi="Arial" w:cs="Arial"/>
          <w:bCs/>
          <w:lang w:val="en-US"/>
        </w:rPr>
      </w:pPr>
    </w:p>
    <w:sectPr w:rsidR="00AD18E3">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EE0E" w14:textId="77777777" w:rsidR="004E5856" w:rsidRDefault="004E5856" w:rsidP="00BD4F84">
      <w:r>
        <w:separator/>
      </w:r>
    </w:p>
  </w:endnote>
  <w:endnote w:type="continuationSeparator" w:id="0">
    <w:p w14:paraId="58244218" w14:textId="77777777" w:rsidR="004E5856" w:rsidRDefault="004E5856" w:rsidP="00BD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DF88" w14:textId="77777777" w:rsidR="004E5856" w:rsidRDefault="004E5856" w:rsidP="00BD4F84">
      <w:r>
        <w:separator/>
      </w:r>
    </w:p>
  </w:footnote>
  <w:footnote w:type="continuationSeparator" w:id="0">
    <w:p w14:paraId="0A79B0B6" w14:textId="77777777" w:rsidR="004E5856" w:rsidRDefault="004E5856" w:rsidP="00BD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7FE3"/>
    <w:multiLevelType w:val="multilevel"/>
    <w:tmpl w:val="11B27FE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1BED0F2D"/>
    <w:multiLevelType w:val="multilevel"/>
    <w:tmpl w:val="1BED0F2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34C71EB"/>
    <w:multiLevelType w:val="multilevel"/>
    <w:tmpl w:val="734C71EB"/>
    <w:lvl w:ilvl="0">
      <w:start w:val="3"/>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44498968">
    <w:abstractNumId w:val="5"/>
  </w:num>
  <w:num w:numId="2" w16cid:durableId="535629788">
    <w:abstractNumId w:val="3"/>
  </w:num>
  <w:num w:numId="3" w16cid:durableId="183134454">
    <w:abstractNumId w:val="4"/>
  </w:num>
  <w:num w:numId="4" w16cid:durableId="565333823">
    <w:abstractNumId w:val="1"/>
  </w:num>
  <w:num w:numId="5" w16cid:durableId="1589776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6564563">
    <w:abstractNumId w:val="6"/>
    <w:lvlOverride w:ilvl="0">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num>
  <w:num w:numId="7" w16cid:durableId="94877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020"/>
    <w:rsid w:val="000023FC"/>
    <w:rsid w:val="000024E4"/>
    <w:rsid w:val="0000310D"/>
    <w:rsid w:val="00010041"/>
    <w:rsid w:val="0001464D"/>
    <w:rsid w:val="0002560E"/>
    <w:rsid w:val="000B0271"/>
    <w:rsid w:val="000B18A6"/>
    <w:rsid w:val="000C586E"/>
    <w:rsid w:val="000E68F2"/>
    <w:rsid w:val="0012206F"/>
    <w:rsid w:val="00127F19"/>
    <w:rsid w:val="0013410B"/>
    <w:rsid w:val="001366A7"/>
    <w:rsid w:val="0014279E"/>
    <w:rsid w:val="0014617C"/>
    <w:rsid w:val="0015670A"/>
    <w:rsid w:val="001648E4"/>
    <w:rsid w:val="00170013"/>
    <w:rsid w:val="00172555"/>
    <w:rsid w:val="00175CD2"/>
    <w:rsid w:val="001A0CDA"/>
    <w:rsid w:val="001A1DB0"/>
    <w:rsid w:val="001B068B"/>
    <w:rsid w:val="001E136C"/>
    <w:rsid w:val="00222975"/>
    <w:rsid w:val="00250C67"/>
    <w:rsid w:val="0027403D"/>
    <w:rsid w:val="002759FA"/>
    <w:rsid w:val="002818A0"/>
    <w:rsid w:val="002831C2"/>
    <w:rsid w:val="00294748"/>
    <w:rsid w:val="002E3CB9"/>
    <w:rsid w:val="00326478"/>
    <w:rsid w:val="00343BBC"/>
    <w:rsid w:val="00381906"/>
    <w:rsid w:val="00382BF9"/>
    <w:rsid w:val="003849E0"/>
    <w:rsid w:val="00384DFF"/>
    <w:rsid w:val="003D5705"/>
    <w:rsid w:val="003F59F4"/>
    <w:rsid w:val="00415145"/>
    <w:rsid w:val="00416D82"/>
    <w:rsid w:val="00425329"/>
    <w:rsid w:val="00434A80"/>
    <w:rsid w:val="00445641"/>
    <w:rsid w:val="0045615F"/>
    <w:rsid w:val="00463675"/>
    <w:rsid w:val="004B3159"/>
    <w:rsid w:val="004D138D"/>
    <w:rsid w:val="004D4C19"/>
    <w:rsid w:val="004E43F5"/>
    <w:rsid w:val="004E5856"/>
    <w:rsid w:val="00531600"/>
    <w:rsid w:val="00567ABC"/>
    <w:rsid w:val="00583B1C"/>
    <w:rsid w:val="00594AA8"/>
    <w:rsid w:val="005D024A"/>
    <w:rsid w:val="005E691A"/>
    <w:rsid w:val="006B7436"/>
    <w:rsid w:val="006C2820"/>
    <w:rsid w:val="006C592E"/>
    <w:rsid w:val="00722F58"/>
    <w:rsid w:val="00733705"/>
    <w:rsid w:val="00767553"/>
    <w:rsid w:val="00767928"/>
    <w:rsid w:val="00793E18"/>
    <w:rsid w:val="007B760F"/>
    <w:rsid w:val="007D0C61"/>
    <w:rsid w:val="00810C7F"/>
    <w:rsid w:val="00816793"/>
    <w:rsid w:val="00865EB9"/>
    <w:rsid w:val="008A28D8"/>
    <w:rsid w:val="008A3124"/>
    <w:rsid w:val="008A7ED6"/>
    <w:rsid w:val="008B2861"/>
    <w:rsid w:val="009163E1"/>
    <w:rsid w:val="00921E8D"/>
    <w:rsid w:val="009231A9"/>
    <w:rsid w:val="00923E7C"/>
    <w:rsid w:val="0095781B"/>
    <w:rsid w:val="009669B8"/>
    <w:rsid w:val="00975FCD"/>
    <w:rsid w:val="00980ECE"/>
    <w:rsid w:val="009D5404"/>
    <w:rsid w:val="009D7F1F"/>
    <w:rsid w:val="00A22E3C"/>
    <w:rsid w:val="00A43F4D"/>
    <w:rsid w:val="00A70DD0"/>
    <w:rsid w:val="00AB3D66"/>
    <w:rsid w:val="00AD18E3"/>
    <w:rsid w:val="00AE062E"/>
    <w:rsid w:val="00AE44AD"/>
    <w:rsid w:val="00AF2B82"/>
    <w:rsid w:val="00B27046"/>
    <w:rsid w:val="00B50D84"/>
    <w:rsid w:val="00B601A5"/>
    <w:rsid w:val="00B66F62"/>
    <w:rsid w:val="00BD4F84"/>
    <w:rsid w:val="00BE4FB4"/>
    <w:rsid w:val="00C10CD1"/>
    <w:rsid w:val="00C15ECD"/>
    <w:rsid w:val="00C21818"/>
    <w:rsid w:val="00C26D5D"/>
    <w:rsid w:val="00C37420"/>
    <w:rsid w:val="00C50525"/>
    <w:rsid w:val="00C73AC3"/>
    <w:rsid w:val="00C85C98"/>
    <w:rsid w:val="00C957F4"/>
    <w:rsid w:val="00CC726F"/>
    <w:rsid w:val="00CE2890"/>
    <w:rsid w:val="00D24B76"/>
    <w:rsid w:val="00D32469"/>
    <w:rsid w:val="00D374DC"/>
    <w:rsid w:val="00D5790E"/>
    <w:rsid w:val="00DB7232"/>
    <w:rsid w:val="00DF3FD4"/>
    <w:rsid w:val="00E02EAC"/>
    <w:rsid w:val="00E05E6B"/>
    <w:rsid w:val="00E43B9D"/>
    <w:rsid w:val="00EC2EBD"/>
    <w:rsid w:val="00F01282"/>
    <w:rsid w:val="00F529C3"/>
    <w:rsid w:val="00F52C8F"/>
    <w:rsid w:val="00F55848"/>
    <w:rsid w:val="00F66E56"/>
    <w:rsid w:val="00F731FF"/>
    <w:rsid w:val="00F81574"/>
    <w:rsid w:val="00FA047E"/>
    <w:rsid w:val="00FE24EC"/>
    <w:rsid w:val="485E07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39ACF"/>
  <w15:docId w15:val="{A98DAA68-DE16-44A6-8366-5AF18A07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semiHidden/>
    <w:rPr>
      <w:sz w:val="16"/>
    </w:rPr>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Paragraph">
    <w:name w:val="List Paragraph"/>
    <w:basedOn w:val="Normal"/>
    <w:uiPriority w:val="34"/>
    <w:qFormat/>
    <w:pPr>
      <w:ind w:left="720"/>
      <w:contextualSpacing/>
    </w:pPr>
  </w:style>
  <w:style w:type="paragraph" w:customStyle="1" w:styleId="CRCoverPage">
    <w:name w:val="CR Cover Page"/>
    <w:link w:val="CRCoverPageZchn"/>
    <w:qFormat/>
    <w:pPr>
      <w:spacing w:after="120"/>
    </w:pPr>
    <w:rPr>
      <w:rFonts w:ascii="Arial" w:hAnsi="Arial"/>
      <w:lang w:val="en-GB"/>
    </w:rPr>
  </w:style>
  <w:style w:type="paragraph" w:customStyle="1" w:styleId="3GPPHeader">
    <w:name w:val="3GPP_Header"/>
    <w:basedOn w:val="BodyText"/>
    <w:pPr>
      <w:tabs>
        <w:tab w:val="left" w:pos="1701"/>
        <w:tab w:val="right" w:pos="9639"/>
      </w:tabs>
      <w:spacing w:after="240" w:line="259" w:lineRule="auto"/>
      <w:jc w:val="both"/>
    </w:pPr>
    <w:rPr>
      <w:rFonts w:eastAsiaTheme="minorHAnsi" w:cstheme="minorBidi"/>
      <w:b/>
      <w:color w:val="auto"/>
      <w:sz w:val="24"/>
      <w:szCs w:val="22"/>
      <w:lang w:val="en-US" w:eastAsia="zh-CN"/>
    </w:rPr>
  </w:style>
  <w:style w:type="character" w:customStyle="1" w:styleId="CRCoverPageZchn">
    <w:name w:val="CR Cover Page Zchn"/>
    <w:link w:val="CRCoverPag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2548</Characters>
  <Application>Microsoft Office Word</Application>
  <DocSecurity>0</DocSecurity>
  <Lines>21</Lines>
  <Paragraphs>5</Paragraphs>
  <ScaleCrop>false</ScaleCrop>
  <Company>ETSI Sophia Antipolis</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Kome Oteri</cp:lastModifiedBy>
  <cp:revision>4</cp:revision>
  <cp:lastPrinted>2002-04-23T00:10:00Z</cp:lastPrinted>
  <dcterms:created xsi:type="dcterms:W3CDTF">2022-05-23T18:19:00Z</dcterms:created>
  <dcterms:modified xsi:type="dcterms:W3CDTF">2022-05-23T18:20:00Z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ad2b010f-fed5-4b43-88a4-80e426f3309a</vt:lpwstr>
  </property>
  <property fmtid="{D5CDD505-2E9C-101B-9397-08002B2CF9AE}" pid="3" name="CTP_TimeStamp">
    <vt:lpwstr>2018-08-24 11:26:14Z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2052-11.8.2.11019</vt:lpwstr>
  </property>
  <property fmtid="{D5CDD505-2E9C-101B-9397-08002B2CF9AE}" pid="9" name="ICV">
    <vt:lpwstr>973EF11CAB1B4628BC08F5111AC3F9D3</vt:lpwstr>
  </property>
</Properties>
</file>