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HiSilicon</w:t>
            </w:r>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“PUCCH-TimeDomainWindowLength”</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r>
              <w:rPr>
                <w:rFonts w:hint="eastAsia"/>
                <w:bCs/>
                <w:lang w:eastAsia="zh-CN"/>
              </w:rPr>
              <w:lastRenderedPageBreak/>
              <w:t>S</w:t>
            </w:r>
            <w:r>
              <w:rPr>
                <w:bCs/>
                <w:lang w:eastAsia="zh-CN"/>
              </w:rPr>
              <w:t>preadtrum</w:t>
            </w:r>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“PUCCH-TimeDomainWindowLength</w:t>
      </w:r>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MS Mincho"/>
                <w:bCs/>
              </w:rPr>
              <w:lastRenderedPageBreak/>
              <w:t>Panasonic</w:t>
            </w:r>
          </w:p>
        </w:tc>
        <w:tc>
          <w:tcPr>
            <w:tcW w:w="8292" w:type="dxa"/>
          </w:tcPr>
          <w:p w14:paraId="3F591B97" w14:textId="3DFFBF43" w:rsidR="00BA1900" w:rsidRDefault="00BA1900" w:rsidP="00BA1900">
            <w:pPr>
              <w:spacing w:after="0"/>
              <w:rPr>
                <w:bCs/>
                <w:lang w:eastAsia="zh-CN"/>
              </w:rPr>
            </w:pPr>
            <w:r>
              <w:rPr>
                <w:rFonts w:eastAsia="MS Mincho"/>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MS Mincho"/>
                <w:bCs/>
              </w:rPr>
            </w:pPr>
            <w:r>
              <w:rPr>
                <w:rFonts w:eastAsia="MS Mincho"/>
                <w:bCs/>
              </w:rPr>
              <w:t>Sharp</w:t>
            </w:r>
          </w:p>
        </w:tc>
        <w:tc>
          <w:tcPr>
            <w:tcW w:w="8292" w:type="dxa"/>
          </w:tcPr>
          <w:p w14:paraId="6035F86E" w14:textId="211D5417" w:rsidR="00107D41" w:rsidRDefault="00107D41"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44E38" w14:paraId="4E1740AE" w14:textId="77777777" w:rsidTr="0059114E">
        <w:tc>
          <w:tcPr>
            <w:tcW w:w="1693" w:type="dxa"/>
          </w:tcPr>
          <w:p w14:paraId="12FAB6D1" w14:textId="35EA6DD2" w:rsidR="00C44E38" w:rsidRDefault="00C44E38" w:rsidP="00C44E38">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74430F7" w14:textId="7D83F4CA" w:rsidR="00C44E38" w:rsidRDefault="00C44E38" w:rsidP="00C44E38">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D6213" w14:paraId="56724DE4" w14:textId="77777777" w:rsidTr="0059114E">
        <w:tc>
          <w:tcPr>
            <w:tcW w:w="1693" w:type="dxa"/>
          </w:tcPr>
          <w:p w14:paraId="105895A1" w14:textId="25E1AF76" w:rsidR="003D6213" w:rsidRDefault="003D6213" w:rsidP="003D6213">
            <w:pPr>
              <w:spacing w:after="0"/>
              <w:rPr>
                <w:rFonts w:eastAsia="MS Mincho" w:hint="eastAsia"/>
                <w:bCs/>
                <w:lang w:eastAsia="ja-JP"/>
              </w:rPr>
            </w:pPr>
            <w:r>
              <w:rPr>
                <w:rFonts w:eastAsia="MS Mincho"/>
                <w:bCs/>
              </w:rPr>
              <w:t>QC</w:t>
            </w:r>
          </w:p>
        </w:tc>
        <w:tc>
          <w:tcPr>
            <w:tcW w:w="8292" w:type="dxa"/>
          </w:tcPr>
          <w:p w14:paraId="5E1510EA" w14:textId="77777777" w:rsidR="003D6213" w:rsidRDefault="003D6213" w:rsidP="003D6213">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936D30C" w14:textId="2256CE99" w:rsidR="003D6213" w:rsidRDefault="003D6213" w:rsidP="003D6213">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w:t>
            </w:r>
            <w:r>
              <w:rPr>
                <w:rFonts w:eastAsia="MS Mincho"/>
                <w:bCs/>
                <w:lang w:eastAsia="ja-JP"/>
              </w:rPr>
              <w:t xml:space="preserve"> for each format.</w:t>
            </w:r>
          </w:p>
          <w:p w14:paraId="3170FBA2" w14:textId="77777777" w:rsidR="003D6213" w:rsidRDefault="003D6213" w:rsidP="003D6213">
            <w:pPr>
              <w:spacing w:after="0"/>
              <w:rPr>
                <w:rFonts w:eastAsia="MS Mincho" w:hint="eastAsia"/>
                <w:bCs/>
                <w:lang w:eastAsia="ja-JP"/>
              </w:rPr>
            </w:pP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lastRenderedPageBreak/>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lastRenderedPageBreak/>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r>
              <w:rPr>
                <w:rFonts w:eastAsia="MS Mincho"/>
                <w:lang w:eastAsia="ja-JP"/>
              </w:rPr>
              <w:t>Basiclly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r>
              <w:rPr>
                <w:rFonts w:hint="eastAsia"/>
                <w:bCs/>
                <w:lang w:eastAsia="zh-CN"/>
              </w:rPr>
              <w:t>S</w:t>
            </w:r>
            <w:r>
              <w:rPr>
                <w:bCs/>
                <w:lang w:eastAsia="zh-CN"/>
              </w:rPr>
              <w:t>preadtrum</w:t>
            </w:r>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65358287" w14:textId="77777777" w:rsidR="00A6641F" w:rsidRDefault="0012627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MS Mincho"/>
                <w:bCs/>
              </w:rPr>
              <w:t>Panasonic</w:t>
            </w:r>
          </w:p>
        </w:tc>
        <w:tc>
          <w:tcPr>
            <w:tcW w:w="8832" w:type="dxa"/>
          </w:tcPr>
          <w:p w14:paraId="1361716B" w14:textId="6109C5F3" w:rsidR="00BA1900" w:rsidRDefault="00BA1900" w:rsidP="00BA1900">
            <w:pPr>
              <w:spacing w:after="0"/>
              <w:rPr>
                <w:bCs/>
                <w:lang w:eastAsia="zh-CN"/>
              </w:rPr>
            </w:pPr>
            <w:r>
              <w:rPr>
                <w:rFonts w:eastAsia="MS Mincho"/>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0911BBD" w14:textId="0A787656"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lastRenderedPageBreak/>
        <w:t>D</w:t>
      </w:r>
      <w:r>
        <w:t>ynamic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lastRenderedPageBreak/>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lastRenderedPageBreak/>
              <w:t>H</w:t>
            </w:r>
            <w:r>
              <w:rPr>
                <w:bCs/>
                <w:lang w:eastAsia="zh-CN"/>
              </w:rPr>
              <w:t>uawei, HiSilicon</w:t>
            </w:r>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D2E82A" w14:textId="35669F3E"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r>
              <w:rPr>
                <w:rFonts w:eastAsia="Malgun Gothic"/>
                <w:bCs/>
                <w:lang w:eastAsia="ko-KR"/>
              </w:rPr>
              <w:t>InterDigital</w:t>
            </w:r>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lastRenderedPageBreak/>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Huawei, HiSilicon</w:t>
            </w:r>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MS Mincho"/>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p>
          <w:p w14:paraId="55854305" w14:textId="77777777" w:rsidR="00310AF4" w:rsidRDefault="00310AF4" w:rsidP="00310AF4">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MS Mincho"/>
                      <w:color w:val="000000" w:themeColor="text1"/>
                    </w:rPr>
                  </w:pPr>
                  <w:r>
                    <w:rPr>
                      <w:rFonts w:eastAsia="MS Mincho"/>
                      <w:color w:val="000000" w:themeColor="text1"/>
                    </w:rPr>
                    <w:t>38.214-h00</w:t>
                  </w:r>
                </w:p>
                <w:p w14:paraId="7855752B" w14:textId="77777777" w:rsidR="00310AF4" w:rsidRDefault="00310AF4" w:rsidP="00310AF4">
                  <w:pPr>
                    <w:rPr>
                      <w:rFonts w:eastAsia="MS Mincho"/>
                      <w:color w:val="000000" w:themeColor="text1"/>
                    </w:rPr>
                  </w:pPr>
                  <w:r>
                    <w:rPr>
                      <w:rFonts w:eastAsia="MS Mincho"/>
                      <w:color w:val="000000" w:themeColor="text1"/>
                    </w:rPr>
                    <w:t>6.1.7</w:t>
                  </w:r>
                </w:p>
                <w:p w14:paraId="017CDA40" w14:textId="77777777" w:rsidR="00310AF4" w:rsidRDefault="00310AF4" w:rsidP="00310AF4">
                  <w:pPr>
                    <w:rPr>
                      <w:rFonts w:eastAsia="MS Mincho"/>
                      <w:color w:val="000000" w:themeColor="text1"/>
                    </w:rPr>
                  </w:pPr>
                  <w:r>
                    <w:rPr>
                      <w:rFonts w:eastAsia="MS Mincho"/>
                      <w:color w:val="000000" w:themeColor="text1"/>
                    </w:rPr>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lastRenderedPageBreak/>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lastRenderedPageBreak/>
              <w:t>W</w:t>
            </w:r>
            <w:r w:rsidR="00310AF4">
              <w:rPr>
                <w:color w:val="000000" w:themeColor="text1"/>
                <w:lang w:eastAsia="zh-CN"/>
              </w:rPr>
              <w:t xml:space="preserve">hen </w:t>
            </w:r>
            <w:r w:rsidR="00310AF4">
              <w:rPr>
                <w:i/>
                <w:iCs/>
                <w:color w:val="000000" w:themeColor="text1"/>
                <w:lang w:eastAsia="zh-CN"/>
              </w:rPr>
              <w:t>AvailableSlotCounting</w:t>
            </w:r>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MS Mincho"/>
                <w:bCs/>
              </w:rPr>
              <w:t>Panasonic</w:t>
            </w:r>
          </w:p>
        </w:tc>
        <w:tc>
          <w:tcPr>
            <w:tcW w:w="7627" w:type="dxa"/>
          </w:tcPr>
          <w:p w14:paraId="34539473" w14:textId="0AF34324" w:rsidR="00BA1900" w:rsidRDefault="00BA1900" w:rsidP="00BA1900">
            <w:pPr>
              <w:spacing w:after="0"/>
              <w:rPr>
                <w:lang w:eastAsia="zh-CN"/>
              </w:rPr>
            </w:pPr>
            <w:r>
              <w:rPr>
                <w:rFonts w:eastAsia="MS Mincho"/>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95C3853" w14:textId="077F1A8D" w:rsidR="006C41EB" w:rsidRDefault="009B56FF" w:rsidP="009B56FF">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44E38" w:rsidRPr="00C54208" w14:paraId="2B5600BA" w14:textId="77777777" w:rsidTr="0059114E">
        <w:tc>
          <w:tcPr>
            <w:tcW w:w="2335" w:type="dxa"/>
          </w:tcPr>
          <w:p w14:paraId="7691EDA3" w14:textId="636AB71F" w:rsidR="00C44E38" w:rsidRDefault="00C44E38" w:rsidP="00BA190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567868" w14:textId="09E579BE" w:rsidR="00C44E38" w:rsidRDefault="00C44E38" w:rsidP="009B56FF">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bl>
    <w:p w14:paraId="1889E6F5" w14:textId="77777777" w:rsidR="00A6641F" w:rsidRDefault="00A6641F">
      <w:pPr>
        <w:rPr>
          <w:lang w:val="en-GB"/>
        </w:rPr>
      </w:pPr>
    </w:p>
    <w:p w14:paraId="7D6DF6FA" w14:textId="77777777" w:rsidR="00A6641F" w:rsidRDefault="0012627B">
      <w:pPr>
        <w:pStyle w:val="Heading2"/>
      </w:pPr>
      <w:r>
        <w:t>Inter slot freq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lastRenderedPageBreak/>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lastRenderedPageBreak/>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w:t>
            </w:r>
            <w:r>
              <w:rPr>
                <w:bCs/>
                <w:lang w:eastAsia="zh-CN"/>
              </w:rPr>
              <w:lastRenderedPageBreak/>
              <w:t xml:space="preserve">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r w:rsidR="00D70351" w14:paraId="40840CD1" w14:textId="77777777" w:rsidTr="00D70351">
        <w:tc>
          <w:tcPr>
            <w:tcW w:w="1693" w:type="dxa"/>
          </w:tcPr>
          <w:p w14:paraId="0E6DCD67" w14:textId="77777777" w:rsidR="00D70351" w:rsidRDefault="00D70351" w:rsidP="00AE3479">
            <w:pPr>
              <w:spacing w:after="0"/>
              <w:rPr>
                <w:bCs/>
                <w:lang w:eastAsia="zh-CN"/>
              </w:rPr>
            </w:pPr>
            <w:r>
              <w:rPr>
                <w:bCs/>
                <w:lang w:eastAsia="zh-CN"/>
              </w:rPr>
              <w:t>Apple</w:t>
            </w:r>
          </w:p>
        </w:tc>
        <w:tc>
          <w:tcPr>
            <w:tcW w:w="4344" w:type="dxa"/>
          </w:tcPr>
          <w:p w14:paraId="256D9D2B" w14:textId="77777777" w:rsidR="00D70351" w:rsidRDefault="00D70351" w:rsidP="00AE3479">
            <w:pPr>
              <w:spacing w:after="0"/>
              <w:rPr>
                <w:lang w:eastAsia="zh-CN"/>
              </w:rPr>
            </w:pPr>
            <w:r>
              <w:rPr>
                <w:lang w:eastAsia="zh-CN"/>
              </w:rPr>
              <w:t>Yes</w:t>
            </w:r>
          </w:p>
        </w:tc>
        <w:tc>
          <w:tcPr>
            <w:tcW w:w="3925" w:type="dxa"/>
          </w:tcPr>
          <w:p w14:paraId="79334FA9" w14:textId="77777777" w:rsidR="00D70351" w:rsidRDefault="00D70351" w:rsidP="00AE3479">
            <w:pPr>
              <w:adjustRightInd w:val="0"/>
              <w:snapToGrid w:val="0"/>
              <w:spacing w:after="0"/>
              <w:rPr>
                <w:lang w:eastAsia="zh-CN"/>
              </w:rPr>
            </w:pPr>
            <w:r>
              <w:rPr>
                <w:lang w:eastAsia="zh-CN"/>
              </w:rPr>
              <w:t>A unified solution, in terms of how hopping interval is determined, is preferred. See our comment below as well.</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w:t>
            </w:r>
            <w:r>
              <w:rPr>
                <w:rFonts w:hint="eastAsia"/>
                <w:bCs/>
                <w:lang w:eastAsia="zh-CN"/>
              </w:rPr>
              <w:lastRenderedPageBreak/>
              <w:t xml:space="preserve">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The starting of the FH pattern can align with the starting of  the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lastRenderedPageBreak/>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D70351" w14:paraId="3692F45A" w14:textId="77777777" w:rsidTr="00AE3479">
        <w:tc>
          <w:tcPr>
            <w:tcW w:w="1693" w:type="dxa"/>
          </w:tcPr>
          <w:p w14:paraId="73D40697" w14:textId="77777777" w:rsidR="00D70351" w:rsidRDefault="00D70351" w:rsidP="00AE3479">
            <w:pPr>
              <w:spacing w:after="0"/>
              <w:rPr>
                <w:bCs/>
                <w:lang w:eastAsia="zh-CN"/>
              </w:rPr>
            </w:pPr>
            <w:r>
              <w:rPr>
                <w:bCs/>
                <w:lang w:eastAsia="zh-CN"/>
              </w:rPr>
              <w:t>Apple</w:t>
            </w:r>
          </w:p>
        </w:tc>
        <w:tc>
          <w:tcPr>
            <w:tcW w:w="4344" w:type="dxa"/>
          </w:tcPr>
          <w:p w14:paraId="280DB522" w14:textId="77777777" w:rsidR="00D70351" w:rsidRDefault="00D70351" w:rsidP="00AE3479">
            <w:pPr>
              <w:spacing w:after="0"/>
              <w:rPr>
                <w:lang w:eastAsia="zh-CN"/>
              </w:rPr>
            </w:pPr>
            <w:r>
              <w:rPr>
                <w:lang w:eastAsia="zh-CN"/>
              </w:rPr>
              <w:t>No. See comments</w:t>
            </w:r>
          </w:p>
        </w:tc>
        <w:tc>
          <w:tcPr>
            <w:tcW w:w="3925" w:type="dxa"/>
          </w:tcPr>
          <w:p w14:paraId="30EAB0F2" w14:textId="77777777" w:rsidR="00D70351" w:rsidRDefault="00D70351" w:rsidP="00AE3479">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r w:rsidR="00D70351" w14:paraId="2A5CAEBD" w14:textId="77777777" w:rsidTr="00D70351">
        <w:tc>
          <w:tcPr>
            <w:tcW w:w="1693" w:type="dxa"/>
          </w:tcPr>
          <w:p w14:paraId="2D1511C3" w14:textId="77777777" w:rsidR="00D70351" w:rsidRDefault="00D70351" w:rsidP="00AE3479">
            <w:pPr>
              <w:spacing w:after="0"/>
              <w:rPr>
                <w:bCs/>
                <w:lang w:eastAsia="zh-CN"/>
              </w:rPr>
            </w:pPr>
            <w:r>
              <w:rPr>
                <w:bCs/>
                <w:lang w:eastAsia="zh-CN"/>
              </w:rPr>
              <w:t>Apple</w:t>
            </w:r>
          </w:p>
        </w:tc>
        <w:tc>
          <w:tcPr>
            <w:tcW w:w="4344" w:type="dxa"/>
          </w:tcPr>
          <w:p w14:paraId="1C57374A" w14:textId="77777777" w:rsidR="00D70351" w:rsidRDefault="00D70351" w:rsidP="00AE3479">
            <w:pPr>
              <w:spacing w:after="0"/>
              <w:rPr>
                <w:lang w:eastAsia="zh-CN"/>
              </w:rPr>
            </w:pPr>
            <w:r>
              <w:rPr>
                <w:lang w:eastAsia="zh-CN"/>
              </w:rPr>
              <w:t>No</w:t>
            </w:r>
          </w:p>
        </w:tc>
        <w:tc>
          <w:tcPr>
            <w:tcW w:w="3925" w:type="dxa"/>
          </w:tcPr>
          <w:p w14:paraId="58F0D65E" w14:textId="01E92116" w:rsidR="00D70351" w:rsidRDefault="00D70351" w:rsidP="00AE3479">
            <w:pPr>
              <w:spacing w:after="0"/>
              <w:rPr>
                <w:lang w:eastAsia="zh-CN"/>
              </w:rPr>
            </w:pPr>
            <w:r>
              <w:rPr>
                <w:lang w:eastAsia="zh-CN"/>
              </w:rPr>
              <w:t>Separate procedure not needed</w:t>
            </w: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lastRenderedPageBreak/>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3D6213">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3D6213">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3D6213">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lastRenderedPageBreak/>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lastRenderedPageBreak/>
              <w:t>Lenovo, Motorola Mobility</w:t>
            </w:r>
          </w:p>
        </w:tc>
        <w:tc>
          <w:tcPr>
            <w:tcW w:w="8202" w:type="dxa"/>
          </w:tcPr>
          <w:p w14:paraId="7FDF69D5" w14:textId="77777777" w:rsidR="00A6641F" w:rsidRDefault="0012627B">
            <w:pPr>
              <w:spacing w:after="0"/>
              <w:rPr>
                <w:lang w:eastAsia="zh-CN"/>
              </w:rPr>
            </w:pPr>
            <w:r>
              <w:rPr>
                <w:lang w:eastAsia="zh-CN"/>
              </w:rPr>
              <w:t>Hopping intervals should be derived based on Frequencyhopping-Interval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r>
              <w:rPr>
                <w:rFonts w:hint="eastAsia"/>
                <w:bCs/>
                <w:lang w:eastAsia="zh-CN"/>
              </w:rPr>
              <w:t>S</w:t>
            </w:r>
            <w:r>
              <w:rPr>
                <w:bCs/>
                <w:lang w:eastAsia="zh-CN"/>
              </w:rPr>
              <w:t>preadtrum</w:t>
            </w:r>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r w:rsidR="00DB52AF" w14:paraId="76E2181B" w14:textId="77777777" w:rsidTr="00DB52AF">
        <w:tc>
          <w:tcPr>
            <w:tcW w:w="1693" w:type="dxa"/>
          </w:tcPr>
          <w:p w14:paraId="33E809EE" w14:textId="77777777" w:rsidR="00DB52AF" w:rsidRDefault="00DB52AF" w:rsidP="00AE3479">
            <w:pPr>
              <w:spacing w:after="0"/>
              <w:rPr>
                <w:bCs/>
                <w:lang w:eastAsia="zh-CN"/>
              </w:rPr>
            </w:pPr>
            <w:r>
              <w:rPr>
                <w:bCs/>
                <w:lang w:eastAsia="zh-CN"/>
              </w:rPr>
              <w:t>Apple</w:t>
            </w:r>
          </w:p>
        </w:tc>
        <w:tc>
          <w:tcPr>
            <w:tcW w:w="8202" w:type="dxa"/>
          </w:tcPr>
          <w:p w14:paraId="67D1CE3E" w14:textId="77777777" w:rsidR="00DB52AF" w:rsidRDefault="00DB52AF" w:rsidP="00AE3479">
            <w:pPr>
              <w:spacing w:after="0"/>
              <w:rPr>
                <w:lang w:eastAsia="zh-CN"/>
              </w:rPr>
            </w:pPr>
            <w:r>
              <w:rPr>
                <w:lang w:eastAsia="zh-CN"/>
              </w:rPr>
              <w:t>Please see our comment to FL P.6</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r>
              <w:rPr>
                <w:lang w:eastAsia="zh-CN"/>
              </w:rPr>
              <w:lastRenderedPageBreak/>
              <w:t xml:space="preserve">TBoMS and with PUCCH.  Therefore, we suggest to support Rel-17 frequency hopping patterns that can be configured independently of DMRS bundling,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lastRenderedPageBreak/>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r>
              <w:rPr>
                <w:rFonts w:hint="eastAsia"/>
                <w:lang w:eastAsia="zh-CN"/>
              </w:rPr>
              <w:t>S</w:t>
            </w:r>
            <w:r>
              <w:rPr>
                <w:lang w:eastAsia="zh-CN"/>
              </w:rPr>
              <w:t>preadtrum</w:t>
            </w:r>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r>
              <w:rPr>
                <w:lang w:eastAsia="zh-CN"/>
              </w:rPr>
              <w:t>hopping_offset  = floor((slot_num+offset)/hop_duration) mod num_hops</w:t>
            </w:r>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w:t>
            </w:r>
            <w:r>
              <w:rPr>
                <w:lang w:eastAsia="zh-CN"/>
              </w:rPr>
              <w:lastRenderedPageBreak/>
              <w:t xml:space="preserve">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(e.g. 0.5 dB @ 10% BLER and 1.5 dB @ 1% BLER) from new hopping patterns with an increased number of frequency hopping offsets when used both with and without DMRS bundling</w:t>
            </w:r>
            <w:r>
              <w:rPr>
                <w:lang w:eastAsia="zh-CN"/>
              </w:rPr>
              <w:t>, and have similar observations for PUSCH Rep Type A, TBoMS, and PUCCH.</w:t>
            </w:r>
          </w:p>
        </w:tc>
      </w:tr>
      <w:tr w:rsidR="00DB52AF" w14:paraId="7957E4E7" w14:textId="77777777" w:rsidTr="00DB52AF">
        <w:tc>
          <w:tcPr>
            <w:tcW w:w="1693" w:type="dxa"/>
          </w:tcPr>
          <w:p w14:paraId="3D1CA83B" w14:textId="77777777" w:rsidR="00DB52AF" w:rsidRDefault="00DB52AF" w:rsidP="00AE3479">
            <w:pPr>
              <w:spacing w:after="0"/>
              <w:rPr>
                <w:lang w:eastAsia="zh-CN"/>
              </w:rPr>
            </w:pPr>
            <w:r>
              <w:rPr>
                <w:lang w:eastAsia="zh-CN"/>
              </w:rPr>
              <w:lastRenderedPageBreak/>
              <w:t>Apple</w:t>
            </w:r>
          </w:p>
        </w:tc>
        <w:tc>
          <w:tcPr>
            <w:tcW w:w="3252" w:type="dxa"/>
          </w:tcPr>
          <w:p w14:paraId="0F6EAE43" w14:textId="77777777" w:rsidR="00DB52AF" w:rsidRDefault="00DB52AF" w:rsidP="00AE3479">
            <w:pPr>
              <w:spacing w:after="0"/>
              <w:rPr>
                <w:lang w:eastAsia="zh-CN"/>
              </w:rPr>
            </w:pPr>
            <w:r>
              <w:rPr>
                <w:lang w:eastAsia="zh-CN"/>
              </w:rPr>
              <w:t>No</w:t>
            </w:r>
          </w:p>
        </w:tc>
        <w:tc>
          <w:tcPr>
            <w:tcW w:w="5017" w:type="dxa"/>
          </w:tcPr>
          <w:p w14:paraId="241FF71D" w14:textId="77777777" w:rsidR="00DB52AF" w:rsidRDefault="00DB52AF" w:rsidP="00AE3479">
            <w:pPr>
              <w:spacing w:after="0"/>
              <w:rPr>
                <w:lang w:eastAsia="zh-CN"/>
              </w:rPr>
            </w:pP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lastRenderedPageBreak/>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r>
              <w:rPr>
                <w:rFonts w:eastAsia="Malgun Gothic"/>
                <w:bCs/>
                <w:lang w:eastAsia="ko-KR"/>
              </w:rPr>
              <w:t>InterDigital</w:t>
            </w:r>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lastRenderedPageBreak/>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lost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r>
              <w:rPr>
                <w:rFonts w:hint="eastAsia"/>
                <w:bCs/>
                <w:lang w:eastAsia="zh-CN"/>
              </w:rPr>
              <w:t>S</w:t>
            </w:r>
            <w:r>
              <w:rPr>
                <w:bCs/>
                <w:lang w:eastAsia="zh-CN"/>
              </w:rPr>
              <w:t xml:space="preserve">preadtrum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lastRenderedPageBreak/>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lastRenderedPageBreak/>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its probably best to </w:t>
            </w:r>
            <w:r>
              <w:rPr>
                <w:lang w:eastAsia="zh-CN"/>
              </w:rPr>
              <w:lastRenderedPageBreak/>
              <w:t>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lastRenderedPageBreak/>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e.g.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MS Mincho"/>
                <w:bCs/>
              </w:rPr>
              <w:t>Panasonic</w:t>
            </w:r>
          </w:p>
        </w:tc>
        <w:tc>
          <w:tcPr>
            <w:tcW w:w="8292" w:type="dxa"/>
          </w:tcPr>
          <w:p w14:paraId="602700E2" w14:textId="47C917E0" w:rsidR="00BA1900" w:rsidRDefault="00BA1900" w:rsidP="00BA1900">
            <w:pPr>
              <w:spacing w:after="0"/>
              <w:rPr>
                <w:lang w:eastAsia="zh-CN"/>
              </w:rPr>
            </w:pPr>
            <w:r>
              <w:rPr>
                <w:rFonts w:eastAsia="MS Mincho"/>
              </w:rPr>
              <w:t>We are fine with the proposal as long as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MS Mincho"/>
                <w:bCs/>
              </w:rPr>
            </w:pPr>
            <w:r>
              <w:rPr>
                <w:rFonts w:eastAsia="MS Mincho"/>
                <w:bCs/>
              </w:rPr>
              <w:t>Sharp</w:t>
            </w:r>
          </w:p>
        </w:tc>
        <w:tc>
          <w:tcPr>
            <w:tcW w:w="8292" w:type="dxa"/>
          </w:tcPr>
          <w:p w14:paraId="4BA4D6EB" w14:textId="77245CC9" w:rsidR="0031065C" w:rsidRDefault="00607D15" w:rsidP="00607D15">
            <w:pPr>
              <w:spacing w:before="0"/>
              <w:rPr>
                <w:rFonts w:eastAsia="MS Mincho"/>
              </w:rPr>
            </w:pPr>
            <w:r>
              <w:rPr>
                <w:rFonts w:eastAsia="MS Mincho"/>
              </w:rPr>
              <w:t>We are fine with the proposal if Option 1 doesn’t intend to “only” use physical slot index.</w:t>
            </w:r>
          </w:p>
        </w:tc>
      </w:tr>
      <w:tr w:rsidR="00C44E38" w14:paraId="17BFC14D" w14:textId="77777777" w:rsidTr="0059114E">
        <w:tc>
          <w:tcPr>
            <w:tcW w:w="1693" w:type="dxa"/>
          </w:tcPr>
          <w:p w14:paraId="3E935540" w14:textId="5D0B333C" w:rsidR="00C44E38" w:rsidRDefault="00C44E38" w:rsidP="00C44E38">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3A46ED" w14:textId="03E10C7A" w:rsidR="00C44E38" w:rsidRDefault="00C44E38" w:rsidP="00C44E38">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sidRPr="0043100B">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lastRenderedPageBreak/>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MS Mincho"/>
                <w:bCs/>
              </w:rPr>
              <w:t>Panasonic</w:t>
            </w:r>
          </w:p>
        </w:tc>
        <w:tc>
          <w:tcPr>
            <w:tcW w:w="8292" w:type="dxa"/>
          </w:tcPr>
          <w:p w14:paraId="08E31443" w14:textId="6C663B45" w:rsidR="00BA1900" w:rsidRDefault="00BA1900" w:rsidP="00BA1900">
            <w:pPr>
              <w:spacing w:after="0"/>
              <w:rPr>
                <w:lang w:eastAsia="zh-CN"/>
              </w:rPr>
            </w:pPr>
            <w:r>
              <w:rPr>
                <w:rFonts w:eastAsia="MS Mincho"/>
                <w:bCs/>
              </w:rPr>
              <w:t>Support</w:t>
            </w:r>
          </w:p>
        </w:tc>
      </w:tr>
      <w:tr w:rsidR="00C44E38" w14:paraId="4CA7DE74" w14:textId="77777777" w:rsidTr="0059114E">
        <w:tc>
          <w:tcPr>
            <w:tcW w:w="1693" w:type="dxa"/>
          </w:tcPr>
          <w:p w14:paraId="1F00EF06" w14:textId="3ECCD3BF" w:rsidR="00C44E38" w:rsidRDefault="00C44E38" w:rsidP="00BA190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01DE6A7D" w14:textId="2621CDDF" w:rsidR="00C44E38" w:rsidRDefault="00C44E38" w:rsidP="00BA1900">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bl>
    <w:p w14:paraId="5AB21F2C" w14:textId="77777777" w:rsidR="00A6641F" w:rsidRDefault="00A6641F">
      <w:pPr>
        <w:rPr>
          <w:b/>
          <w:bCs/>
          <w:lang w:val="en-GB"/>
        </w:rPr>
      </w:pPr>
    </w:p>
    <w:p w14:paraId="7E62BEB6" w14:textId="77777777" w:rsidR="00A6641F" w:rsidRDefault="0012627B">
      <w:pPr>
        <w:pStyle w:val="Heading2"/>
      </w:pPr>
      <w:r>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w:t>
            </w:r>
            <w:r>
              <w:rPr>
                <w:color w:val="000000"/>
                <w:sz w:val="21"/>
                <w:szCs w:val="21"/>
                <w:lang w:eastAsia="zh-CN"/>
              </w:rPr>
              <w:lastRenderedPageBreak/>
              <w:t>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lastRenderedPageBreak/>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3D6213">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Huawei, HiSilicon</w:t>
            </w:r>
          </w:p>
        </w:tc>
      </w:tr>
      <w:tr w:rsidR="00A6641F" w14:paraId="35B608E4" w14:textId="77777777">
        <w:trPr>
          <w:trHeight w:val="230"/>
        </w:trPr>
        <w:tc>
          <w:tcPr>
            <w:tcW w:w="1345" w:type="dxa"/>
          </w:tcPr>
          <w:p w14:paraId="2E2C8579" w14:textId="77777777" w:rsidR="00A6641F" w:rsidRDefault="003D6213">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3D6213">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3D6213">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3D6213">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3D6213">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3D6213">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3D6213">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r>
              <w:rPr>
                <w:iCs/>
                <w:lang w:eastAsia="zh-CN"/>
              </w:rPr>
              <w:t>Spreadtrum Communications</w:t>
            </w:r>
          </w:p>
        </w:tc>
      </w:tr>
      <w:tr w:rsidR="00A6641F" w14:paraId="126EA3F3" w14:textId="77777777">
        <w:trPr>
          <w:trHeight w:val="230"/>
        </w:trPr>
        <w:tc>
          <w:tcPr>
            <w:tcW w:w="1345" w:type="dxa"/>
          </w:tcPr>
          <w:p w14:paraId="30EC9ACC" w14:textId="77777777" w:rsidR="00A6641F" w:rsidRDefault="003D6213">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3D6213">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3D6213">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3D6213">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3D6213">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3D6213">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r>
              <w:rPr>
                <w:iCs/>
                <w:lang w:eastAsia="zh-CN"/>
              </w:rPr>
              <w:t>xiaomi</w:t>
            </w:r>
          </w:p>
        </w:tc>
      </w:tr>
      <w:tr w:rsidR="00A6641F" w14:paraId="3F6A2DBC" w14:textId="77777777">
        <w:trPr>
          <w:trHeight w:val="600"/>
        </w:trPr>
        <w:tc>
          <w:tcPr>
            <w:tcW w:w="1345" w:type="dxa"/>
          </w:tcPr>
          <w:p w14:paraId="358888E1" w14:textId="77777777" w:rsidR="00A6641F" w:rsidRDefault="003D6213">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3D6213">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3D6213">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r>
              <w:rPr>
                <w:iCs/>
                <w:lang w:eastAsia="zh-CN"/>
              </w:rPr>
              <w:t>InterDigital, Inc.</w:t>
            </w:r>
          </w:p>
        </w:tc>
      </w:tr>
      <w:tr w:rsidR="00A6641F" w14:paraId="6F3848E2" w14:textId="77777777">
        <w:trPr>
          <w:trHeight w:val="230"/>
        </w:trPr>
        <w:tc>
          <w:tcPr>
            <w:tcW w:w="1345" w:type="dxa"/>
          </w:tcPr>
          <w:p w14:paraId="0B655BDE" w14:textId="77777777" w:rsidR="00A6641F" w:rsidRDefault="003D6213">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3D6213">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3D6213">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3D6213">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3685" w14:textId="77777777" w:rsidR="003813E4" w:rsidRDefault="003813E4">
      <w:pPr>
        <w:spacing w:line="240" w:lineRule="auto"/>
      </w:pPr>
      <w:r>
        <w:separator/>
      </w:r>
    </w:p>
  </w:endnote>
  <w:endnote w:type="continuationSeparator" w:id="0">
    <w:p w14:paraId="3DAB5646" w14:textId="77777777" w:rsidR="003813E4" w:rsidRDefault="00381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CFDEB74"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sidR="00C44E3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4E38">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9A8A" w14:textId="77777777" w:rsidR="003813E4" w:rsidRDefault="003813E4">
      <w:pPr>
        <w:spacing w:after="0" w:line="240" w:lineRule="auto"/>
      </w:pPr>
      <w:r>
        <w:separator/>
      </w:r>
    </w:p>
  </w:footnote>
  <w:footnote w:type="continuationSeparator" w:id="0">
    <w:p w14:paraId="2A49A20D" w14:textId="77777777" w:rsidR="003813E4" w:rsidRDefault="00381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8">
      <w:bodyDiv w:val="1"/>
      <w:marLeft w:val="0"/>
      <w:marRight w:val="0"/>
      <w:marTop w:val="0"/>
      <w:marBottom w:val="0"/>
      <w:divBdr>
        <w:top w:val="none" w:sz="0" w:space="0" w:color="auto"/>
        <w:left w:val="none" w:sz="0" w:space="0" w:color="auto"/>
        <w:bottom w:val="none" w:sz="0" w:space="0" w:color="auto"/>
        <w:right w:val="none" w:sz="0" w:space="0" w:color="auto"/>
      </w:divBdr>
    </w:div>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B3F1EA3-101F-4428-99EF-0968A74E443C}">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14146</Words>
  <Characters>80637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2022-01-20T02:31:00Z</dcterms:created>
  <dcterms:modified xsi:type="dcterms:W3CDTF">2022-01-20T02:31:00Z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