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t>Ericsson</w:t>
            </w:r>
          </w:p>
        </w:tc>
        <w:tc>
          <w:tcPr>
            <w:tcW w:w="7627" w:type="dxa"/>
          </w:tcPr>
          <w:p w14:paraId="3F6743CA" w14:textId="77777777" w:rsidR="00A6641F" w:rsidRDefault="0012627B">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lastRenderedPageBreak/>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HiSilicon</w:t>
            </w:r>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lastRenderedPageBreak/>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“PUCCH-TimeDomainWindowLength”</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“PUCCH-TimeDomainWindowLength</w:t>
      </w:r>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bundling for </w:t>
            </w:r>
            <w:r>
              <w:rPr>
                <w:rFonts w:ascii="Arial" w:eastAsia="DengXian" w:hAnsi="Arial" w:cs="Arial"/>
                <w:sz w:val="16"/>
                <w:szCs w:val="16"/>
                <w:lang w:eastAsia="zh-CN"/>
              </w:rPr>
              <w:lastRenderedPageBreak/>
              <w:t>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 xml:space="preserve">Preferably, candidate numbers for hopping interval should be unified between paired (&amp; SUL) and </w:t>
            </w:r>
            <w:r>
              <w:rPr>
                <w:rFonts w:hint="eastAsia"/>
                <w:lang w:eastAsia="zh-CN"/>
              </w:rPr>
              <w:lastRenderedPageBreak/>
              <w:t>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lastRenderedPageBreak/>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r>
              <w:rPr>
                <w:rFonts w:eastAsia="MS Mincho"/>
                <w:lang w:eastAsia="ja-JP"/>
              </w:rPr>
              <w:t>Basiclly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r>
              <w:rPr>
                <w:rFonts w:hint="eastAsia"/>
                <w:bCs/>
                <w:lang w:eastAsia="zh-CN"/>
              </w:rPr>
              <w:t>S</w:t>
            </w:r>
            <w:r>
              <w:rPr>
                <w:bCs/>
                <w:lang w:eastAsia="zh-CN"/>
              </w:rPr>
              <w:t>preadtrum</w:t>
            </w:r>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lastRenderedPageBreak/>
        <w:t>PUSCH-Frequencyhopping-Interval</w:t>
      </w:r>
    </w:p>
    <w:p w14:paraId="65358287" w14:textId="77777777" w:rsidR="00A6641F" w:rsidRDefault="0012627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r>
        <w:t>ynamic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lastRenderedPageBreak/>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lastRenderedPageBreak/>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77777777" w:rsidR="00A6641F" w:rsidRDefault="00A6641F">
            <w:pPr>
              <w:spacing w:before="0" w:after="0"/>
              <w:rPr>
                <w:rFonts w:eastAsia="Malgun Gothic"/>
                <w:bCs/>
                <w:lang w:eastAsia="ko-KR"/>
              </w:rPr>
            </w:pPr>
          </w:p>
        </w:tc>
        <w:tc>
          <w:tcPr>
            <w:tcW w:w="7627" w:type="dxa"/>
          </w:tcPr>
          <w:p w14:paraId="22A18CDE" w14:textId="77777777" w:rsidR="00A6641F" w:rsidRDefault="00A6641F">
            <w:pPr>
              <w:spacing w:before="0" w:after="0"/>
              <w:rPr>
                <w:bCs/>
                <w:lang w:eastAsia="zh-CN"/>
              </w:rPr>
            </w:pP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r>
              <w:rPr>
                <w:rFonts w:eastAsia="Malgun Gothic"/>
                <w:bCs/>
                <w:lang w:eastAsia="ko-KR"/>
              </w:rPr>
              <w:lastRenderedPageBreak/>
              <w:t>InterDigital</w:t>
            </w:r>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Huawei, HiSilicon</w:t>
            </w:r>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0" w:type="auto"/>
        <w:tblLook w:val="04A0" w:firstRow="1" w:lastRow="0" w:firstColumn="1" w:lastColumn="0" w:noHBand="0" w:noVBand="1"/>
      </w:tblPr>
      <w:tblGrid>
        <w:gridCol w:w="2335"/>
        <w:gridCol w:w="7627"/>
      </w:tblGrid>
      <w:tr w:rsidR="00A6641F" w14:paraId="0FDE22D2" w14:textId="77777777">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w:t>
            </w:r>
            <w:r>
              <w:rPr>
                <w:lang w:eastAsia="zh-CN"/>
              </w:rPr>
              <w:lastRenderedPageBreak/>
              <w:t xml:space="preserve">TRP, it needs to switch the UL beam. </w:t>
            </w:r>
          </w:p>
        </w:tc>
      </w:tr>
      <w:tr w:rsidR="00A6641F" w14:paraId="6DBD76F8" w14:textId="77777777">
        <w:trPr>
          <w:trHeight w:val="341"/>
        </w:trPr>
        <w:tc>
          <w:tcPr>
            <w:tcW w:w="2335" w:type="dxa"/>
          </w:tcPr>
          <w:p w14:paraId="19A971E1" w14:textId="77777777" w:rsidR="00A6641F" w:rsidRDefault="0012627B">
            <w:pPr>
              <w:spacing w:before="0" w:after="0"/>
              <w:rPr>
                <w:bCs/>
                <w:lang w:eastAsia="zh-CN"/>
              </w:rPr>
            </w:pPr>
            <w:r>
              <w:rPr>
                <w:rFonts w:hint="eastAsia"/>
                <w:bCs/>
                <w:lang w:eastAsia="zh-CN"/>
              </w:rPr>
              <w:lastRenderedPageBreak/>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bl>
    <w:p w14:paraId="1889E6F5" w14:textId="77777777" w:rsidR="00A6641F" w:rsidRDefault="00A6641F">
      <w:pPr>
        <w:rPr>
          <w:lang w:val="en-GB"/>
        </w:rPr>
      </w:pPr>
    </w:p>
    <w:p w14:paraId="7D6DF6FA" w14:textId="77777777" w:rsidR="00A6641F" w:rsidRDefault="0012627B">
      <w:pPr>
        <w:pStyle w:val="Heading2"/>
      </w:pPr>
      <w:r>
        <w:t>Inter slot freq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 xml:space="preserve">We are open whether to use unified rule/procedure </w:t>
            </w:r>
            <w:r>
              <w:rPr>
                <w:rFonts w:eastAsia="MS Mincho"/>
                <w:lang w:eastAsia="zh-CN"/>
              </w:rPr>
              <w:lastRenderedPageBreak/>
              <w:t>between PUCCH and PUSCH.</w:t>
            </w:r>
          </w:p>
        </w:tc>
        <w:tc>
          <w:tcPr>
            <w:tcW w:w="3925" w:type="dxa"/>
          </w:tcPr>
          <w:p w14:paraId="153E9281" w14:textId="77777777" w:rsidR="00A6641F" w:rsidRDefault="0012627B">
            <w:pPr>
              <w:spacing w:before="0" w:after="0"/>
              <w:rPr>
                <w:lang w:eastAsia="zh-CN"/>
              </w:rPr>
            </w:pPr>
            <w:r>
              <w:rPr>
                <w:lang w:eastAsia="zh-CN"/>
              </w:rPr>
              <w:lastRenderedPageBreak/>
              <w:t xml:space="preserve">To adopt different rules for PUCCH and </w:t>
            </w:r>
            <w:r>
              <w:rPr>
                <w:lang w:eastAsia="zh-CN"/>
              </w:rPr>
              <w:lastRenderedPageBreak/>
              <w:t>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w:t>
            </w:r>
            <w:r>
              <w:rPr>
                <w:bCs/>
                <w:lang w:eastAsia="zh-CN"/>
              </w:rPr>
              <w:lastRenderedPageBreak/>
              <w:t xml:space="preserve">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w:t>
            </w:r>
            <w:r>
              <w:rPr>
                <w:rFonts w:eastAsia="MS Mincho"/>
                <w:lang w:eastAsia="ja-JP"/>
              </w:rPr>
              <w:lastRenderedPageBreak/>
              <w:t xml:space="preserve">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w:t>
            </w:r>
            <w:r>
              <w:rPr>
                <w:rFonts w:hint="eastAsia"/>
                <w:bCs/>
                <w:lang w:eastAsia="zh-CN"/>
              </w:rPr>
              <w:lastRenderedPageBreak/>
              <w:t xml:space="preserve">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The starting of the FH pattern can align with the starting of  the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lastRenderedPageBreak/>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1D6748">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1D6748">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1D6748">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w:t>
            </w:r>
            <w:r>
              <w:rPr>
                <w:rFonts w:eastAsia="Malgun Gothic" w:hint="eastAsia"/>
                <w:lang w:eastAsia="ko-KR"/>
              </w:rPr>
              <w:lastRenderedPageBreak/>
              <w:t>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Hopping intervals should be derived based on Frequencyhopping-Interval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r>
              <w:rPr>
                <w:rFonts w:hint="eastAsia"/>
                <w:bCs/>
                <w:lang w:eastAsia="zh-CN"/>
              </w:rPr>
              <w:t>S</w:t>
            </w:r>
            <w:r>
              <w:rPr>
                <w:bCs/>
                <w:lang w:eastAsia="zh-CN"/>
              </w:rPr>
              <w:t>preadtrum</w:t>
            </w:r>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A6641F" w14:paraId="08E88485" w14:textId="77777777">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tc>
          <w:tcPr>
            <w:tcW w:w="1693" w:type="dxa"/>
          </w:tcPr>
          <w:p w14:paraId="5555EB07" w14:textId="77777777" w:rsidR="00A6641F" w:rsidRDefault="0012627B">
            <w:pPr>
              <w:spacing w:after="0"/>
              <w:rPr>
                <w:lang w:eastAsia="zh-CN"/>
              </w:rPr>
            </w:pPr>
            <w:r>
              <w:rPr>
                <w:rFonts w:hint="eastAsia"/>
                <w:lang w:eastAsia="zh-CN"/>
              </w:rPr>
              <w:t>S</w:t>
            </w:r>
            <w:r>
              <w:rPr>
                <w:lang w:eastAsia="zh-CN"/>
              </w:rPr>
              <w:t>preadtrum</w:t>
            </w:r>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1DDC186B" w14:textId="77777777" w:rsidR="00A6641F" w:rsidRDefault="0012627B">
      <w:pPr>
        <w:rPr>
          <w:lang w:val="en-GB"/>
        </w:rPr>
      </w:pPr>
      <w:r>
        <w:lastRenderedPageBreak/>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 xml:space="preserve">if hopping interval is not </w:t>
            </w:r>
            <w:r>
              <w:lastRenderedPageBreak/>
              <w:t>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lastRenderedPageBreak/>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r>
              <w:rPr>
                <w:rFonts w:eastAsia="Malgun Gothic"/>
                <w:bCs/>
                <w:lang w:eastAsia="ko-KR"/>
              </w:rPr>
              <w:lastRenderedPageBreak/>
              <w:t>InterDigital</w:t>
            </w:r>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lost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r>
              <w:rPr>
                <w:rFonts w:hint="eastAsia"/>
                <w:bCs/>
                <w:lang w:eastAsia="zh-CN"/>
              </w:rPr>
              <w:t>S</w:t>
            </w:r>
            <w:r>
              <w:rPr>
                <w:bCs/>
                <w:lang w:eastAsia="zh-CN"/>
              </w:rPr>
              <w:t xml:space="preserve">preadtrum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lastRenderedPageBreak/>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lastRenderedPageBreak/>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bl>
    <w:p w14:paraId="5AB21F2C" w14:textId="77777777" w:rsidR="00A6641F" w:rsidRDefault="00A6641F">
      <w:pPr>
        <w:rPr>
          <w:b/>
          <w:bCs/>
          <w:lang w:val="en-GB"/>
        </w:rPr>
      </w:pPr>
    </w:p>
    <w:p w14:paraId="7E62BEB6" w14:textId="77777777" w:rsidR="00A6641F" w:rsidRDefault="0012627B">
      <w:pPr>
        <w:pStyle w:val="Heading2"/>
      </w:pPr>
      <w:r>
        <w:lastRenderedPageBreak/>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lastRenderedPageBreak/>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0" w:type="auto"/>
        <w:tblLook w:val="04A0" w:firstRow="1" w:lastRow="0" w:firstColumn="1" w:lastColumn="0" w:noHBand="0" w:noVBand="1"/>
      </w:tblPr>
      <w:tblGrid>
        <w:gridCol w:w="2335"/>
        <w:gridCol w:w="7627"/>
      </w:tblGrid>
      <w:tr w:rsidR="00A6641F" w14:paraId="57B92489" w14:textId="77777777">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lastRenderedPageBreak/>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1D6748">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Huawei, HiSilicon</w:t>
            </w:r>
          </w:p>
        </w:tc>
      </w:tr>
      <w:tr w:rsidR="00A6641F" w14:paraId="35B608E4" w14:textId="77777777">
        <w:trPr>
          <w:trHeight w:val="230"/>
        </w:trPr>
        <w:tc>
          <w:tcPr>
            <w:tcW w:w="1345" w:type="dxa"/>
          </w:tcPr>
          <w:p w14:paraId="2E2C8579" w14:textId="77777777" w:rsidR="00A6641F" w:rsidRDefault="001D6748">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1D6748">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1D6748">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1D6748">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1D6748">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1D6748">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1D6748">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r>
              <w:rPr>
                <w:iCs/>
                <w:lang w:eastAsia="zh-CN"/>
              </w:rPr>
              <w:t>Spreadtrum Communications</w:t>
            </w:r>
          </w:p>
        </w:tc>
      </w:tr>
      <w:tr w:rsidR="00A6641F" w14:paraId="126EA3F3" w14:textId="77777777">
        <w:trPr>
          <w:trHeight w:val="230"/>
        </w:trPr>
        <w:tc>
          <w:tcPr>
            <w:tcW w:w="1345" w:type="dxa"/>
          </w:tcPr>
          <w:p w14:paraId="30EC9ACC" w14:textId="77777777" w:rsidR="00A6641F" w:rsidRDefault="001D6748">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1D6748">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1D6748">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1D6748">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1D6748">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1D6748">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r>
              <w:rPr>
                <w:iCs/>
                <w:lang w:eastAsia="zh-CN"/>
              </w:rPr>
              <w:t>xiaomi</w:t>
            </w:r>
          </w:p>
        </w:tc>
      </w:tr>
      <w:tr w:rsidR="00A6641F" w14:paraId="3F6A2DBC" w14:textId="77777777">
        <w:trPr>
          <w:trHeight w:val="600"/>
        </w:trPr>
        <w:tc>
          <w:tcPr>
            <w:tcW w:w="1345" w:type="dxa"/>
          </w:tcPr>
          <w:p w14:paraId="358888E1" w14:textId="77777777" w:rsidR="00A6641F" w:rsidRDefault="001D6748">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1D6748">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1D6748">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r>
              <w:rPr>
                <w:iCs/>
                <w:lang w:eastAsia="zh-CN"/>
              </w:rPr>
              <w:t>InterDigital, Inc.</w:t>
            </w:r>
          </w:p>
        </w:tc>
      </w:tr>
      <w:tr w:rsidR="00A6641F" w14:paraId="6F3848E2" w14:textId="77777777">
        <w:trPr>
          <w:trHeight w:val="230"/>
        </w:trPr>
        <w:tc>
          <w:tcPr>
            <w:tcW w:w="1345" w:type="dxa"/>
          </w:tcPr>
          <w:p w14:paraId="0B655BDE" w14:textId="77777777" w:rsidR="00A6641F" w:rsidRDefault="001D6748">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1D6748">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1D6748">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1D6748">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FB5DA" w14:textId="77777777" w:rsidR="001D6748" w:rsidRDefault="001D6748">
      <w:pPr>
        <w:spacing w:line="240" w:lineRule="auto"/>
      </w:pPr>
      <w:r>
        <w:separator/>
      </w:r>
    </w:p>
  </w:endnote>
  <w:endnote w:type="continuationSeparator" w:id="0">
    <w:p w14:paraId="71248DBF" w14:textId="77777777" w:rsidR="001D6748" w:rsidRDefault="001D6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8D8DA" w14:textId="77777777"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B8D99" w14:textId="77777777" w:rsidR="001D6748" w:rsidRDefault="001D6748">
      <w:pPr>
        <w:spacing w:after="0" w:line="240" w:lineRule="auto"/>
      </w:pPr>
      <w:r>
        <w:separator/>
      </w:r>
    </w:p>
  </w:footnote>
  <w:footnote w:type="continuationSeparator" w:id="0">
    <w:p w14:paraId="330B178E" w14:textId="77777777" w:rsidR="001D6748" w:rsidRDefault="001D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F886CD83-3CFF-4026-BE82-F7C36BBE9050}">
  <ds:schemaRefs>
    <ds:schemaRef ds:uri="http://schemas.openxmlformats.org/officeDocument/2006/bibliography"/>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37</Pages>
  <Words>13109</Words>
  <Characters>72104</Characters>
  <Application>Microsoft Office Word</Application>
  <DocSecurity>0</DocSecurity>
  <Lines>600</Lines>
  <Paragraphs>170</Paragraphs>
  <ScaleCrop>false</ScaleCrop>
  <Company>Qualcomm Inc.</Company>
  <LinksUpToDate>false</LinksUpToDate>
  <CharactersWithSpaces>85043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14</cp:revision>
  <cp:lastPrinted>2014-11-07T05:38:00Z</cp:lastPrinted>
  <dcterms:created xsi:type="dcterms:W3CDTF">2022-01-19T10:04:00Z</dcterms:created>
  <dcterms:modified xsi:type="dcterms:W3CDTF">2022-01-19T17:56:00Z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