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Start w:id="9" w:name="_GoBack"/>
      <w:bookmarkEnd w:id="8"/>
      <w:bookmarkEnd w:id="9"/>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F</w:t>
      </w:r>
      <w:r w:rsidRPr="006E536C">
        <w:rPr>
          <w:rFonts w:ascii="Calibri" w:hAnsi="Calibri" w:cs="Calibri"/>
          <w:color w:val="FF0000"/>
          <w:highlight w:val="green"/>
        </w:rPr>
        <w:t>or PUCCH, PUSCH, and SRS</w:t>
      </w:r>
      <w:r w:rsidRPr="006E536C">
        <w:rPr>
          <w:rFonts w:ascii="Calibri" w:hAnsi="Calibri" w:cs="Calibri"/>
          <w:color w:val="FF0000"/>
          <w:highlight w:val="green"/>
        </w:rPr>
        <w:t xml:space="preserve">,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w:t>
      </w:r>
      <w:r w:rsidR="0070761B" w:rsidRPr="0070761B">
        <w:rPr>
          <w:rFonts w:ascii="Calibri" w:hAnsi="Calibri" w:cs="Calibri"/>
          <w:color w:val="FF0000"/>
          <w:highlight w:val="green"/>
        </w:rPr>
        <w:t>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indication</w:t>
      </w:r>
      <w:r w:rsidR="0070761B" w:rsidRPr="0070761B">
        <w:rPr>
          <w:rFonts w:ascii="Calibri" w:hAnsi="Calibri" w:cs="Calibri"/>
          <w:color w:val="FF0000"/>
          <w:highlight w:val="green"/>
        </w:rPr>
        <w:t xml:space="preserve">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w:t>
      </w:r>
      <w:r w:rsidR="00682360" w:rsidRPr="0070761B">
        <w:rPr>
          <w:rFonts w:ascii="Calibri" w:hAnsi="Calibri" w:cs="Calibri"/>
          <w:color w:val="FF0000"/>
          <w:highlight w:val="yellow"/>
        </w:rPr>
        <w:t>(involving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451455C1" w14:textId="382AA4DB" w:rsidR="00AC276B" w:rsidRDefault="00AC276B" w:rsidP="00AC276B">
      <w:pPr>
        <w:rPr>
          <w:lang w:eastAsia="x-none"/>
        </w:rPr>
      </w:pPr>
    </w:p>
    <w:p w14:paraId="570333EF" w14:textId="77777777" w:rsidR="00AC276B" w:rsidRDefault="00AC276B" w:rsidP="00AC276B">
      <w:pPr>
        <w:rPr>
          <w:lang w:eastAsia="x-none"/>
        </w:rPr>
      </w:pPr>
    </w:p>
    <w:p w14:paraId="76FFE511" w14:textId="77777777" w:rsidR="00AC276B" w:rsidRPr="00E57852" w:rsidRDefault="003D46B5"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3D46B5"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3D46B5"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3D46B5"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3D46B5"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3D46B5"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3D46B5"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3D46B5"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3D46B5"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3D46B5"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3D46B5"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3D46B5"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3D46B5"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3D46B5"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3D46B5"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3D46B5"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3D46B5"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3D46B5"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3D46B5"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5D45" w14:textId="77777777" w:rsidR="003D46B5" w:rsidRDefault="003D46B5" w:rsidP="00424124">
      <w:pPr>
        <w:spacing w:before="0" w:after="0"/>
      </w:pPr>
      <w:r>
        <w:separator/>
      </w:r>
    </w:p>
  </w:endnote>
  <w:endnote w:type="continuationSeparator" w:id="0">
    <w:p w14:paraId="6282F617" w14:textId="77777777" w:rsidR="003D46B5" w:rsidRDefault="003D46B5" w:rsidP="00424124">
      <w:pPr>
        <w:spacing w:before="0" w:after="0"/>
      </w:pPr>
      <w:r>
        <w:continuationSeparator/>
      </w:r>
    </w:p>
  </w:endnote>
  <w:endnote w:type="continuationNotice" w:id="1">
    <w:p w14:paraId="70065752" w14:textId="77777777" w:rsidR="003D46B5" w:rsidRDefault="003D46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9087" w14:textId="77777777" w:rsidR="003D46B5" w:rsidRDefault="003D46B5" w:rsidP="00424124">
      <w:pPr>
        <w:spacing w:before="0" w:after="0"/>
      </w:pPr>
      <w:r>
        <w:separator/>
      </w:r>
    </w:p>
  </w:footnote>
  <w:footnote w:type="continuationSeparator" w:id="0">
    <w:p w14:paraId="30562F57" w14:textId="77777777" w:rsidR="003D46B5" w:rsidRDefault="003D46B5" w:rsidP="00424124">
      <w:pPr>
        <w:spacing w:before="0" w:after="0"/>
      </w:pPr>
      <w:r>
        <w:continuationSeparator/>
      </w:r>
    </w:p>
  </w:footnote>
  <w:footnote w:type="continuationNotice" w:id="1">
    <w:p w14:paraId="70AC440C" w14:textId="77777777" w:rsidR="003D46B5" w:rsidRDefault="003D46B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3"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2"/>
  </w:num>
  <w:num w:numId="2">
    <w:abstractNumId w:val="3"/>
  </w:num>
  <w:num w:numId="3">
    <w:abstractNumId w:val="20"/>
  </w:num>
  <w:num w:numId="4">
    <w:abstractNumId w:val="6"/>
  </w:num>
  <w:num w:numId="5">
    <w:abstractNumId w:val="9"/>
  </w:num>
  <w:num w:numId="6">
    <w:abstractNumId w:val="13"/>
  </w:num>
  <w:num w:numId="7">
    <w:abstractNumId w:val="16"/>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25"/>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9"/>
  </w:num>
  <w:num w:numId="22">
    <w:abstractNumId w:val="7"/>
  </w:num>
  <w:num w:numId="23">
    <w:abstractNumId w:val="18"/>
  </w:num>
  <w:num w:numId="24">
    <w:abstractNumId w:val="14"/>
  </w:num>
  <w:num w:numId="25">
    <w:abstractNumId w:val="11"/>
  </w:num>
  <w:num w:numId="26">
    <w:abstractNumId w:val="10"/>
  </w:num>
  <w:num w:numId="27">
    <w:abstractNumId w:val="20"/>
  </w:num>
  <w:num w:numId="28">
    <w:abstractNumId w:val="20"/>
  </w:num>
  <w:num w:numId="29">
    <w:abstractNumId w:val="17"/>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6FA1"/>
    <w:rsid w:val="00F70C82"/>
    <w:rsid w:val="00F711C0"/>
    <w:rsid w:val="00F71788"/>
    <w:rsid w:val="00F729E1"/>
    <w:rsid w:val="00F72B1B"/>
    <w:rsid w:val="00F7324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5A43160D-8DC0-4E75-975F-0F3AF49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8</cp:revision>
  <cp:lastPrinted>2020-04-13T00:57:00Z</cp:lastPrinted>
  <dcterms:created xsi:type="dcterms:W3CDTF">2022-01-17T05:23:00Z</dcterms:created>
  <dcterms:modified xsi:type="dcterms:W3CDTF">2022-01-17T16:10:00Z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