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7777777"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Heading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5DCD3306" w14:textId="77777777" w:rsidR="007216CC" w:rsidRDefault="00ED2ABB">
      <w:pPr>
        <w:pStyle w:val="Heading1"/>
        <w:rPr>
          <w:lang w:eastAsia="zh-CN"/>
        </w:rPr>
      </w:pPr>
      <w:r>
        <w:rPr>
          <w:rFonts w:hint="eastAsia"/>
          <w:lang w:eastAsia="zh-CN"/>
        </w:rPr>
        <w:t>Discussion</w:t>
      </w:r>
    </w:p>
    <w:p w14:paraId="242B5A34" w14:textId="77777777" w:rsidR="007216CC" w:rsidRDefault="00ED2ABB">
      <w:pPr>
        <w:pStyle w:val="Heading2"/>
        <w:rPr>
          <w:lang w:eastAsia="zh-CN"/>
        </w:rPr>
      </w:pPr>
      <w:r>
        <w:rPr>
          <w:lang w:eastAsia="zh-CN"/>
        </w:rPr>
        <w:t>Uplink power control</w:t>
      </w:r>
    </w:p>
    <w:p w14:paraId="2E303B62" w14:textId="77777777" w:rsidR="007216CC" w:rsidRDefault="00ED2ABB">
      <w:pPr>
        <w:pStyle w:val="Heading3"/>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CommentReference"/>
              </w:rPr>
            </w:pPr>
            <w:r>
              <w:rPr>
                <w:b/>
              </w:rPr>
              <w:t>Proposal 5</w:t>
            </w:r>
            <w:r>
              <w:rPr>
                <w:rFonts w:hint="eastAsia"/>
                <w:b/>
              </w:rPr>
              <w:t>：</w:t>
            </w:r>
            <w:r>
              <w:rPr>
                <w:b/>
              </w:rPr>
              <w:t>The new power control term can be applied to QPSK when configured with 16QAM</w:t>
            </w:r>
            <w:r>
              <w:rPr>
                <w:rStyle w:val="CommentReferenc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lastRenderedPageBreak/>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lastRenderedPageBreak/>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proofErr w:type="spellStart"/>
            <w:r>
              <w:rPr>
                <w:b/>
                <w:bCs/>
                <w:i/>
              </w:rPr>
              <w:t>deltaMCS</w:t>
            </w:r>
            <w:proofErr w:type="spellEnd"/>
            <w:r>
              <w:rPr>
                <w:b/>
                <w:bCs/>
                <w:i/>
              </w:rPr>
              <w:t>-Enabled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lastRenderedPageBreak/>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 xml:space="preserve">Most companies support to confirm the working </w:t>
      </w:r>
      <w:proofErr w:type="gramStart"/>
      <w:r>
        <w:rPr>
          <w:rFonts w:hint="eastAsia"/>
          <w:lang w:eastAsia="zh-CN"/>
        </w:rPr>
        <w:t>assumption</w:t>
      </w:r>
      <w:r>
        <w:rPr>
          <w:lang w:eastAsia="zh-CN"/>
        </w:rPr>
        <w:t>,</w:t>
      </w:r>
      <w:proofErr w:type="gramEnd"/>
      <w:r>
        <w:rPr>
          <w:lang w:eastAsia="zh-CN"/>
        </w:rPr>
        <w:t xml:space="preserve">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 xml:space="preserve">companies (Huawei, </w:t>
      </w:r>
      <w:proofErr w:type="spellStart"/>
      <w:r>
        <w:rPr>
          <w:lang w:eastAsia="zh-CN"/>
        </w:rPr>
        <w:t>HiSilicon</w:t>
      </w:r>
      <w:proofErr w:type="spellEnd"/>
      <w:r>
        <w:rPr>
          <w:lang w:eastAsia="zh-CN"/>
        </w:rPr>
        <w:t xml:space="preserve">, Nokia, NSB, QC, Lenovo, Moto, MediaTek) support to apply the new term to QPSK, companies (ZTE, </w:t>
      </w:r>
      <w:proofErr w:type="spellStart"/>
      <w:r>
        <w:rPr>
          <w:lang w:eastAsia="zh-CN"/>
        </w:rPr>
        <w:t>Sanechips</w:t>
      </w:r>
      <w:proofErr w:type="spellEnd"/>
      <w:r>
        <w:rPr>
          <w:lang w:eastAsia="zh-CN"/>
        </w:rPr>
        <w:t>,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lastRenderedPageBreak/>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5A2393">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5A2393">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5A2393">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9" o:title=""/>
                </v:shape>
                <o:OLEObject Type="Embed" ProgID="Equation.3" ShapeID="_x0000_i1025" DrawAspect="Content" ObjectID="_1698138065" r:id="rId10"/>
              </w:object>
            </w:r>
            <w:r>
              <w:rPr>
                <w:lang w:eastAsia="zh-CN"/>
              </w:rPr>
              <w:t xml:space="preserve">as compared to the one that would </w:t>
            </w:r>
            <w:proofErr w:type="gramStart"/>
            <w:r>
              <w:rPr>
                <w:lang w:eastAsia="zh-CN"/>
              </w:rPr>
              <w:t>delivered</w:t>
            </w:r>
            <w:proofErr w:type="gramEnd"/>
            <w:r>
              <w:rPr>
                <w:lang w:eastAsia="zh-CN"/>
              </w:rPr>
              <w:t xml:space="preserve">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xml:space="preserve">” as an offset since that will result in side effects too. By offset, we mean e.g., Alternative </w:t>
            </w:r>
            <w:proofErr w:type="gramStart"/>
            <w:r>
              <w:t>1</w:t>
            </w:r>
            <w:proofErr w:type="gramEnd"/>
            <w:r>
              <w:t xml:space="preserve"> or Alternative 2 below applied on the estimated Δ</w:t>
            </w:r>
            <w:r>
              <w:rPr>
                <w:vertAlign w:val="subscript"/>
              </w:rPr>
              <w:t>TF</w:t>
            </w:r>
            <w:r>
              <w:t>.</w:t>
            </w:r>
          </w:p>
          <w:p w14:paraId="03197AC5"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ListParagraph"/>
              <w:spacing w:line="240" w:lineRule="auto"/>
              <w:rPr>
                <w:rFonts w:ascii="Times New Roman" w:hAnsi="Times New Roman" w:cs="Times New Roman"/>
              </w:rPr>
            </w:pPr>
          </w:p>
          <w:p w14:paraId="038BFB0C"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w:t>
            </w:r>
            <w:proofErr w:type="gramStart"/>
            <w:r>
              <w:rPr>
                <w:bCs/>
                <w:lang w:eastAsia="zh-CN"/>
              </w:rPr>
              <w:t>is</w:t>
            </w:r>
            <w:proofErr w:type="gramEnd"/>
            <w:r>
              <w:rPr>
                <w:bCs/>
                <w:lang w:eastAsia="zh-CN"/>
              </w:rPr>
              <w:t xml:space="preserve">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w:t>
            </w:r>
            <w:proofErr w:type="gramStart"/>
            <w:r>
              <w:rPr>
                <w:lang w:eastAsia="zh-CN"/>
              </w:rPr>
              <w:t>So</w:t>
            </w:r>
            <w:proofErr w:type="gramEnd"/>
            <w:r>
              <w:rPr>
                <w:lang w:eastAsia="zh-CN"/>
              </w:rPr>
              <w:t xml:space="preserve">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 xml:space="preserve">Huawei, </w:t>
            </w:r>
            <w:proofErr w:type="spellStart"/>
            <w:r>
              <w:t>HiSilicon</w:t>
            </w:r>
            <w:proofErr w:type="spellEnd"/>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proofErr w:type="spellStart"/>
            <w:r>
              <w:t>NordicSemi</w:t>
            </w:r>
            <w:proofErr w:type="spellEnd"/>
          </w:p>
        </w:tc>
        <w:tc>
          <w:tcPr>
            <w:tcW w:w="7611" w:type="dxa"/>
          </w:tcPr>
          <w:p w14:paraId="662348E9" w14:textId="6194D3A2" w:rsidR="00CE0654" w:rsidRDefault="00CE0654" w:rsidP="00216924">
            <w:pPr>
              <w:spacing w:line="240" w:lineRule="auto"/>
              <w:rPr>
                <w:rFonts w:hint="eastAsia"/>
                <w:lang w:eastAsia="zh-CN"/>
              </w:rPr>
            </w:pPr>
            <w:r>
              <w:rPr>
                <w:lang w:eastAsia="zh-CN"/>
              </w:rPr>
              <w:t>We are OK with both proposals.</w:t>
            </w:r>
          </w:p>
        </w:tc>
      </w:tr>
    </w:tbl>
    <w:p w14:paraId="1D594DCF" w14:textId="77777777" w:rsidR="007216CC" w:rsidRDefault="007216CC">
      <w:pPr>
        <w:spacing w:line="240" w:lineRule="auto"/>
        <w:rPr>
          <w:lang w:eastAsia="zh-CN"/>
        </w:rPr>
      </w:pPr>
    </w:p>
    <w:p w14:paraId="060AC815" w14:textId="77777777" w:rsidR="007216CC" w:rsidRDefault="00ED2ABB">
      <w:pPr>
        <w:pStyle w:val="Heading2"/>
        <w:rPr>
          <w:lang w:eastAsia="zh-CN"/>
        </w:rPr>
      </w:pPr>
      <w:r>
        <w:rPr>
          <w:lang w:eastAsia="zh-CN"/>
        </w:rPr>
        <w:t>Channel quality reporting</w:t>
      </w:r>
    </w:p>
    <w:p w14:paraId="66AA84D9" w14:textId="77777777" w:rsidR="007216CC" w:rsidRDefault="00ED2ABB">
      <w:pPr>
        <w:pStyle w:val="Heading3"/>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lastRenderedPageBreak/>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lastRenderedPageBreak/>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 xml:space="preserve">First preference – Option 3: A new CQI table is defined for 16-QAM based on the </w:t>
            </w:r>
            <w:proofErr w:type="spellStart"/>
            <w:r>
              <w:rPr>
                <w:b/>
                <w:bCs/>
              </w:rPr>
              <w:t>eMTC</w:t>
            </w:r>
            <w:proofErr w:type="spellEnd"/>
            <w:r>
              <w:rPr>
                <w:b/>
                <w:bCs/>
              </w:rPr>
              <w:t xml:space="preserve"> table (CQI Tables in 36.213) as a starting point</w:t>
            </w:r>
          </w:p>
          <w:p w14:paraId="40D4D335"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lastRenderedPageBreak/>
              <w:t>Second preference – Option 1: More than three candidate values for 16-QAM are added in the legacy table by replacing candidates with high repetition values (</w:t>
            </w:r>
            <w:proofErr w:type="gramStart"/>
            <w:r>
              <w:rPr>
                <w:b/>
                <w:bCs/>
              </w:rPr>
              <w:t>e.g.</w:t>
            </w:r>
            <w:proofErr w:type="gramEnd"/>
            <w:r>
              <w:rPr>
                <w:b/>
                <w:bCs/>
              </w:rPr>
              <w:t xml:space="preserve"> </w:t>
            </w:r>
            <w:proofErr w:type="spellStart"/>
            <w:r>
              <w:rPr>
                <w:b/>
                <w:bCs/>
                <w:lang w:eastAsia="ja-JP"/>
              </w:rPr>
              <w:t>candidateRep</w:t>
            </w:r>
            <w:proofErr w:type="spellEnd"/>
            <w:r>
              <w:rPr>
                <w:b/>
                <w:bCs/>
                <w:lang w:eastAsia="ja-JP"/>
              </w:rPr>
              <w:t xml:space="preserve">-J to </w:t>
            </w:r>
            <w:proofErr w:type="spellStart"/>
            <w:r>
              <w:rPr>
                <w:b/>
                <w:bCs/>
                <w:lang w:eastAsia="ja-JP"/>
              </w:rPr>
              <w:t>candidateRep</w:t>
            </w:r>
            <w:proofErr w:type="spellEnd"/>
            <w:r>
              <w:rPr>
                <w:b/>
                <w:bCs/>
                <w:lang w:eastAsia="ja-JP"/>
              </w:rPr>
              <w:t xml:space="preserve">-L).  </w:t>
            </w:r>
          </w:p>
          <w:p w14:paraId="3FB77251" w14:textId="77777777" w:rsidR="007216CC" w:rsidRDefault="00ED2ABB">
            <w:pPr>
              <w:rPr>
                <w:lang w:eastAsia="en-GB"/>
              </w:rPr>
            </w:pPr>
            <w:r>
              <w:rPr>
                <w:b/>
                <w:bCs/>
                <w:lang w:eastAsia="en-GB"/>
              </w:rPr>
              <w:t xml:space="preserve">Proposal 2: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proofErr w:type="spellStart"/>
                  <w:r>
                    <w:t>noMeasurement</w:t>
                  </w:r>
                  <w:proofErr w:type="spellEnd"/>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proofErr w:type="spellStart"/>
                  <w:r>
                    <w:rPr>
                      <w:lang w:eastAsia="ja-JP"/>
                    </w:rPr>
                    <w:t>candidateRep</w:t>
                  </w:r>
                  <w:proofErr w:type="spellEnd"/>
                  <w:r>
                    <w:rPr>
                      <w:lang w:eastAsia="ja-JP"/>
                    </w:rPr>
                    <w:t>-A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proofErr w:type="spellStart"/>
                  <w:r>
                    <w:rPr>
                      <w:lang w:eastAsia="ja-JP"/>
                    </w:rPr>
                    <w:t>candidateRep</w:t>
                  </w:r>
                  <w:proofErr w:type="spellEnd"/>
                  <w:r>
                    <w:rPr>
                      <w:lang w:eastAsia="ja-JP"/>
                    </w:rPr>
                    <w:t>-B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proofErr w:type="spellStart"/>
                  <w:r>
                    <w:rPr>
                      <w:lang w:eastAsia="ja-JP"/>
                    </w:rPr>
                    <w:t>candidateRep</w:t>
                  </w:r>
                  <w:proofErr w:type="spellEnd"/>
                  <w:r>
                    <w:rPr>
                      <w:lang w:eastAsia="ja-JP"/>
                    </w:rPr>
                    <w:t>-C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proofErr w:type="spellStart"/>
                  <w:r>
                    <w:rPr>
                      <w:lang w:eastAsia="ja-JP"/>
                    </w:rPr>
                    <w:t>candidateRep</w:t>
                  </w:r>
                  <w:proofErr w:type="spellEnd"/>
                  <w:r>
                    <w:rPr>
                      <w:lang w:eastAsia="ja-JP"/>
                    </w:rPr>
                    <w:t>-D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proofErr w:type="spellStart"/>
                  <w:r>
                    <w:rPr>
                      <w:lang w:eastAsia="ja-JP"/>
                    </w:rPr>
                    <w:t>candidateRep</w:t>
                  </w:r>
                  <w:proofErr w:type="spellEnd"/>
                  <w:r>
                    <w:rPr>
                      <w:lang w:eastAsia="ja-JP"/>
                    </w:rPr>
                    <w:t>-E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proofErr w:type="spellStart"/>
                  <w:r>
                    <w:rPr>
                      <w:lang w:eastAsia="ja-JP"/>
                    </w:rPr>
                    <w:t>candidateRep</w:t>
                  </w:r>
                  <w:proofErr w:type="spellEnd"/>
                  <w:r>
                    <w:rPr>
                      <w:lang w:eastAsia="ja-JP"/>
                    </w:rPr>
                    <w:t>-F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proofErr w:type="spellStart"/>
                  <w:r>
                    <w:rPr>
                      <w:lang w:eastAsia="ja-JP"/>
                    </w:rPr>
                    <w:t>candidateRep</w:t>
                  </w:r>
                  <w:proofErr w:type="spellEnd"/>
                  <w:r>
                    <w:rPr>
                      <w:lang w:eastAsia="ja-JP"/>
                    </w:rPr>
                    <w:t>-G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ListParagraph"/>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 xml:space="preserve">Option 2: Follow legacy </w:t>
            </w:r>
            <w:proofErr w:type="spellStart"/>
            <w:r>
              <w:rPr>
                <w:rFonts w:ascii="Times New Roman" w:hAnsi="Times New Roman"/>
                <w:b/>
                <w:i/>
                <w:sz w:val="20"/>
                <w:szCs w:val="20"/>
              </w:rPr>
              <w:t>eMTC</w:t>
            </w:r>
            <w:proofErr w:type="spellEnd"/>
            <w:r>
              <w:rPr>
                <w:rFonts w:ascii="Times New Roman" w:hAnsi="Times New Roman"/>
                <w:b/>
                <w:i/>
                <w:sz w:val="20"/>
                <w:szCs w:val="20"/>
              </w:rPr>
              <w:t xml:space="preserve">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proofErr w:type="spellStart"/>
                  <w:r>
                    <w:rPr>
                      <w:color w:val="000000"/>
                      <w:sz w:val="20"/>
                      <w:szCs w:val="20"/>
                      <w:lang w:eastAsia="zh-CN"/>
                    </w:rPr>
                    <w:t>noMeasurement</w:t>
                  </w:r>
                  <w:proofErr w:type="spellEnd"/>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proofErr w:type="spellStart"/>
                  <w:r>
                    <w:rPr>
                      <w:color w:val="000000"/>
                      <w:sz w:val="20"/>
                      <w:szCs w:val="20"/>
                      <w:lang w:eastAsia="zh-CN"/>
                    </w:rPr>
                    <w:lastRenderedPageBreak/>
                    <w:t>candidateRep</w:t>
                  </w:r>
                  <w:proofErr w:type="spellEnd"/>
                  <w:r>
                    <w:rPr>
                      <w:color w:val="000000"/>
                      <w:sz w:val="20"/>
                      <w:szCs w:val="20"/>
                      <w:lang w:eastAsia="zh-CN"/>
                    </w:rPr>
                    <w:t>-E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proofErr w:type="gramStart"/>
                  <w:r>
                    <w:rPr>
                      <w:sz w:val="20"/>
                      <w:szCs w:val="20"/>
                      <w:lang w:eastAsia="zh-CN"/>
                    </w:rPr>
                    <w:t>candidate-M</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proofErr w:type="gramStart"/>
                  <w:r>
                    <w:rPr>
                      <w:color w:val="000000"/>
                      <w:sz w:val="20"/>
                      <w:szCs w:val="20"/>
                      <w:lang w:eastAsia="zh-CN"/>
                    </w:rPr>
                    <w:t>candidate-N</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proofErr w:type="gramStart"/>
                  <w:r>
                    <w:rPr>
                      <w:color w:val="000000"/>
                      <w:sz w:val="20"/>
                      <w:szCs w:val="20"/>
                      <w:lang w:eastAsia="zh-CN"/>
                    </w:rPr>
                    <w:t>candidate-O</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proofErr w:type="gramStart"/>
                  <w:r>
                    <w:rPr>
                      <w:color w:val="000000"/>
                      <w:sz w:val="20"/>
                      <w:szCs w:val="20"/>
                      <w:lang w:eastAsia="zh-CN"/>
                    </w:rPr>
                    <w:t>candidate-P</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proofErr w:type="gramStart"/>
                  <w:r>
                    <w:rPr>
                      <w:color w:val="000000"/>
                      <w:sz w:val="20"/>
                      <w:szCs w:val="20"/>
                      <w:lang w:eastAsia="zh-CN"/>
                    </w:rPr>
                    <w:t>candidate-Q</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proofErr w:type="gramStart"/>
                  <w:r>
                    <w:rPr>
                      <w:color w:val="000000"/>
                      <w:sz w:val="20"/>
                      <w:szCs w:val="20"/>
                      <w:lang w:eastAsia="zh-CN"/>
                    </w:rPr>
                    <w:t>candidate-R</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proofErr w:type="gramStart"/>
                  <w:r>
                    <w:rPr>
                      <w:color w:val="000000"/>
                      <w:sz w:val="20"/>
                      <w:szCs w:val="20"/>
                      <w:lang w:eastAsia="zh-CN"/>
                    </w:rPr>
                    <w:t>candidate-S</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 xml:space="preserve">The “CQI reporting definition” was agreed in RAN1# 104bis-e, whereas the down-selection including Option1, </w:t>
            </w:r>
            <w:r>
              <w:lastRenderedPageBreak/>
              <w:t>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 xml:space="preserve">Observation 3 Overall, a CQI report is a recommendation to hint around which I_TBS indices a scheduling seems to be suitable, nonetheless the ultimate scheduling is up to the </w:t>
            </w:r>
            <w:proofErr w:type="spellStart"/>
            <w:r>
              <w:t>eNodeB</w:t>
            </w:r>
            <w:proofErr w:type="spellEnd"/>
            <w:r>
              <w:t>.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 xml:space="preserve">Observation 6 One possible way of overriding legacy QPSK entries and still having them available when required, is through interpreting Table 9.1.22.15-1 as per legacy or as per Rel-17 depending on </w:t>
            </w:r>
            <w:proofErr w:type="spellStart"/>
            <w:r>
              <w:t>Rmax</w:t>
            </w:r>
            <w:proofErr w:type="spellEnd"/>
            <w:r>
              <w:t>.</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 xml:space="preserve">Proposal 1 For 16-QAM in DL, the CQI Table is based on Option 1 (middle ground solution). Table 9.1.22.15-1 is interpreted as per legacy or as per Rel-17 depending on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 xml:space="preserve">A UE configured with 16-QAM should in principle be configured with a small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(e.g.,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 xml:space="preserve">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&lt;= 16, then from the middle part of Table 9.1.22.15-1 (e.g., from </w:t>
            </w:r>
            <w:proofErr w:type="spellStart"/>
            <w:r>
              <w:rPr>
                <w:rFonts w:ascii="Arial" w:hAnsi="Arial"/>
                <w:b/>
                <w:bCs/>
                <w:sz w:val="20"/>
                <w:szCs w:val="20"/>
                <w:lang w:val="en-GB" w:eastAsia="zh-CN"/>
              </w:rPr>
              <w:t>candidateRep</w:t>
            </w:r>
            <w:proofErr w:type="spellEnd"/>
            <w:r>
              <w:rPr>
                <w:rFonts w:ascii="Arial" w:hAnsi="Arial"/>
                <w:b/>
                <w:bCs/>
                <w:sz w:val="20"/>
                <w:szCs w:val="20"/>
                <w:lang w:val="en-GB" w:eastAsia="zh-CN"/>
              </w:rPr>
              <w:t>-G)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proofErr w:type="spellStart"/>
                  <w:r>
                    <w:rPr>
                      <w:sz w:val="14"/>
                      <w:szCs w:val="16"/>
                      <w:lang w:eastAsia="ja-JP"/>
                    </w:rPr>
                    <w:lastRenderedPageBreak/>
                    <w:t>candidateRep</w:t>
                  </w:r>
                  <w:proofErr w:type="spellEnd"/>
                  <w:r>
                    <w:rPr>
                      <w:sz w:val="14"/>
                      <w:szCs w:val="16"/>
                      <w:lang w:eastAsia="ja-JP"/>
                    </w:rPr>
                    <w:t>-</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 xml:space="preserve">On the other hand, 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Pr>
          <w:lang w:eastAsia="zh-CN"/>
        </w:rPr>
        <w:t xml:space="preserve">Companies (Nokia, NSB, QC, Lenovo, Moto, Ericsson) support or can accept </w:t>
      </w:r>
      <w:r w:rsidRPr="004A2AC1">
        <w:rPr>
          <w:highlight w:val="yellow"/>
          <w:lang w:eastAsia="zh-CN"/>
        </w:rPr>
        <w:t>a combination of NPDCCH repetitions (legacy entries)</w:t>
      </w:r>
      <w:r>
        <w:rPr>
          <w:lang w:eastAsia="zh-CN"/>
        </w:rPr>
        <w:t xml:space="preserve"> and </w:t>
      </w:r>
      <w:r w:rsidRPr="004A2AC1">
        <w:rPr>
          <w:highlight w:val="yellow"/>
          <w:lang w:eastAsia="zh-CN"/>
        </w:rPr>
        <w:t>NPDSCH MCS</w:t>
      </w:r>
      <w:r>
        <w:rPr>
          <w:lang w:eastAsia="zh-CN"/>
        </w:rPr>
        <w:t xml:space="preserve">. And companies (Huawei, </w:t>
      </w:r>
      <w:proofErr w:type="spellStart"/>
      <w:r>
        <w:rPr>
          <w:lang w:eastAsia="zh-CN"/>
        </w:rPr>
        <w:t>HiSilicon</w:t>
      </w:r>
      <w:proofErr w:type="spellEnd"/>
      <w:r>
        <w:rPr>
          <w:lang w:eastAsia="zh-CN"/>
        </w:rPr>
        <w:t xml:space="preserve">, ZTE, </w:t>
      </w:r>
      <w:proofErr w:type="spellStart"/>
      <w:r>
        <w:rPr>
          <w:lang w:eastAsia="zh-CN"/>
        </w:rPr>
        <w:t>Sanechips</w:t>
      </w:r>
      <w:proofErr w:type="spellEnd"/>
      <w:r>
        <w:rPr>
          <w:lang w:eastAsia="zh-CN"/>
        </w:rPr>
        <w:t>, Nokia, NSB, Lenovo, Moto, MTK) support or can accept a table with o</w:t>
      </w:r>
      <w:r w:rsidRPr="004A2AC1">
        <w:rPr>
          <w:highlight w:val="red"/>
          <w:lang w:eastAsia="zh-CN"/>
        </w:rPr>
        <w:t>nly NPDSCH MCS</w:t>
      </w:r>
      <w:r>
        <w:rPr>
          <w:lang w:eastAsia="zh-CN"/>
        </w:rPr>
        <w:t>.</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92CB321"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7216CC" w14:paraId="566E73B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7216CC" w:rsidRDefault="00ED2ABB">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B504DEC"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62CA4374"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7216CC" w:rsidRDefault="00ED2ABB">
            <w:pPr>
              <w:pStyle w:val="TAC"/>
              <w:rPr>
                <w:rFonts w:eastAsia="MS Mincho"/>
                <w:sz w:val="14"/>
                <w:szCs w:val="16"/>
                <w:lang w:eastAsia="ja-JP"/>
              </w:rPr>
            </w:pPr>
            <w:r>
              <w:rPr>
                <w:rFonts w:eastAsia="MS Mincho" w:hint="eastAsia"/>
                <w:sz w:val="14"/>
                <w:szCs w:val="16"/>
                <w:lang w:eastAsia="ja-JP"/>
              </w:rPr>
              <w:t>-3.6</w:t>
            </w:r>
          </w:p>
        </w:tc>
      </w:tr>
      <w:tr w:rsidR="007216CC" w14:paraId="039D9C4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7216CC" w:rsidRDefault="00ED2ABB">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1D55D87"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171BF17"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7216CC" w:rsidRDefault="00ED2ABB">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C957F8E"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4</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D05B95C"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8</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3E51BCB"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77777777" w:rsidR="007216CC" w:rsidRDefault="007216CC">
      <w:pPr>
        <w:spacing w:line="240" w:lineRule="auto"/>
        <w:rPr>
          <w:lang w:eastAsia="zh-CN"/>
        </w:rPr>
      </w:pPr>
    </w:p>
    <w:p w14:paraId="0C6DDCE4" w14:textId="77777777" w:rsidR="007216CC" w:rsidRDefault="00ED2ABB">
      <w:pPr>
        <w:spacing w:line="240" w:lineRule="auto"/>
        <w:rPr>
          <w:lang w:eastAsia="zh-CN"/>
        </w:rPr>
      </w:pPr>
      <w:r>
        <w:rPr>
          <w:rFonts w:hint="eastAsia"/>
          <w:lang w:eastAsia="zh-CN"/>
        </w:rPr>
        <w:t>F</w:t>
      </w:r>
      <w:r>
        <w:rPr>
          <w:lang w:eastAsia="zh-CN"/>
        </w:rPr>
        <w:t xml:space="preserve">or a CQI table with NPDSCH MCS, the option 3 is to use </w:t>
      </w:r>
      <w:proofErr w:type="spellStart"/>
      <w:r>
        <w:rPr>
          <w:lang w:eastAsia="zh-CN"/>
        </w:rPr>
        <w:t>eMTC</w:t>
      </w:r>
      <w:proofErr w:type="spellEnd"/>
      <w:r>
        <w:rPr>
          <w:lang w:eastAsia="zh-CN"/>
        </w:rPr>
        <w:t xml:space="preserve"> table as a starting point, however, the coding rate and efficiency for NPDSCH is not </w:t>
      </w:r>
      <w:proofErr w:type="gramStart"/>
      <w:r>
        <w:rPr>
          <w:lang w:eastAsia="zh-CN"/>
        </w:rPr>
        <w:t>exactly the same</w:t>
      </w:r>
      <w:proofErr w:type="gramEnd"/>
      <w:r>
        <w:rPr>
          <w:lang w:eastAsia="zh-CN"/>
        </w:rPr>
        <w:t xml:space="preserve"> as </w:t>
      </w:r>
      <w:proofErr w:type="spellStart"/>
      <w:r>
        <w:rPr>
          <w:lang w:eastAsia="zh-CN"/>
        </w:rPr>
        <w:t>eMTC</w:t>
      </w:r>
      <w:proofErr w:type="spellEnd"/>
      <w:r>
        <w:rPr>
          <w:lang w:eastAsia="zh-CN"/>
        </w:rPr>
        <w:t xml:space="preserve"> ones, as listed in Appendix A.1. Therefore, based on the </w:t>
      </w:r>
      <w:proofErr w:type="spellStart"/>
      <w:r>
        <w:rPr>
          <w:lang w:eastAsia="zh-CN"/>
        </w:rPr>
        <w:t>eMTC</w:t>
      </w:r>
      <w:proofErr w:type="spellEnd"/>
      <w:r>
        <w:rPr>
          <w:lang w:eastAsia="zh-CN"/>
        </w:rPr>
        <w:t xml:space="preserve"> table and the evaluation results, a variant of option 3 is proposed, which tries to be as close to the </w:t>
      </w:r>
      <w:proofErr w:type="spellStart"/>
      <w:r>
        <w:rPr>
          <w:lang w:eastAsia="zh-CN"/>
        </w:rPr>
        <w:t>eMTC</w:t>
      </w:r>
      <w:proofErr w:type="spellEnd"/>
      <w:r>
        <w:rPr>
          <w:lang w:eastAsia="zh-CN"/>
        </w:rPr>
        <w:t xml:space="preserve"> table as possible, </w:t>
      </w:r>
      <w:proofErr w:type="gramStart"/>
      <w:r>
        <w:rPr>
          <w:lang w:eastAsia="zh-CN"/>
        </w:rPr>
        <w:t>and also</w:t>
      </w:r>
      <w:proofErr w:type="gramEnd"/>
      <w:r>
        <w:rPr>
          <w:lang w:eastAsia="zh-CN"/>
        </w:rPr>
        <w:t xml:space="preserve"> try to be aligned in SNR range.</w:t>
      </w:r>
    </w:p>
    <w:p w14:paraId="6DBFCE1F" w14:textId="77777777" w:rsidR="007216CC" w:rsidRDefault="00ED2ABB">
      <w:pPr>
        <w:spacing w:line="240" w:lineRule="auto"/>
        <w:rPr>
          <w:lang w:eastAsia="zh-CN"/>
        </w:rPr>
      </w:pPr>
      <w:r>
        <w:rPr>
          <w:lang w:eastAsia="zh-CN"/>
        </w:rPr>
        <w:t xml:space="preserve">Alt 2 (Variant of option 3): </w:t>
      </w:r>
      <w:r>
        <w:rPr>
          <w:rFonts w:hint="eastAsia"/>
          <w:lang w:eastAsia="zh-CN"/>
        </w:rPr>
        <w:t>the combination of NPDCCH repetitions and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116"/>
        <w:gridCol w:w="112"/>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gridSpan w:val="2"/>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trPr>
          <w:gridAfter w:val="5"/>
          <w:wAfter w:w="5901" w:type="dxa"/>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1116" w:type="dxa"/>
          </w:tcPr>
          <w:p w14:paraId="36376A04" w14:textId="77777777" w:rsidR="007216CC" w:rsidRDefault="007216CC">
            <w:pPr>
              <w:keepNext/>
              <w:keepLines/>
              <w:spacing w:after="0"/>
              <w:jc w:val="center"/>
              <w:rPr>
                <w:rFonts w:ascii="Arial" w:hAnsi="Arial"/>
                <w:sz w:val="18"/>
              </w:rPr>
            </w:pP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gridSpan w:val="2"/>
            <w:tcMar>
              <w:top w:w="0" w:type="dxa"/>
              <w:left w:w="108" w:type="dxa"/>
              <w:bottom w:w="0" w:type="dxa"/>
              <w:right w:w="108" w:type="dxa"/>
            </w:tcMar>
          </w:tcPr>
          <w:p w14:paraId="13B11E80"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Default="00ED2ABB">
            <w:pPr>
              <w:keepNext/>
              <w:keepLines/>
              <w:spacing w:after="0"/>
              <w:jc w:val="center"/>
              <w:rPr>
                <w:rFonts w:ascii="Arial" w:hAnsi="Arial"/>
                <w:sz w:val="18"/>
              </w:rPr>
            </w:pPr>
            <w:r>
              <w:rPr>
                <w:rFonts w:ascii="Arial" w:hAnsi="Arial" w:hint="eastAsia"/>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gridSpan w:val="2"/>
            <w:tcMar>
              <w:top w:w="0" w:type="dxa"/>
              <w:left w:w="108" w:type="dxa"/>
              <w:bottom w:w="0" w:type="dxa"/>
              <w:right w:w="108" w:type="dxa"/>
            </w:tcMar>
          </w:tcPr>
          <w:p w14:paraId="3367C723"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Default="00ED2ABB">
            <w:pPr>
              <w:keepNext/>
              <w:keepLines/>
              <w:spacing w:after="0"/>
              <w:jc w:val="center"/>
              <w:rPr>
                <w:rFonts w:ascii="Arial" w:hAnsi="Arial"/>
                <w:sz w:val="18"/>
              </w:rPr>
            </w:pPr>
            <w:r>
              <w:rPr>
                <w:rFonts w:ascii="Arial" w:hAnsi="Arial" w:hint="eastAsia"/>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gridSpan w:val="2"/>
            <w:tcMar>
              <w:top w:w="0" w:type="dxa"/>
              <w:left w:w="108" w:type="dxa"/>
              <w:bottom w:w="0" w:type="dxa"/>
              <w:right w:w="108" w:type="dxa"/>
            </w:tcMar>
          </w:tcPr>
          <w:p w14:paraId="664C7B1D" w14:textId="77777777" w:rsidR="007216CC" w:rsidRDefault="00ED2ABB">
            <w:pPr>
              <w:keepNext/>
              <w:keepLines/>
              <w:spacing w:after="0"/>
              <w:jc w:val="center"/>
              <w:rPr>
                <w:rFonts w:ascii="Arial" w:hAnsi="Arial"/>
                <w:sz w:val="18"/>
              </w:rPr>
            </w:pPr>
            <w:r>
              <w:rPr>
                <w:rFonts w:ascii="Arial" w:hAnsi="Arial"/>
                <w:sz w:val="18"/>
              </w:rPr>
              <w:t>QPSK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77777777" w:rsidR="007216CC" w:rsidRDefault="00ED2ABB">
            <w:pPr>
              <w:keepNext/>
              <w:keepLines/>
              <w:spacing w:after="0"/>
              <w:jc w:val="center"/>
              <w:rPr>
                <w:rFonts w:ascii="Arial" w:hAnsi="Arial"/>
                <w:sz w:val="18"/>
              </w:rPr>
            </w:pPr>
            <w:r>
              <w:rPr>
                <w:rFonts w:ascii="Arial" w:hAnsi="Arial"/>
                <w:sz w:val="18"/>
              </w:rPr>
              <w:t>140</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Default="00ED2ABB">
            <w:pPr>
              <w:keepNext/>
              <w:keepLines/>
              <w:spacing w:after="0"/>
              <w:jc w:val="center"/>
              <w:rPr>
                <w:rFonts w:ascii="Arial" w:hAnsi="Arial"/>
                <w:sz w:val="18"/>
              </w:rPr>
            </w:pPr>
            <w:r>
              <w:rPr>
                <w:rFonts w:ascii="Arial" w:hAnsi="Arial" w:hint="eastAsia"/>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gridSpan w:val="2"/>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gridSpan w:val="2"/>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gridSpan w:val="2"/>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gridSpan w:val="2"/>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gridSpan w:val="2"/>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gridSpan w:val="2"/>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gridSpan w:val="2"/>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gridSpan w:val="2"/>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gridSpan w:val="2"/>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gridSpan w:val="2"/>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gridSpan w:val="2"/>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gridSpan w:val="2"/>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2F599C7C" w14:textId="77777777" w:rsidR="007216CC" w:rsidRDefault="007216CC">
      <w:pPr>
        <w:spacing w:line="240" w:lineRule="auto"/>
        <w:rPr>
          <w:lang w:eastAsia="zh-CN"/>
        </w:rPr>
      </w:pPr>
    </w:p>
    <w:p w14:paraId="1BD5145F" w14:textId="77777777" w:rsidR="007216CC" w:rsidRDefault="007216CC">
      <w:pPr>
        <w:spacing w:line="240" w:lineRule="auto"/>
        <w:rPr>
          <w:lang w:eastAsia="zh-CN"/>
        </w:rPr>
      </w:pP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TableGrid"/>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proofErr w:type="spellStart"/>
            <w:r>
              <w:rPr>
                <w:sz w:val="14"/>
                <w:szCs w:val="16"/>
                <w:lang w:eastAsia="ja-JP"/>
              </w:rPr>
              <w:t>candidateRep</w:t>
            </w:r>
            <w:proofErr w:type="spellEnd"/>
            <w:r>
              <w:rPr>
                <w:sz w:val="14"/>
                <w:szCs w:val="16"/>
                <w:lang w:eastAsia="ja-JP"/>
              </w:rPr>
              <w:t>-K</w:t>
            </w:r>
            <w:r>
              <w:rPr>
                <w:lang w:eastAsia="zh-CN"/>
              </w:rPr>
              <w:t xml:space="preserve"> and </w:t>
            </w:r>
            <w:proofErr w:type="spellStart"/>
            <w:r>
              <w:rPr>
                <w:sz w:val="14"/>
                <w:szCs w:val="16"/>
                <w:lang w:eastAsia="ja-JP"/>
              </w:rPr>
              <w:t>candidateRep</w:t>
            </w:r>
            <w:proofErr w:type="spellEnd"/>
            <w:r>
              <w:rPr>
                <w:sz w:val="14"/>
                <w:szCs w:val="16"/>
                <w:lang w:eastAsia="ja-JP"/>
              </w:rPr>
              <w:t>-L</w:t>
            </w:r>
            <w:r>
              <w:rPr>
                <w:lang w:eastAsia="zh-CN"/>
              </w:rPr>
              <w:t xml:space="preserve">), isn’t so that one concern with other option was the few entries available? I think that aspect should be considered, e.g., as it was taken into account in [8] (see how report entries </w:t>
            </w:r>
            <w:proofErr w:type="spellStart"/>
            <w:r>
              <w:rPr>
                <w:sz w:val="14"/>
                <w:szCs w:val="16"/>
                <w:lang w:eastAsia="ja-JP"/>
              </w:rPr>
              <w:t>candidateRep</w:t>
            </w:r>
            <w:proofErr w:type="spellEnd"/>
            <w:r>
              <w:rPr>
                <w:sz w:val="14"/>
                <w:szCs w:val="16"/>
                <w:lang w:eastAsia="ja-JP"/>
              </w:rPr>
              <w:t>-L</w:t>
            </w:r>
            <w:r>
              <w:rPr>
                <w:lang w:eastAsia="zh-CN"/>
              </w:rPr>
              <w:t xml:space="preserve"> to </w:t>
            </w:r>
            <w:proofErr w:type="spellStart"/>
            <w:r>
              <w:rPr>
                <w:sz w:val="14"/>
                <w:szCs w:val="16"/>
                <w:lang w:eastAsia="ja-JP"/>
              </w:rPr>
              <w:t>candidateRep</w:t>
            </w:r>
            <w:proofErr w:type="spellEnd"/>
            <w:r>
              <w:rPr>
                <w:sz w:val="14"/>
                <w:szCs w:val="16"/>
                <w:lang w:eastAsia="ja-JP"/>
              </w:rPr>
              <w:t>-O</w:t>
            </w:r>
            <w:r>
              <w:rPr>
                <w:lang w:eastAsia="zh-CN"/>
              </w:rPr>
              <w:t xml:space="preserve"> </w:t>
            </w:r>
            <w:proofErr w:type="gramStart"/>
            <w:r>
              <w:rPr>
                <w:lang w:eastAsia="zh-CN"/>
              </w:rPr>
              <w:t>are deployment-mode</w:t>
            </w:r>
            <w:proofErr w:type="gramEnd"/>
            <w:r>
              <w:rPr>
                <w:lang w:eastAsia="zh-CN"/>
              </w:rPr>
              <w:t xml:space="preserv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 xml:space="preserve">For the switching of CQI tables, using predefined conditions, e.g., </w:t>
            </w:r>
            <w:proofErr w:type="spellStart"/>
            <w:r>
              <w:rPr>
                <w:rFonts w:hint="eastAsia"/>
                <w:lang w:eastAsia="zh-CN"/>
              </w:rPr>
              <w:t>Rmax</w:t>
            </w:r>
            <w:proofErr w:type="spellEnd"/>
            <w:r>
              <w:rPr>
                <w:rFonts w:hint="eastAsia"/>
                <w:lang w:eastAsia="zh-CN"/>
              </w:rPr>
              <w:t xml:space="preserve">, to switch tables will limit the flexibility of switching between legacy and new table, </w:t>
            </w:r>
            <w:proofErr w:type="gramStart"/>
            <w:r>
              <w:rPr>
                <w:rFonts w:hint="eastAsia"/>
                <w:lang w:eastAsia="zh-CN"/>
              </w:rPr>
              <w:t>and also</w:t>
            </w:r>
            <w:proofErr w:type="gramEnd"/>
            <w:r>
              <w:rPr>
                <w:rFonts w:hint="eastAsia"/>
                <w:lang w:eastAsia="zh-CN"/>
              </w:rPr>
              <w:t xml:space="preserve">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 xml:space="preserve">Huawei, </w:t>
            </w:r>
            <w:proofErr w:type="spellStart"/>
            <w:r>
              <w:t>HiSilicon</w:t>
            </w:r>
            <w:proofErr w:type="spellEnd"/>
          </w:p>
        </w:tc>
        <w:tc>
          <w:tcPr>
            <w:tcW w:w="7611" w:type="dxa"/>
          </w:tcPr>
          <w:p w14:paraId="3D9FDC35" w14:textId="6861C8D7" w:rsidR="00216924" w:rsidRDefault="00216924" w:rsidP="00216924">
            <w:pPr>
              <w:spacing w:line="240" w:lineRule="auto"/>
              <w:rPr>
                <w:lang w:eastAsia="zh-CN"/>
              </w:rPr>
            </w:pPr>
            <w:r>
              <w:rPr>
                <w:lang w:eastAsia="zh-CN"/>
              </w:rPr>
              <w:t xml:space="preserve">We are OK with Alt.2. We do not see any additional benefits in Alt.1 compared with Alt.2. In the high SNR range for 16QAM, the designed CQI states should be targeted for NPDSCH BLER 10% and there is no need to cover NPDCCH with </w:t>
            </w:r>
            <w:proofErr w:type="gramStart"/>
            <w:r>
              <w:rPr>
                <w:lang w:eastAsia="zh-CN"/>
              </w:rPr>
              <w:t>repetitions(</w:t>
            </w:r>
            <w:proofErr w:type="gramEnd"/>
            <w:r>
              <w:rPr>
                <w:lang w:eastAsia="zh-CN"/>
              </w:rPr>
              <w:t>&gt;1).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w:t>
            </w:r>
            <w:proofErr w:type="spellStart"/>
            <w:r>
              <w:rPr>
                <w:lang w:eastAsia="zh-CN"/>
              </w:rPr>
              <w:t>Rmax</w:t>
            </w:r>
            <w:proofErr w:type="spellEnd"/>
            <w:r>
              <w:rPr>
                <w:lang w:eastAsia="zh-CN"/>
              </w:rPr>
              <w:t xml:space="preserve">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proofErr w:type="spellStart"/>
            <w:r>
              <w:t>NordicSemi</w:t>
            </w:r>
            <w:proofErr w:type="spellEnd"/>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bl>
    <w:p w14:paraId="698AEA64" w14:textId="77777777"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Heading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
        <w:rPr>
          <w:rFonts w:hint="eastAsia"/>
        </w:rPr>
        <w:t xml:space="preserve">The </w:t>
      </w:r>
      <w:r>
        <w:t>following are proposed</w:t>
      </w:r>
      <w:commentRangeStart w:id="29"/>
      <w:r>
        <w:t>:</w:t>
      </w:r>
      <w:commentRangeEnd w:id="29"/>
      <w:r>
        <w:rPr>
          <w:rStyle w:val="CommentReference"/>
        </w:rPr>
        <w:commentReference w:id="29"/>
      </w:r>
    </w:p>
    <w:tbl>
      <w:tblPr>
        <w:tblStyle w:val="TableGrid"/>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lastRenderedPageBreak/>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 xml:space="preserve">{-6, -4.77, -3, -1.77, 0, 1, 2, 3} </w:t>
            </w:r>
            <w:proofErr w:type="spellStart"/>
            <w:r>
              <w:rPr>
                <w:b/>
                <w:lang w:eastAsia="zh-CN"/>
              </w:rPr>
              <w:t>dB.</w:t>
            </w:r>
            <w:proofErr w:type="spellEnd"/>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30"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30"/>
          </w:p>
          <w:p w14:paraId="58FE7305" w14:textId="77777777" w:rsidR="007216CC" w:rsidRDefault="00ED2ABB">
            <w:pPr>
              <w:pStyle w:val="Proposal"/>
              <w:numPr>
                <w:ilvl w:val="0"/>
                <w:numId w:val="0"/>
              </w:numPr>
              <w:spacing w:line="240" w:lineRule="auto"/>
              <w:ind w:left="1701" w:hanging="1701"/>
            </w:pPr>
            <w:bookmarkStart w:id="31" w:name="_Toc86954085"/>
            <w:r>
              <w:t>Proposal 2 For the channel quality reporting of 16-QAM in DL, the CONNECTED mode definition as in TS 36.133 clause 8.14.4 is re-used just replacing “reported NPDCCH repetition level” by “channel quality reported value”:</w:t>
            </w:r>
            <w:bookmarkEnd w:id="31"/>
          </w:p>
          <w:p w14:paraId="348F7A82" w14:textId="77777777" w:rsidR="007216CC" w:rsidRDefault="00ED2ABB">
            <w:pPr>
              <w:pStyle w:val="Proposal"/>
              <w:numPr>
                <w:ilvl w:val="0"/>
                <w:numId w:val="16"/>
              </w:numPr>
              <w:spacing w:line="240" w:lineRule="auto"/>
            </w:pPr>
            <w:bookmarkStart w:id="32"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2"/>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Observation 12 One open issue is whether the support of 16-QAM is applicable for both “FDD and TDD” or only FDD.</w:t>
            </w:r>
            <w:bookmarkEnd w:id="33"/>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t>Observation 14 The foreseen RAN1 impacts from supporting 16-QAM for TDD NB-IoT are:</w:t>
            </w:r>
            <w:bookmarkEnd w:id="35"/>
            <w:bookmarkEnd w:id="36"/>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Pr>
                <w:rFonts w:ascii="Arial" w:hAnsi="Arial"/>
                <w:b/>
                <w:bCs/>
                <w:sz w:val="20"/>
                <w:szCs w:val="20"/>
                <w:lang w:val="en-GB" w:eastAsia="ja-JP"/>
              </w:rPr>
              <w:t xml:space="preserve">In legacy TDD NB-IoT, NPDSCH can be transmitted on </w:t>
            </w:r>
            <w:proofErr w:type="spellStart"/>
            <w:r>
              <w:rPr>
                <w:rFonts w:ascii="Arial" w:hAnsi="Arial"/>
                <w:b/>
                <w:bCs/>
                <w:sz w:val="20"/>
                <w:szCs w:val="20"/>
                <w:lang w:val="en-GB" w:eastAsia="ja-JP"/>
              </w:rPr>
              <w:t>DwPTS</w:t>
            </w:r>
            <w:proofErr w:type="spellEnd"/>
            <w:r>
              <w:rPr>
                <w:rFonts w:ascii="Arial" w:hAnsi="Arial"/>
                <w:b/>
                <w:bCs/>
                <w:sz w:val="20"/>
                <w:szCs w:val="20"/>
                <w:lang w:val="en-GB" w:eastAsia="ja-JP"/>
              </w:rPr>
              <w:t>.</w:t>
            </w:r>
            <w:bookmarkEnd w:id="37"/>
            <w:bookmarkEnd w:id="38"/>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Pr>
                <w:rFonts w:ascii="Arial" w:hAnsi="Arial"/>
                <w:b/>
                <w:bCs/>
                <w:sz w:val="20"/>
                <w:szCs w:val="20"/>
                <w:lang w:val="en-GB" w:eastAsia="ja-JP"/>
              </w:rPr>
              <w:t>For NPDSCH without repetition, rate matching is used for the Resource Element (RE) mapping into the special subframe.</w:t>
            </w:r>
            <w:bookmarkEnd w:id="39"/>
            <w:bookmarkEnd w:id="40"/>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Observation 15 The foreseen RAN4 impacts from supporting 16-QAM for TDD NB-IoT are:</w:t>
            </w:r>
            <w:bookmarkEnd w:id="43"/>
            <w:bookmarkEnd w:id="44"/>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Pr>
                <w:rFonts w:ascii="Arial" w:hAnsi="Arial"/>
                <w:b/>
                <w:bCs/>
                <w:sz w:val="20"/>
                <w:szCs w:val="20"/>
                <w:lang w:val="en-GB" w:eastAsia="ja-JP"/>
              </w:rPr>
              <w:t>Define dedicated UE demodulation requirements for 16QAM in TDD NB-IoT in TS 36.101.</w:t>
            </w:r>
            <w:bookmarkEnd w:id="45"/>
            <w:bookmarkEnd w:id="46"/>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Pr>
                <w:rFonts w:ascii="Arial" w:hAnsi="Arial"/>
                <w:b/>
                <w:bCs/>
                <w:sz w:val="20"/>
                <w:szCs w:val="20"/>
                <w:lang w:eastAsia="ja-JP"/>
              </w:rPr>
              <w:t>Define a BS conformance test (Test Model) for 16-QAM in TDD NB-IoT in TS 36.141.</w:t>
            </w:r>
            <w:bookmarkEnd w:id="47"/>
            <w:bookmarkEnd w:id="48"/>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Proposal 4 Conclusion: In Rel-16, 16-QAM for unicast in UL and DL for NB-IoT is only supported for FDD operation.</w:t>
            </w:r>
            <w:bookmarkEnd w:id="49"/>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Heading1"/>
      </w:pPr>
      <w:r>
        <w:rPr>
          <w:rFonts w:hint="eastAsia"/>
          <w:lang w:eastAsia="zh-CN"/>
        </w:rPr>
        <w:lastRenderedPageBreak/>
        <w:t>Summary</w:t>
      </w:r>
    </w:p>
    <w:p w14:paraId="6A0192CB" w14:textId="77777777" w:rsidR="007216CC" w:rsidRDefault="007216CC"/>
    <w:p w14:paraId="59697439" w14:textId="77777777" w:rsidR="007216CC" w:rsidRDefault="00ED2ABB">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ListParagraph"/>
        <w:numPr>
          <w:ilvl w:val="0"/>
          <w:numId w:val="25"/>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3CB00C2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48D02CA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754F0598"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61172E0D"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53B8E6D3"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Heading1"/>
        <w:numPr>
          <w:ilvl w:val="0"/>
          <w:numId w:val="0"/>
        </w:numPr>
        <w:spacing w:before="240"/>
        <w:ind w:left="431" w:hanging="431"/>
      </w:pPr>
      <w:r>
        <w:rPr>
          <w:rFonts w:hint="eastAsia"/>
        </w:rPr>
        <w:t>Appendix A</w:t>
      </w:r>
    </w:p>
    <w:p w14:paraId="6EFED936" w14:textId="77777777" w:rsidR="007216CC" w:rsidRDefault="00ED2ABB">
      <w:pPr>
        <w:pStyle w:val="Heading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lastRenderedPageBreak/>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Ericsson" w:date="2021-11-10T13:00:00Z" w:initials="Ericsson">
    <w:p w14:paraId="59086292" w14:textId="77777777" w:rsidR="004A2AC1" w:rsidRDefault="004A2AC1">
      <w:pPr>
        <w:pStyle w:val="CommentText"/>
      </w:pPr>
      <w:r>
        <w:t>It seems that proposal 3 in [5] is missing and is important to discuss it:</w:t>
      </w:r>
    </w:p>
    <w:p w14:paraId="40DB5F93" w14:textId="77777777" w:rsidR="004A2AC1" w:rsidRDefault="004A2AC1">
      <w:pPr>
        <w:pStyle w:val="CommentText"/>
      </w:pPr>
    </w:p>
    <w:p w14:paraId="62B16639" w14:textId="77777777" w:rsidR="004A2AC1" w:rsidRDefault="004A2AC1">
      <w:pPr>
        <w:rPr>
          <w:b/>
          <w:bCs/>
        </w:rPr>
      </w:pPr>
      <w:r>
        <w:rPr>
          <w:b/>
          <w:bCs/>
          <w:u w:val="single"/>
        </w:rPr>
        <w:t xml:space="preserve">Proposal 3: </w:t>
      </w:r>
      <w:r>
        <w:rPr>
          <w:b/>
          <w:bCs/>
        </w:rPr>
        <w:t>The new table (or modified table) for DL quality report is not captured in RAN1 specifications.</w:t>
      </w:r>
    </w:p>
    <w:p w14:paraId="2E9E0F00" w14:textId="77777777" w:rsidR="004A2AC1" w:rsidRDefault="004A2AC1">
      <w:pPr>
        <w:pStyle w:val="ListParagraph"/>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39050510" w14:textId="77777777" w:rsidR="004A2AC1" w:rsidRDefault="004A2AC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0505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050510" w16cid:durableId="2536B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4EAB" w14:textId="77777777" w:rsidR="005A2393" w:rsidRDefault="005A2393"/>
  </w:endnote>
  <w:endnote w:type="continuationSeparator" w:id="0">
    <w:p w14:paraId="213BB476" w14:textId="77777777" w:rsidR="005A2393" w:rsidRDefault="005A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7596" w14:textId="77777777" w:rsidR="005A2393" w:rsidRDefault="005A2393"/>
  </w:footnote>
  <w:footnote w:type="continuationSeparator" w:id="0">
    <w:p w14:paraId="19D86909" w14:textId="77777777" w:rsidR="005A2393" w:rsidRDefault="005A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8"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1"/>
  </w:num>
  <w:num w:numId="2">
    <w:abstractNumId w:val="0"/>
  </w:num>
  <w:num w:numId="3">
    <w:abstractNumId w:val="8"/>
  </w:num>
  <w:num w:numId="4">
    <w:abstractNumId w:val="22"/>
  </w:num>
  <w:num w:numId="5">
    <w:abstractNumId w:val="9"/>
  </w:num>
  <w:num w:numId="6">
    <w:abstractNumId w:val="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num>
  <w:num w:numId="10">
    <w:abstractNumId w:val="12"/>
  </w:num>
  <w:num w:numId="11">
    <w:abstractNumId w:val="5"/>
  </w:num>
  <w:num w:numId="12">
    <w:abstractNumId w:val="1"/>
  </w:num>
  <w:num w:numId="13">
    <w:abstractNumId w:val="11"/>
  </w:num>
  <w:num w:numId="14">
    <w:abstractNumId w:val="24"/>
  </w:num>
  <w:num w:numId="15">
    <w:abstractNumId w:val="2"/>
  </w:num>
  <w:num w:numId="16">
    <w:abstractNumId w:val="17"/>
  </w:num>
  <w:num w:numId="17">
    <w:abstractNumId w:val="10"/>
  </w:num>
  <w:num w:numId="18">
    <w:abstractNumId w:val="18"/>
  </w:num>
  <w:num w:numId="19">
    <w:abstractNumId w:val="15"/>
  </w:num>
  <w:num w:numId="20">
    <w:abstractNumId w:val="20"/>
  </w:num>
  <w:num w:numId="21">
    <w:abstractNumId w:val="13"/>
  </w:num>
  <w:num w:numId="22">
    <w:abstractNumId w:val="19"/>
  </w:num>
  <w:num w:numId="23">
    <w:abstractNumId w:val="6"/>
  </w:num>
  <w:num w:numId="24">
    <w:abstractNumId w:val="4"/>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1E68"/>
    <w:rsid w:val="00242B75"/>
    <w:rsid w:val="00243198"/>
    <w:rsid w:val="002438FD"/>
    <w:rsid w:val="00243C46"/>
    <w:rsid w:val="00243C63"/>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6C3B"/>
    <w:rsid w:val="00987142"/>
    <w:rsid w:val="00987405"/>
    <w:rsid w:val="0098758A"/>
    <w:rsid w:val="00987ACF"/>
    <w:rsid w:val="00990648"/>
    <w:rsid w:val="009906F8"/>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D7B59"/>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973"/>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2FE8"/>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59D"/>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C134009-0D09-4276-A40F-0CA52A13E5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3846</Words>
  <Characters>31157</Characters>
  <Application>Microsoft Office Word</Application>
  <DocSecurity>0</DocSecurity>
  <Lines>259</Lines>
  <Paragraphs>69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Nissilä, Mauri</cp:lastModifiedBy>
  <cp:revision>3</cp:revision>
  <dcterms:created xsi:type="dcterms:W3CDTF">2021-11-11T10:10:00Z</dcterms:created>
  <dcterms:modified xsi:type="dcterms:W3CDTF">2021-11-11T10:15:00Z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