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r>
      <w:r>
        <w:rPr>
          <w:b/>
          <w:lang w:eastAsia="zh-CN"/>
        </w:rPr>
        <w:t>R1-21xxxxx</w:t>
      </w:r>
    </w:p>
    <w:p>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9681862"/>
      <w:bookmarkStart w:id="2" w:name="_Ref124589705"/>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pPr>
        <w:ind w:left="440" w:leftChars="200"/>
        <w:rPr>
          <w:lang w:eastAsia="zh-CN"/>
        </w:rPr>
      </w:pPr>
      <w:r>
        <w:rPr>
          <w:highlight w:val="cyan"/>
          <w:lang w:eastAsia="zh-CN"/>
        </w:rPr>
        <w:t xml:space="preserve">[107-e-LTE-Rel17-NB-IoT-eMTC-01] Email discussion on support of 16-QAM for unicast in UL and DL for NB-IoT </w:t>
      </w:r>
      <w:r>
        <w:rPr>
          <w:highlight w:val="cyan"/>
        </w:rPr>
        <w:t>– Yubo (Huawei)</w:t>
      </w:r>
    </w:p>
    <w:p>
      <w:pPr>
        <w:numPr>
          <w:ilvl w:val="0"/>
          <w:numId w:val="13"/>
        </w:numPr>
        <w:autoSpaceDE/>
        <w:autoSpaceDN/>
        <w:adjustRightInd/>
        <w:snapToGrid/>
        <w:spacing w:after="0" w:line="240" w:lineRule="auto"/>
        <w:ind w:left="840" w:leftChars="382"/>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pPr>
        <w:numPr>
          <w:ilvl w:val="0"/>
          <w:numId w:val="13"/>
        </w:numPr>
        <w:autoSpaceDE/>
        <w:autoSpaceDN/>
        <w:adjustRightInd/>
        <w:snapToGrid/>
        <w:spacing w:after="0" w:line="240" w:lineRule="auto"/>
        <w:ind w:left="840" w:leftChars="382"/>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rPr>
          <w:lang w:eastAsia="zh-CN"/>
        </w:rPr>
      </w:pPr>
      <w:r>
        <w:rPr>
          <w:rFonts w:hint="eastAsia"/>
          <w:lang w:eastAsia="zh-CN"/>
        </w:rPr>
        <w:t>The proposals of companies are listed as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Sourcing</w:t>
            </w:r>
          </w:p>
        </w:tc>
        <w:tc>
          <w:tcPr>
            <w:tcW w:w="7894"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[2]</w:t>
            </w:r>
          </w:p>
        </w:tc>
        <w:tc>
          <w:tcPr>
            <w:tcW w:w="7894" w:type="dxa"/>
          </w:tcPr>
          <w:p>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t xml:space="preserve"> </w:t>
            </w:r>
            <w:r>
              <w:rPr>
                <w:b/>
              </w:rPr>
              <w:t>introduced for power control of NPUSCH for 16QAM.</w:t>
            </w:r>
          </w:p>
          <w:p>
            <w:pPr>
              <w:rPr>
                <w:rStyle w:val="53"/>
              </w:rPr>
            </w:pPr>
            <w:r>
              <w:rPr>
                <w:b/>
              </w:rPr>
              <w:t>Proposal 5</w:t>
            </w:r>
            <w:r>
              <w:rPr>
                <w:rFonts w:hint="eastAsia"/>
                <w:b/>
              </w:rPr>
              <w:t>：</w:t>
            </w:r>
            <w:r>
              <w:rPr>
                <w:b/>
              </w:rPr>
              <w:t>The new power control term can be applied to QPSK when configured with 16QAM</w:t>
            </w:r>
            <w:r>
              <w:rPr>
                <w:rStyle w:val="53"/>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[3]</w:t>
            </w:r>
          </w:p>
        </w:tc>
        <w:tc>
          <w:tcPr>
            <w:tcW w:w="7894" w:type="dxa"/>
          </w:tcPr>
          <w:p>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introduced for power control of NPUSCH</w:t>
            </w:r>
            <w:r>
              <w:rPr>
                <w:rFonts w:hint="eastAsia"/>
                <w:b/>
                <w:bCs/>
                <w:i/>
                <w:iCs/>
                <w:sz w:val="20"/>
                <w:szCs w:val="20"/>
                <w:lang w:eastAsia="zh-CN"/>
              </w:rPr>
              <w:t>.</w:t>
            </w:r>
          </w:p>
          <w:p>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w:t>
            </w:r>
            <w:r>
              <w:rPr>
                <w:b/>
                <w:bCs/>
                <w:i/>
                <w:iCs/>
                <w:sz w:val="20"/>
                <w:szCs w:val="20"/>
                <w:lang w:eastAsia="zh-CN"/>
              </w:rPr>
              <w:t xml:space="preserve">or </w:t>
            </w:r>
            <m:oMath>
              <m:sSub>
                <m:sSubPr>
                  <m:ctrlPr>
                    <w:rPr>
                      <w:rFonts w:ascii="Cambria Math" w:hAnsi="Cambria Math" w:eastAsia="Cambria Math"/>
                      <w:b/>
                      <w:bCs/>
                      <w:i/>
                      <w:iCs/>
                      <w:sz w:val="20"/>
                      <w:szCs w:val="20"/>
                    </w:rPr>
                  </m:ctrlPr>
                </m:sSubPr>
                <m:e>
                  <m:r>
                    <m:rPr>
                      <m:sty m:val="bi"/>
                    </m:rPr>
                    <w:rPr>
                      <w:rFonts w:ascii="Cambria Math" w:hAnsi="Cambria Math" w:eastAsia="Cambria Math"/>
                      <w:sz w:val="20"/>
                      <w:szCs w:val="20"/>
                    </w:rPr>
                    <m:t>P</m:t>
                  </m:r>
                  <m:ctrlPr>
                    <w:rPr>
                      <w:rFonts w:ascii="Cambria Math" w:hAnsi="Cambria Math" w:eastAsia="Cambria Math"/>
                      <w:b/>
                      <w:bCs/>
                      <w:i/>
                      <w:iCs/>
                      <w:sz w:val="20"/>
                      <w:szCs w:val="20"/>
                    </w:rPr>
                  </m:ctrlPr>
                </m:e>
                <m:sub>
                  <m:r>
                    <m:rPr>
                      <m:sty m:val="bi"/>
                    </m:rPr>
                    <w:rPr>
                      <w:rFonts w:ascii="Cambria Math" w:hAnsi="Cambria Math" w:eastAsia="Cambria Math"/>
                      <w:sz w:val="20"/>
                      <w:szCs w:val="20"/>
                    </w:rPr>
                    <m:t>O_NOMINAL_NPUSCH,c</m:t>
                  </m:r>
                  <m:ctrlPr>
                    <w:rPr>
                      <w:rFonts w:ascii="Cambria Math" w:hAnsi="Cambria Math" w:eastAsia="Cambria Math"/>
                      <w:b/>
                      <w:bCs/>
                      <w:i/>
                      <w:iCs/>
                      <w:sz w:val="20"/>
                      <w:szCs w:val="20"/>
                    </w:rPr>
                  </m:ctrlP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[4]</w:t>
            </w:r>
          </w:p>
        </w:tc>
        <w:tc>
          <w:tcPr>
            <w:tcW w:w="7894" w:type="dxa"/>
          </w:tcPr>
          <w:p>
            <w:pPr>
              <w:rPr>
                <w:b/>
                <w:bCs/>
                <w:lang w:eastAsia="en-GB"/>
              </w:rPr>
            </w:pPr>
            <w:r>
              <w:rPr>
                <w:b/>
                <w:bCs/>
                <w:lang w:eastAsia="en-GB"/>
              </w:rPr>
              <w:t xml:space="preserve">Proposal 4: Confirm the working assumption to reuse LTE definition simplified for NB-IoT for the new power control term. </w:t>
            </w:r>
          </w:p>
          <w:p>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b/>
                <w:bCs/>
                <w:lang w:eastAsia="en-GB"/>
              </w:rPr>
              <w:t xml:space="preserve"> is also applied to QPSK when UE is configured with 16-QAM. </w:t>
            </w:r>
          </w:p>
          <w:p>
            <w:pPr>
              <w:rPr>
                <w:b/>
                <w:bCs/>
                <w:lang w:eastAsia="en-GB"/>
              </w:rPr>
            </w:pPr>
            <w:r>
              <w:rPr>
                <w:b/>
                <w:bCs/>
                <w:lang w:eastAsia="en-GB"/>
              </w:rPr>
              <w:t>Proposal 6: Closed-loop power control for 16-QAM is not supported in Rel-17.</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[5]</w:t>
            </w:r>
          </w:p>
        </w:tc>
        <w:tc>
          <w:tcPr>
            <w:tcW w:w="7894" w:type="dxa"/>
          </w:tcPr>
          <w:p>
            <w:pPr>
              <w:rPr>
                <w:b/>
                <w:bCs/>
              </w:rPr>
            </w:pPr>
            <w:r>
              <w:rPr>
                <w:b/>
                <w:bCs/>
                <w:u w:val="single"/>
              </w:rPr>
              <w:t>Proposal 1:</w:t>
            </w:r>
            <w:r>
              <w:rPr>
                <w:b/>
                <w:bCs/>
              </w:rPr>
              <w:t xml:space="preserve"> Confirm the following working assumption:</w:t>
            </w:r>
          </w:p>
          <w:p>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b/>
                <w:bCs/>
              </w:rPr>
              <w:t xml:space="preserve"> introduced for power control of NPUSCH,</w:t>
            </w:r>
          </w:p>
          <w:p>
            <w:pPr>
              <w:pStyle w:val="6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b/>
                <w:bCs/>
              </w:rPr>
              <w:t xml:space="preserve"> 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pPr>
              <w:rPr>
                <w:b/>
                <w:bCs/>
              </w:rPr>
            </w:pPr>
            <w:r>
              <w:rPr>
                <w:b/>
                <w:bCs/>
                <w:u w:val="single"/>
              </w:rPr>
              <w:t xml:space="preserve">Proposal 2: </w:t>
            </w:r>
            <w:r>
              <w:rPr>
                <w:b/>
                <w:bCs/>
              </w:rPr>
              <w:t>When configured with 16-QAM, the new power control parameter for NPUSCH also applies to QPSK.</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[6]</w:t>
            </w:r>
          </w:p>
        </w:tc>
        <w:tc>
          <w:tcPr>
            <w:tcW w:w="7894" w:type="dxa"/>
          </w:tcPr>
          <w:p>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ctrlPr>
                    <w:rPr>
                      <w:rFonts w:ascii="Cambria Math" w:hAnsi="Cambria Math"/>
                      <w:b/>
                      <w:i/>
                      <w:sz w:val="20"/>
                      <w:szCs w:val="20"/>
                    </w:rPr>
                  </m:ctrlPr>
                </m:e>
                <m:sub>
                  <m:r>
                    <m:rPr>
                      <m:sty m:val="bi"/>
                    </m:rPr>
                    <w:rPr>
                      <w:rFonts w:ascii="Cambria Math" w:hAnsi="Cambria Math"/>
                      <w:sz w:val="20"/>
                      <w:szCs w:val="20"/>
                    </w:rPr>
                    <m:t>TF,c</m:t>
                  </m:r>
                  <m:ctrlPr>
                    <w:rPr>
                      <w:rFonts w:ascii="Cambria Math" w:hAnsi="Cambria Math"/>
                      <w:b/>
                      <w:i/>
                      <w:sz w:val="20"/>
                      <w:szCs w:val="20"/>
                    </w:rPr>
                  </m:ctrlPr>
                </m:sub>
              </m:sSub>
            </m:oMath>
            <w:r>
              <w:rPr>
                <w:b/>
                <w:i/>
                <w:sz w:val="20"/>
                <w:szCs w:val="20"/>
                <w:lang w:val="en-GB"/>
              </w:rPr>
              <w:t xml:space="preserve"> introduced for power control of NPUSCH applies to QPSK and 16QAM when configured with 16QAM.</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[7]</w:t>
            </w:r>
          </w:p>
        </w:tc>
        <w:tc>
          <w:tcPr>
            <w:tcW w:w="7894" w:type="dxa"/>
          </w:tcPr>
          <w:p>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ctrlPr>
                    <w:rPr>
                      <w:rFonts w:ascii="Cambria Math" w:hAnsi="Cambria Math"/>
                      <w:b/>
                      <w:sz w:val="20"/>
                      <w:szCs w:val="20"/>
                    </w:rPr>
                  </m:ctrlP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ctrlPr>
                    <w:rPr>
                      <w:rFonts w:ascii="Cambria Math" w:hAnsi="Cambria Math"/>
                      <w:b/>
                      <w:sz w:val="20"/>
                      <w:szCs w:val="20"/>
                    </w:rPr>
                  </m:ctrlPr>
                </m:sub>
              </m:sSub>
            </m:oMath>
            <w:r>
              <w:rPr>
                <w:rFonts w:hint="eastAsia"/>
                <w:b/>
                <w:sz w:val="20"/>
                <w:szCs w:val="20"/>
              </w:rPr>
              <w:t xml:space="preserve"> </w:t>
            </w:r>
            <w:r>
              <w:rPr>
                <w:b/>
                <w:sz w:val="20"/>
                <w:szCs w:val="20"/>
              </w:rPr>
              <w:t>should apply to both 16QAM and QPSK.</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[8]</w:t>
            </w:r>
          </w:p>
        </w:tc>
        <w:tc>
          <w:tcPr>
            <w:tcW w:w="7894" w:type="dxa"/>
          </w:tcPr>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ctrlPr>
                    <w:rPr>
                      <w:rFonts w:ascii="Cambria Math" w:hAnsi="Cambria Math"/>
                      <w:b/>
                      <w:bCs/>
                      <w:sz w:val="18"/>
                      <w:szCs w:val="18"/>
                      <w:lang w:val="en-GB" w:eastAsia="zh-CN"/>
                    </w:rPr>
                  </m:ctrlPr>
                </m:e>
                <m:sub>
                  <m:r>
                    <m:rPr>
                      <m:sty m:val="bi"/>
                    </m:rPr>
                    <w:rPr>
                      <w:rFonts w:ascii="Cambria Math" w:hAnsi="Cambria Math"/>
                      <w:sz w:val="18"/>
                      <w:szCs w:val="18"/>
                      <w:lang w:val="en-GB" w:eastAsia="zh-CN"/>
                    </w:rPr>
                    <m:t>s</m:t>
                  </m:r>
                  <m:ctrlPr>
                    <w:rPr>
                      <w:rFonts w:ascii="Cambria Math" w:hAnsi="Cambria Math"/>
                      <w:b/>
                      <w:bCs/>
                      <w:sz w:val="18"/>
                      <w:szCs w:val="18"/>
                      <w:lang w:val="en-GB" w:eastAsia="zh-CN"/>
                    </w:rPr>
                  </m:ctrlP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pPr>
              <w:rPr>
                <w:lang w:eastAsia="zh-CN"/>
              </w:rPr>
            </w:pPr>
          </w:p>
        </w:tc>
      </w:tr>
    </w:tbl>
    <w:p>
      <w:pPr>
        <w:spacing w:before="120" w:line="240" w:lineRule="auto"/>
        <w:rPr>
          <w:lang w:eastAsia="zh-CN"/>
        </w:rPr>
      </w:pPr>
      <w:r>
        <w:rPr>
          <w:lang w:eastAsia="zh-CN"/>
        </w:rPr>
        <w:t>For the following working assumption:</w:t>
      </w:r>
    </w:p>
    <w:p>
      <w:pPr>
        <w:spacing w:line="240" w:lineRule="auto"/>
        <w:ind w:left="842" w:leftChars="200" w:hanging="402"/>
        <w:rPr>
          <w:b/>
          <w:sz w:val="20"/>
          <w:highlight w:val="green"/>
        </w:rPr>
      </w:pPr>
      <w:r>
        <w:rPr>
          <w:b/>
          <w:sz w:val="20"/>
          <w:highlight w:val="green"/>
        </w:rPr>
        <w:t>Working Assumption</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7"/>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7"/>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spacing w:line="240" w:lineRule="auto"/>
        <w:rPr>
          <w:lang w:eastAsia="zh-CN"/>
        </w:rPr>
      </w:pPr>
      <w:r>
        <w:rPr>
          <w:rFonts w:hint="eastAsia"/>
          <w:lang w:eastAsia="zh-CN"/>
        </w:rPr>
        <w:t>Most companies support to confirm the working assumption</w:t>
      </w:r>
      <w:r>
        <w:rPr>
          <w:lang w:eastAsia="zh-CN"/>
        </w:rPr>
        <w:t>, therefore, the following is proposed:</w:t>
      </w:r>
    </w:p>
    <w:p>
      <w:pPr>
        <w:spacing w:line="240" w:lineRule="auto"/>
        <w:rPr>
          <w:b/>
          <w:sz w:val="20"/>
          <w:highlight w:val="green"/>
        </w:rPr>
      </w:pPr>
      <w:r>
        <w:rPr>
          <w:b/>
          <w:lang w:eastAsia="zh-CN"/>
        </w:rPr>
        <w:t>Proposal 1: confirm the following working assumption.</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7"/>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7"/>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w:t>
      </w:r>
      <w:r>
        <w:rPr>
          <w:b/>
          <w:bCs/>
          <w:i/>
          <w:iCs/>
          <w:sz w:val="20"/>
          <w:szCs w:val="20"/>
          <w:lang w:eastAsia="zh-CN"/>
        </w:rPr>
        <w:t xml:space="preserve">or </w:t>
      </w:r>
      <m:oMath>
        <m:sSub>
          <m:sSubPr>
            <m:ctrlPr>
              <w:rPr>
                <w:rFonts w:ascii="Cambria Math" w:hAnsi="Cambria Math" w:eastAsia="Cambria Math"/>
                <w:b/>
                <w:bCs/>
                <w:i/>
                <w:iCs/>
                <w:sz w:val="20"/>
                <w:szCs w:val="20"/>
              </w:rPr>
            </m:ctrlPr>
          </m:sSubPr>
          <m:e>
            <m:r>
              <m:rPr>
                <m:sty m:val="bi"/>
              </m:rPr>
              <w:rPr>
                <w:rFonts w:ascii="Cambria Math" w:hAnsi="Cambria Math" w:eastAsia="Cambria Math"/>
                <w:sz w:val="20"/>
                <w:szCs w:val="20"/>
              </w:rPr>
              <m:t>P</m:t>
            </m:r>
            <m:ctrlPr>
              <w:rPr>
                <w:rFonts w:ascii="Cambria Math" w:hAnsi="Cambria Math" w:eastAsia="Cambria Math"/>
                <w:b/>
                <w:bCs/>
                <w:i/>
                <w:iCs/>
                <w:sz w:val="20"/>
                <w:szCs w:val="20"/>
              </w:rPr>
            </m:ctrlPr>
          </m:e>
          <m:sub>
            <m:r>
              <m:rPr>
                <m:sty m:val="bi"/>
              </m:rPr>
              <w:rPr>
                <w:rFonts w:ascii="Cambria Math" w:hAnsi="Cambria Math" w:eastAsia="Cambria Math"/>
                <w:sz w:val="20"/>
                <w:szCs w:val="20"/>
              </w:rPr>
              <m:t>O_NOMINAL_NPUSCH,c</m:t>
            </m:r>
            <m:ctrlPr>
              <w:rPr>
                <w:rFonts w:ascii="Cambria Math" w:hAnsi="Cambria Math" w:eastAsia="Cambria Math"/>
                <w:b/>
                <w:bCs/>
                <w:i/>
                <w:iCs/>
                <w:sz w:val="20"/>
                <w:szCs w:val="20"/>
              </w:rPr>
            </m:ctrlPr>
          </m:sub>
        </m:sSub>
      </m:oMath>
      <w:r>
        <w:rPr>
          <w:lang w:eastAsia="zh-CN"/>
        </w:rPr>
        <w:t>).</w:t>
      </w:r>
    </w:p>
    <w:p>
      <w:pPr>
        <w:spacing w:line="240" w:lineRule="auto"/>
        <w:rPr>
          <w:lang w:eastAsia="zh-CN"/>
        </w:rPr>
      </w:pPr>
      <w:r>
        <w:rPr>
          <w:lang w:eastAsia="zh-CN"/>
        </w:rPr>
        <w:t>For</w:t>
      </w:r>
    </w:p>
    <w:p>
      <w:pPr>
        <w:pStyle w:val="67"/>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pPr>
        <w:pStyle w:val="67"/>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Style w:val="47"/>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1276"/>
        <w:gridCol w:w="1276"/>
        <w:gridCol w:w="1134"/>
        <w:gridCol w:w="1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hAnsi="Cambria Math" w:eastAsia="Cambria Math"/>
                        <w:i/>
                        <w:lang w:eastAsia="zh-CN"/>
                      </w:rPr>
                    </m:ctrlPr>
                  </m:sSubPr>
                  <m:e>
                    <m:r>
                      <w:rPr>
                        <w:rFonts w:ascii="Cambria Math" w:hAnsi="Cambria Math" w:eastAsia="Cambria Math"/>
                        <w:lang w:eastAsia="zh-CN"/>
                      </w:rPr>
                      <m:t>I</m:t>
                    </m:r>
                    <m:ctrlPr>
                      <w:rPr>
                        <w:rFonts w:ascii="Cambria Math" w:hAnsi="Cambria Math" w:eastAsia="Cambria Math"/>
                        <w:i/>
                        <w:lang w:eastAsia="zh-CN"/>
                      </w:rPr>
                    </m:ctrlPr>
                  </m:e>
                  <m:sub>
                    <m:r>
                      <w:rPr>
                        <w:rFonts w:ascii="Cambria Math" w:hAnsi="Cambria Math" w:eastAsia="Cambria Math"/>
                        <w:lang w:eastAsia="zh-CN"/>
                      </w:rPr>
                      <m:t>TBS</m:t>
                    </m:r>
                    <m:ctrlPr>
                      <w:rPr>
                        <w:rFonts w:ascii="Cambria Math" w:hAnsi="Cambria Math" w:eastAsia="Cambria Math"/>
                        <w:i/>
                        <w:lang w:eastAsia="zh-CN"/>
                      </w:rPr>
                    </m:ctrlPr>
                  </m:sub>
                </m:sSub>
              </m:oMath>
            </m:oMathPara>
          </w:p>
        </w:tc>
        <w:tc>
          <w:tcPr>
            <w:tcW w:w="992" w:type="dxa"/>
            <w:shd w:val="clear" w:color="auto" w:fill="auto"/>
            <w:noWrap/>
          </w:tcPr>
          <w:p>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pPr>
        <w:spacing w:line="240" w:lineRule="auto"/>
        <w:rPr>
          <w:lang w:eastAsia="zh-CN"/>
        </w:rPr>
      </w:pPr>
    </w:p>
    <w:p>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can also be applied to NPUSCH with QPSK, when 16-QAM is configured.</w:t>
      </w:r>
    </w:p>
    <w:p>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 v002</w:t>
            </w:r>
          </w:p>
        </w:tc>
        <w:tc>
          <w:tcPr>
            <w:tcW w:w="7611" w:type="dxa"/>
          </w:tcPr>
          <w:p>
            <w:pPr>
              <w:spacing w:line="240" w:lineRule="auto"/>
              <w:rPr>
                <w:lang w:eastAsia="zh-CN"/>
              </w:rPr>
            </w:pPr>
            <w:r>
              <w:rPr>
                <w:b/>
                <w:bCs/>
                <w:lang w:eastAsia="zh-CN"/>
              </w:rPr>
              <w:t>Proposal 1:</w:t>
            </w:r>
            <w:r>
              <w:rPr>
                <w:lang w:eastAsia="zh-CN"/>
              </w:rPr>
              <w:t xml:space="preserve"> Ok with confirming the WA.</w:t>
            </w:r>
          </w:p>
          <w:p>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v:shape id="_x0000_i1025" o:spt="75" type="#_x0000_t75" style="height:21.9pt;width:57.6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lang w:eastAsia="zh-CN"/>
              </w:rPr>
              <w:t>as compared to the one that would delivered for a UE without 16-QAM configured.</w:t>
            </w:r>
          </w:p>
          <w:p>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pPr>
              <w:spacing w:line="240" w:lineRule="auto"/>
            </w:pPr>
            <w:r>
              <w:t>Just as a clarification to the Moderator, we do not see “</w:t>
            </w:r>
            <m:oMath>
              <m:sSub>
                <m:sSubPr>
                  <m:ctrlPr>
                    <w:rPr>
                      <w:rFonts w:ascii="Cambria Math" w:hAnsi="Cambria Math" w:eastAsia="Cambria Math"/>
                      <w:b/>
                      <w:bCs/>
                      <w:i/>
                      <w:iCs/>
                      <w:sz w:val="20"/>
                      <w:szCs w:val="20"/>
                    </w:rPr>
                  </m:ctrlPr>
                </m:sSubPr>
                <m:e>
                  <m:r>
                    <m:rPr>
                      <m:sty m:val="bi"/>
                    </m:rPr>
                    <w:rPr>
                      <w:rFonts w:ascii="Cambria Math" w:hAnsi="Cambria Math" w:eastAsia="Cambria Math"/>
                      <w:sz w:val="20"/>
                      <w:szCs w:val="20"/>
                    </w:rPr>
                    <m:t>P</m:t>
                  </m:r>
                  <m:ctrlPr>
                    <w:rPr>
                      <w:rFonts w:ascii="Cambria Math" w:hAnsi="Cambria Math" w:eastAsia="Cambria Math"/>
                      <w:b/>
                      <w:bCs/>
                      <w:i/>
                      <w:iCs/>
                      <w:sz w:val="20"/>
                      <w:szCs w:val="20"/>
                    </w:rPr>
                  </m:ctrlPr>
                </m:e>
                <m:sub>
                  <m:r>
                    <m:rPr>
                      <m:sty m:val="bi"/>
                    </m:rPr>
                    <w:rPr>
                      <w:rFonts w:ascii="Cambria Math" w:hAnsi="Cambria Math" w:eastAsia="Cambria Math"/>
                      <w:sz w:val="20"/>
                      <w:szCs w:val="20"/>
                    </w:rPr>
                    <m:t>O_NOMINAL_NPUSCH,c</m:t>
                  </m:r>
                  <m:ctrlPr>
                    <w:rPr>
                      <w:rFonts w:ascii="Cambria Math" w:hAnsi="Cambria Math" w:eastAsia="Cambria Math"/>
                      <w:b/>
                      <w:bCs/>
                      <w:i/>
                      <w:iCs/>
                      <w:sz w:val="20"/>
                      <w:szCs w:val="20"/>
                    </w:rPr>
                  </m:ctrlPr>
                </m:sub>
              </m:sSub>
            </m:oMath>
            <w:r>
              <w:t>” as an offset since that will result in side effects too. By offset, we mean e.g., Alternative 1 or Alternative 2 below applied on the estimated Δ</w:t>
            </w:r>
            <w:r>
              <w:rPr>
                <w:vertAlign w:val="subscript"/>
              </w:rPr>
              <w:t>TF</w:t>
            </w:r>
            <w:r>
              <w:t>.</w:t>
            </w:r>
          </w:p>
          <w:p>
            <w:pPr>
              <w:pStyle w:val="67"/>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pPr>
              <w:pStyle w:val="67"/>
              <w:spacing w:line="240" w:lineRule="auto"/>
              <w:rPr>
                <w:rFonts w:ascii="Times New Roman" w:hAnsi="Times New Roman" w:cs="Times New Roman"/>
              </w:rPr>
            </w:pPr>
          </w:p>
          <w:p>
            <w:pPr>
              <w:pStyle w:val="67"/>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ctrlPr>
                    <w:rPr>
                      <w:rFonts w:ascii="Cambria Math" w:hAnsi="Cambria Math" w:cs="Times New Roman"/>
                      <w:sz w:val="18"/>
                      <w:szCs w:val="18"/>
                    </w:rPr>
                  </m:ctrlPr>
                </m:e>
                <m:sub>
                  <m:r>
                    <m:rPr>
                      <m:sty m:val="bi"/>
                    </m:rPr>
                    <w:rPr>
                      <w:rFonts w:ascii="Cambria Math" w:hAnsi="Cambria Math" w:cs="Times New Roman"/>
                      <w:sz w:val="18"/>
                      <w:szCs w:val="18"/>
                    </w:rPr>
                    <m:t>s</m:t>
                  </m:r>
                  <m:ctrlPr>
                    <w:rPr>
                      <w:rFonts w:ascii="Cambria Math" w:hAnsi="Cambria Math" w:cs="Times New Roman"/>
                      <w:sz w:val="18"/>
                      <w:szCs w:val="18"/>
                    </w:rPr>
                  </m:ctrlPr>
                </m:sub>
              </m:sSub>
              <m:r>
                <m:rPr>
                  <m:sty m:val="bi"/>
                </m:rPr>
                <w:rPr>
                  <w:rFonts w:ascii="Cambria Math" w:hAnsi="Cambria Math" w:cs="Times New Roman"/>
                  <w:sz w:val="18"/>
                  <w:szCs w:val="18"/>
                </w:rPr>
                <m:t>=0</m:t>
              </m:r>
            </m:oMath>
            <w:r>
              <w:rPr>
                <w:rFonts w:ascii="Times New Roman" w:hAnsi="Times New Roman" w:cs="Times New Roman"/>
              </w:rPr>
              <w:t>, then 0dB will be used”.</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rFonts w:hint="default"/>
                <w:lang w:val="en-US" w:eastAsia="zh-CN"/>
              </w:rPr>
            </w:pPr>
            <w:r>
              <w:rPr>
                <w:rFonts w:hint="eastAsia"/>
                <w:lang w:val="en-US" w:eastAsia="zh-CN"/>
              </w:rPr>
              <w:t>ZTE, Sanechips</w:t>
            </w:r>
          </w:p>
        </w:tc>
        <w:tc>
          <w:tcPr>
            <w:tcW w:w="7611" w:type="dxa"/>
          </w:tcPr>
          <w:p>
            <w:pPr>
              <w:spacing w:line="240" w:lineRule="auto"/>
              <w:rPr>
                <w:rFonts w:hint="default" w:ascii="Times New Roman" w:hAnsi="Times New Roman" w:cs="Times New Roman"/>
                <w:i w:val="0"/>
                <w:sz w:val="22"/>
                <w:szCs w:val="22"/>
                <w:lang w:val="en-US" w:eastAsia="zh-CN"/>
              </w:rPr>
            </w:pPr>
            <w:r>
              <w:rPr>
                <w:rFonts w:hint="default" w:ascii="Times New Roman" w:hAnsi="Times New Roman" w:cs="Times New Roman"/>
                <w:sz w:val="22"/>
                <w:szCs w:val="22"/>
                <w:lang w:val="en-US" w:eastAsia="zh-CN"/>
              </w:rPr>
              <w:t xml:space="preserve">According to the agreement, </w:t>
            </w:r>
            <w:r>
              <w:rPr>
                <w:rFonts w:hint="default" w:ascii="Times New Roman" w:hAnsi="Times New Roman" w:eastAsia="宋体" w:cs="Times New Roman"/>
                <w:bCs/>
                <w:sz w:val="22"/>
                <w:szCs w:val="22"/>
                <w:lang w:val="en-US" w:eastAsia="zh-CN"/>
              </w:rPr>
              <w:t>the</w:t>
            </w:r>
            <w:r>
              <w:rPr>
                <w:rFonts w:hint="default" w:ascii="Times New Roman" w:hAnsi="Times New Roman" w:eastAsia="Times New Roman" w:cs="Times New Roman"/>
                <w:bCs/>
                <w:sz w:val="22"/>
                <w:szCs w:val="22"/>
                <w:lang w:eastAsia="ar-SA"/>
              </w:rPr>
              <w:t xml:space="preserve"> new term </w:t>
            </w:r>
            <w:r>
              <w:rPr>
                <w:rFonts w:hint="default" w:ascii="Times New Roman" w:hAnsi="Times New Roman" w:eastAsia="宋体" w:cs="Times New Roman"/>
                <w:bCs/>
                <w:sz w:val="22"/>
                <w:szCs w:val="22"/>
                <w:lang w:val="en-US" w:eastAsia="zh-CN"/>
              </w:rPr>
              <w:t xml:space="preserve">is introduced for </w:t>
            </w:r>
            <w:r>
              <w:rPr>
                <w:rFonts w:hint="default" w:ascii="Times New Roman" w:hAnsi="Times New Roman" w:eastAsia="Times New Roman" w:cs="Times New Roman"/>
                <w:bCs/>
                <w:sz w:val="22"/>
                <w:szCs w:val="22"/>
                <w:lang w:eastAsia="ar-SA"/>
              </w:rPr>
              <w:t>uplink power control</w:t>
            </w:r>
            <w:r>
              <w:rPr>
                <w:rFonts w:hint="default" w:ascii="Times New Roman" w:hAnsi="Times New Roman" w:eastAsia="宋体" w:cs="Times New Roman"/>
                <w:bCs/>
                <w:sz w:val="22"/>
                <w:szCs w:val="22"/>
                <w:lang w:val="en-US" w:eastAsia="zh-CN"/>
              </w:rPr>
              <w:t xml:space="preserve"> to support</w:t>
            </w:r>
            <w:r>
              <w:rPr>
                <w:rFonts w:hint="default" w:ascii="Times New Roman" w:hAnsi="Times New Roman" w:eastAsia="Times New Roman" w:cs="Times New Roman"/>
                <w:bCs/>
                <w:sz w:val="22"/>
                <w:szCs w:val="22"/>
                <w:lang w:eastAsia="ar-SA"/>
              </w:rPr>
              <w:t xml:space="preserve"> NPUSCH using 16QAM</w:t>
            </w:r>
            <w:r>
              <w:rPr>
                <w:rFonts w:hint="default" w:ascii="Times New Roman" w:hAnsi="Times New Roman" w:eastAsia="宋体" w:cs="Times New Roman"/>
                <w:bCs/>
                <w:sz w:val="22"/>
                <w:szCs w:val="22"/>
                <w:lang w:val="en-US" w:eastAsia="zh-CN"/>
              </w:rPr>
              <w:t xml:space="preserve">. There is no clear requirements for the case that </w:t>
            </w:r>
            <m:oMath>
              <m:sSub>
                <m:sSubPr>
                  <m:ctrlPr>
                    <w:rPr>
                      <w:rFonts w:hint="default" w:ascii="Cambria Math" w:hAnsi="Cambria Math" w:cs="Times New Roman"/>
                      <w:i/>
                      <w:sz w:val="22"/>
                      <w:szCs w:val="22"/>
                      <w:lang w:eastAsia="zh-CN"/>
                    </w:rPr>
                  </m:ctrlPr>
                </m:sSubPr>
                <m:e>
                  <m:r>
                    <w:rPr>
                      <w:rFonts w:hint="default" w:ascii="Cambria Math" w:hAnsi="Cambria Math" w:cs="Times New Roman"/>
                      <w:sz w:val="22"/>
                      <w:szCs w:val="22"/>
                      <w:lang w:eastAsia="zh-CN"/>
                    </w:rPr>
                    <m:t>∆</m:t>
                  </m:r>
                  <m:ctrlPr>
                    <w:rPr>
                      <w:rFonts w:hint="default" w:ascii="Cambria Math" w:hAnsi="Cambria Math" w:cs="Times New Roman"/>
                      <w:i/>
                      <w:sz w:val="22"/>
                      <w:szCs w:val="22"/>
                      <w:lang w:eastAsia="zh-CN"/>
                    </w:rPr>
                  </m:ctrlPr>
                </m:e>
                <m:sub>
                  <m:r>
                    <w:rPr>
                      <w:rFonts w:hint="default" w:ascii="Cambria Math" w:hAnsi="Cambria Math" w:cs="Times New Roman"/>
                      <w:sz w:val="22"/>
                      <w:szCs w:val="22"/>
                      <w:lang w:eastAsia="zh-CN"/>
                    </w:rPr>
                    <m:t>TF,c</m:t>
                  </m:r>
                  <m:ctrlPr>
                    <w:rPr>
                      <w:rFonts w:hint="default" w:ascii="Cambria Math" w:hAnsi="Cambria Math" w:cs="Times New Roman"/>
                      <w:i/>
                      <w:sz w:val="22"/>
                      <w:szCs w:val="22"/>
                      <w:lang w:eastAsia="zh-CN"/>
                    </w:rPr>
                  </m:ctrlPr>
                </m:sub>
              </m:sSub>
              <m:r>
                <w:rPr>
                  <w:rFonts w:hint="default" w:ascii="Cambria Math" w:hAnsi="Cambria Math" w:cs="Times New Roman"/>
                  <w:sz w:val="22"/>
                  <w:szCs w:val="22"/>
                  <w:lang w:eastAsia="zh-CN"/>
                </w:rPr>
                <m:t xml:space="preserve"> </m:t>
              </m:r>
            </m:oMath>
            <w:r>
              <w:rPr>
                <w:rFonts w:hint="default" w:ascii="Times New Roman" w:hAnsi="Times New Roman" w:cs="Times New Roman"/>
                <w:i w:val="0"/>
                <w:sz w:val="22"/>
                <w:szCs w:val="22"/>
                <w:lang w:val="en-US" w:eastAsia="zh-CN"/>
              </w:rPr>
              <w:t xml:space="preserve"> is applied to NPUSCH using QPSK. So we </w:t>
            </w:r>
            <w:r>
              <w:rPr>
                <w:rFonts w:hint="eastAsia" w:ascii="Times New Roman" w:hAnsi="Times New Roman" w:cs="Times New Roman"/>
                <w:i w:val="0"/>
                <w:sz w:val="22"/>
                <w:szCs w:val="22"/>
                <w:lang w:val="en-US" w:eastAsia="zh-CN"/>
              </w:rPr>
              <w:t xml:space="preserve">prefer </w:t>
            </w:r>
            <w:r>
              <w:rPr>
                <w:rFonts w:hint="default" w:ascii="Times New Roman" w:hAnsi="Times New Roman" w:cs="Times New Roman"/>
                <w:i w:val="0"/>
                <w:sz w:val="22"/>
                <w:szCs w:val="22"/>
                <w:lang w:val="en-US" w:eastAsia="zh-CN"/>
              </w:rPr>
              <w:t xml:space="preserve">that </w:t>
            </w:r>
            <w:r>
              <w:rPr>
                <w:rFonts w:hint="default" w:ascii="Times New Roman" w:hAnsi="Times New Roman" w:eastAsia="宋体" w:cs="Times New Roman"/>
                <w:bCs/>
                <w:sz w:val="22"/>
                <w:szCs w:val="22"/>
                <w:lang w:val="en-US" w:eastAsia="zh-CN"/>
              </w:rPr>
              <w:t>u</w:t>
            </w:r>
            <w:r>
              <w:rPr>
                <w:rFonts w:hint="default" w:ascii="Times New Roman" w:hAnsi="Times New Roman" w:eastAsia="Times New Roman" w:cs="Times New Roman"/>
                <w:bCs/>
                <w:sz w:val="22"/>
                <w:szCs w:val="22"/>
                <w:lang w:eastAsia="ar-SA"/>
              </w:rPr>
              <w:t>plink power control</w:t>
            </w:r>
            <w:r>
              <w:rPr>
                <w:rFonts w:hint="default" w:ascii="Times New Roman" w:hAnsi="Times New Roman" w:eastAsia="宋体" w:cs="Times New Roman"/>
                <w:bCs/>
                <w:sz w:val="22"/>
                <w:szCs w:val="22"/>
                <w:lang w:val="en-US" w:eastAsia="zh-CN"/>
              </w:rPr>
              <w:t xml:space="preserve"> be consistent with legacy for QPSK</w:t>
            </w:r>
            <w:r>
              <w:rPr>
                <w:rFonts w:hint="eastAsia" w:ascii="Times New Roman" w:hAnsi="Times New Roman" w:eastAsia="宋体" w:cs="Times New Roman"/>
                <w:bCs/>
                <w:sz w:val="22"/>
                <w:szCs w:val="22"/>
                <w:lang w:val="en-US" w:eastAsia="zh-CN"/>
              </w:rPr>
              <w:t xml:space="preserve">. </w:t>
            </w:r>
            <w:r>
              <w:rPr>
                <w:rFonts w:hint="default" w:ascii="Times New Roman" w:hAnsi="Times New Roman" w:eastAsia="宋体" w:cs="Times New Roman"/>
                <w:bCs/>
                <w:sz w:val="22"/>
                <w:szCs w:val="22"/>
                <w:lang w:val="en-US" w:eastAsia="zh-CN"/>
              </w:rPr>
              <w:t xml:space="preserve">And an offset is added to </w:t>
            </w:r>
            <m:oMath>
              <m:sSub>
                <m:sSubPr>
                  <m:ctrlPr>
                    <w:rPr>
                      <w:rFonts w:hint="default" w:ascii="Cambria Math" w:hAnsi="Cambria Math" w:cs="Times New Roman"/>
                      <w:i/>
                      <w:sz w:val="22"/>
                      <w:szCs w:val="22"/>
                      <w:lang w:eastAsia="zh-CN"/>
                    </w:rPr>
                  </m:ctrlPr>
                </m:sSubPr>
                <m:e>
                  <m:r>
                    <w:rPr>
                      <w:rFonts w:hint="default" w:ascii="Cambria Math" w:hAnsi="Cambria Math" w:cs="Times New Roman"/>
                      <w:sz w:val="22"/>
                      <w:szCs w:val="22"/>
                      <w:lang w:eastAsia="zh-CN"/>
                    </w:rPr>
                    <m:t>∆</m:t>
                  </m:r>
                  <m:ctrlPr>
                    <w:rPr>
                      <w:rFonts w:hint="default" w:ascii="Cambria Math" w:hAnsi="Cambria Math" w:cs="Times New Roman"/>
                      <w:i/>
                      <w:sz w:val="22"/>
                      <w:szCs w:val="22"/>
                      <w:lang w:eastAsia="zh-CN"/>
                    </w:rPr>
                  </m:ctrlPr>
                </m:e>
                <m:sub>
                  <m:r>
                    <w:rPr>
                      <w:rFonts w:hint="default" w:ascii="Cambria Math" w:hAnsi="Cambria Math" w:cs="Times New Roman"/>
                      <w:sz w:val="22"/>
                      <w:szCs w:val="22"/>
                      <w:lang w:eastAsia="zh-CN"/>
                    </w:rPr>
                    <m:t>TF,c</m:t>
                  </m:r>
                  <m:ctrlPr>
                    <w:rPr>
                      <w:rFonts w:hint="default" w:ascii="Cambria Math" w:hAnsi="Cambria Math" w:cs="Times New Roman"/>
                      <w:i/>
                      <w:sz w:val="22"/>
                      <w:szCs w:val="22"/>
                      <w:lang w:eastAsia="zh-CN"/>
                    </w:rPr>
                  </m:ctrlPr>
                </m:sub>
              </m:sSub>
              <m:r>
                <w:rPr>
                  <w:rFonts w:hint="default" w:ascii="Cambria Math" w:hAnsi="Cambria Math" w:cs="Times New Roman"/>
                  <w:sz w:val="22"/>
                  <w:szCs w:val="22"/>
                  <w:lang w:eastAsia="zh-CN"/>
                </w:rPr>
                <m:t xml:space="preserve"> </m:t>
              </m:r>
            </m:oMath>
            <w:r>
              <w:rPr>
                <w:rFonts w:hint="default" w:ascii="Times New Roman" w:hAnsi="Times New Roman" w:cs="Times New Roman"/>
                <w:i w:val="0"/>
                <w:sz w:val="22"/>
                <w:szCs w:val="22"/>
                <w:lang w:val="en-US" w:eastAsia="zh-CN"/>
              </w:rPr>
              <w:t xml:space="preserve"> to avoid the power gap between QPSK and 16QAM.</w:t>
            </w:r>
          </w:p>
          <w:p>
            <w:pPr>
              <w:spacing w:line="240" w:lineRule="auto"/>
              <w:rPr>
                <w:lang w:eastAsia="zh-CN"/>
              </w:rPr>
            </w:pPr>
            <w:r>
              <w:rPr>
                <w:rFonts w:hint="default" w:ascii="Times New Roman" w:hAnsi="Times New Roman" w:cs="Times New Roman"/>
                <w:i w:val="0"/>
                <w:sz w:val="22"/>
                <w:szCs w:val="22"/>
                <w:lang w:val="en-US" w:eastAsia="zh-CN"/>
              </w:rPr>
              <w:t xml:space="preserve">When 16QAM is enabled, </w:t>
            </w:r>
            <w:r>
              <w:rPr>
                <w:rFonts w:hint="eastAsia" w:cs="Times New Roman"/>
                <w:i w:val="0"/>
                <w:sz w:val="22"/>
                <w:szCs w:val="22"/>
                <w:lang w:val="en-US" w:eastAsia="zh-CN"/>
              </w:rPr>
              <w:t xml:space="preserve">semi-static and dynamic power control should be supported to match variable channel and improve data rate if </w:t>
            </w:r>
            <w:r>
              <w:rPr>
                <w:rFonts w:hint="default" w:ascii="Times New Roman" w:hAnsi="Times New Roman" w:cs="Times New Roman"/>
                <w:i w:val="0"/>
                <w:sz w:val="22"/>
                <w:szCs w:val="22"/>
                <w:lang w:val="en-US" w:eastAsia="zh-CN"/>
              </w:rPr>
              <w:t>large SNR coverage range</w:t>
            </w:r>
            <w:r>
              <w:rPr>
                <w:rFonts w:hint="eastAsia" w:ascii="Times New Roman" w:hAnsi="Times New Roman" w:cs="Times New Roman"/>
                <w:i w:val="0"/>
                <w:sz w:val="22"/>
                <w:szCs w:val="22"/>
                <w:lang w:val="en-US" w:eastAsia="zh-CN"/>
              </w:rPr>
              <w:t xml:space="preserve"> indicated by CQI table design</w:t>
            </w:r>
            <w:r>
              <w:rPr>
                <w:rFonts w:hint="default" w:ascii="Times New Roman" w:hAnsi="Times New Roman" w:cs="Times New Roman"/>
                <w:i w:val="0"/>
                <w:sz w:val="22"/>
                <w:szCs w:val="22"/>
                <w:lang w:val="en-US" w:eastAsia="zh-CN"/>
              </w:rPr>
              <w:t xml:space="preserve"> is adopted</w:t>
            </w:r>
            <w:r>
              <w:rPr>
                <w:rFonts w:hint="eastAsia" w:ascii="Times New Roman" w:hAnsi="Times New Roman" w:cs="Times New Roman"/>
                <w:i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p>
        </w:tc>
        <w:tc>
          <w:tcPr>
            <w:tcW w:w="7611" w:type="dxa"/>
          </w:tcPr>
          <w:p>
            <w:pPr>
              <w:spacing w:line="240" w:lineRule="auto"/>
              <w:rPr>
                <w:lang w:eastAsia="zh-CN"/>
              </w:rPr>
            </w:pPr>
          </w:p>
        </w:tc>
      </w:tr>
    </w:tbl>
    <w:p>
      <w:pPr>
        <w:spacing w:line="240" w:lineRule="auto"/>
        <w:rPr>
          <w:lang w:eastAsia="zh-CN"/>
        </w:rPr>
      </w:pPr>
    </w:p>
    <w:p>
      <w:pPr>
        <w:pStyle w:val="3"/>
        <w:rPr>
          <w:lang w:eastAsia="zh-CN"/>
        </w:rPr>
      </w:pPr>
      <w:r>
        <w:rPr>
          <w:lang w:eastAsia="zh-CN"/>
        </w:rPr>
        <w:t>Channel quality reporting</w:t>
      </w:r>
    </w:p>
    <w:p>
      <w:pPr>
        <w:pStyle w:val="4"/>
      </w:pPr>
      <w:r>
        <w:rPr>
          <w:lang w:eastAsia="zh-CN"/>
        </w:rPr>
        <w:t>Issue 2: Channel quality reporting</w:t>
      </w:r>
    </w:p>
    <w:p>
      <w:pPr>
        <w:rPr>
          <w:lang w:eastAsia="zh-CN"/>
        </w:rPr>
      </w:pPr>
      <w:r>
        <w:rPr>
          <w:rFonts w:hint="eastAsia"/>
          <w:lang w:eastAsia="zh-CN"/>
        </w:rPr>
        <w:t>The proposals of companies are listed as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Sourcing</w:t>
            </w:r>
          </w:p>
        </w:tc>
        <w:tc>
          <w:tcPr>
            <w:tcW w:w="8178"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[2]</w:t>
            </w:r>
          </w:p>
        </w:tc>
        <w:tc>
          <w:tcPr>
            <w:tcW w:w="8178"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pPr>
              <w:rPr>
                <w:b/>
                <w:kern w:val="2"/>
                <w:lang w:eastAsia="zh-CN"/>
              </w:rPr>
            </w:pPr>
            <w:r>
              <w:rPr>
                <w:b/>
                <w:kern w:val="2"/>
                <w:lang w:eastAsia="zh-CN"/>
              </w:rPr>
              <w:t>Proposal 2: The use of legacy table or the new CQI table is indicated in MAC CE.</w:t>
            </w:r>
          </w:p>
          <w:p>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Style w:val="47"/>
              <w:tblW w:w="0" w:type="auto"/>
              <w:jc w:val="center"/>
              <w:tblLayout w:type="autofit"/>
              <w:tblCellMar>
                <w:top w:w="0" w:type="dxa"/>
                <w:left w:w="0" w:type="dxa"/>
                <w:bottom w:w="0" w:type="dxa"/>
                <w:right w:w="0" w:type="dxa"/>
              </w:tblCellMar>
            </w:tblPr>
            <w:tblGrid>
              <w:gridCol w:w="1155"/>
              <w:gridCol w:w="1228"/>
              <w:gridCol w:w="1761"/>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lang w:eastAsia="zh-CN"/>
                    </w:rPr>
                  </w:pPr>
                  <w:r>
                    <w:rPr>
                      <w:rFonts w:ascii="Arial" w:hAnsi="Arial"/>
                      <w:b/>
                      <w:sz w:val="18"/>
                    </w:rPr>
                    <w:t>TBS index</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6</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 xml:space="preserve">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 xml:space="preserve">QAM </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16</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 xml:space="preserve">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lang w:eastAsia="zh-CN"/>
                    </w:rPr>
                    <w:t>20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[3]</w:t>
            </w:r>
          </w:p>
        </w:tc>
        <w:tc>
          <w:tcPr>
            <w:tcW w:w="8178" w:type="dxa"/>
          </w:tcPr>
          <w:p>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hint="eastAsia" w:eastAsia="sans-serif"/>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pPr>
              <w:rPr>
                <w:b/>
                <w:bCs/>
                <w:i/>
                <w:iCs/>
                <w:sz w:val="20"/>
                <w:szCs w:val="20"/>
                <w:lang w:eastAsia="zh-CN"/>
              </w:rPr>
            </w:pPr>
            <w:r>
              <w:rPr>
                <w:rFonts w:hint="eastAsia"/>
                <w:b/>
                <w:bCs/>
                <w:i/>
                <w:iCs/>
                <w:sz w:val="20"/>
                <w:szCs w:val="20"/>
                <w:lang w:eastAsia="zh-CN"/>
              </w:rPr>
              <w:t>Proposal 4: Table 2 or 3 can be adopted for channel quality report for NPDSCH.</w:t>
            </w:r>
          </w:p>
          <w:p>
            <w:pPr>
              <w:rPr>
                <w:b/>
                <w:bCs/>
                <w:i/>
                <w:iCs/>
                <w:sz w:val="20"/>
                <w:szCs w:val="20"/>
                <w:lang w:eastAsia="zh-CN"/>
              </w:rPr>
            </w:pPr>
          </w:p>
          <w:tbl>
            <w:tblPr>
              <w:tblStyle w:val="47"/>
              <w:tblW w:w="7257" w:type="dxa"/>
              <w:jc w:val="center"/>
              <w:tblLayout w:type="autofit"/>
              <w:tblCellMar>
                <w:top w:w="0" w:type="dxa"/>
                <w:left w:w="0" w:type="dxa"/>
                <w:bottom w:w="0" w:type="dxa"/>
                <w:right w:w="0" w:type="dxa"/>
              </w:tblCellMar>
            </w:tblPr>
            <w:tblGrid>
              <w:gridCol w:w="1024"/>
              <w:gridCol w:w="1216"/>
              <w:gridCol w:w="687"/>
              <w:gridCol w:w="1453"/>
              <w:gridCol w:w="1333"/>
              <w:gridCol w:w="138"/>
              <w:gridCol w:w="236"/>
              <w:gridCol w:w="1034"/>
              <w:gridCol w:w="136"/>
            </w:tblGrid>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pStyle w:val="72"/>
                    <w:keepNext w:val="0"/>
                  </w:pPr>
                  <w:r>
                    <w:t>CQI index</w:t>
                  </w:r>
                </w:p>
              </w:tc>
              <w:tc>
                <w:tcPr>
                  <w:tcW w:w="12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pPr>
                  <w:r>
                    <w:t>modulation</w:t>
                  </w:r>
                </w:p>
              </w:tc>
              <w:tc>
                <w:tcPr>
                  <w:tcW w:w="687"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lang w:val="en-US" w:eastAsia="zh-CN"/>
                    </w:rPr>
                  </w:pPr>
                  <w:r>
                    <w:rPr>
                      <w:rFonts w:hint="eastAsia" w:eastAsia="宋体"/>
                      <w:lang w:val="en-US" w:eastAsia="zh-CN"/>
                    </w:rPr>
                    <w:t>TBS index</w:t>
                  </w:r>
                </w:p>
              </w:tc>
              <w:tc>
                <w:tcPr>
                  <w:tcW w:w="1453"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lang w:val="en-US" w:eastAsia="zh-CN"/>
                    </w:rPr>
                  </w:pPr>
                  <w:r>
                    <w:rPr>
                      <w:rFonts w:hint="eastAsia" w:eastAsia="宋体"/>
                      <w:lang w:val="en-US" w:eastAsia="zh-CN"/>
                    </w:rPr>
                    <w:t>Number of repetitions</w:t>
                  </w:r>
                </w:p>
              </w:tc>
              <w:tc>
                <w:tcPr>
                  <w:tcW w:w="1333"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color w:val="767171" w:themeColor="background2" w:themeShade="80"/>
                      <w:lang w:val="en-US" w:eastAsia="zh-CN"/>
                    </w:rPr>
                  </w:pPr>
                  <w:r>
                    <w:rPr>
                      <w:rFonts w:hint="eastAsia" w:eastAsia="宋体"/>
                      <w:color w:val="767171" w:themeColor="background2" w:themeShade="80"/>
                      <w:lang w:val="en-US" w:eastAsia="zh-CN"/>
                    </w:rPr>
                    <w:t>SNR at BLER of 10% (dB)</w:t>
                  </w:r>
                </w:p>
              </w:tc>
              <w:tc>
                <w:tcPr>
                  <w:tcW w:w="1408" w:type="dxa"/>
                  <w:gridSpan w:val="3"/>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color w:val="767171" w:themeColor="background2" w:themeShade="80"/>
                      <w:lang w:val="en-US" w:eastAsia="zh-CN"/>
                    </w:rPr>
                  </w:pPr>
                  <w:r>
                    <w:rPr>
                      <w:rFonts w:hint="eastAsia" w:eastAsia="宋体"/>
                      <w:color w:val="767171" w:themeColor="background2" w:themeShade="80"/>
                      <w:lang w:val="en-US" w:eastAsia="zh-CN"/>
                    </w:rPr>
                    <w:t>SNR gap (dB)</w:t>
                  </w:r>
                </w:p>
              </w:tc>
            </w:tr>
            <w:tr>
              <w:tblPrEx>
                <w:tblCellMar>
                  <w:top w:w="0" w:type="dxa"/>
                  <w:left w:w="0" w:type="dxa"/>
                  <w:bottom w:w="0" w:type="dxa"/>
                  <w:right w:w="0" w:type="dxa"/>
                </w:tblCellMar>
              </w:tblPrEx>
              <w:trPr>
                <w:jc w:val="center"/>
              </w:trPr>
              <w:tc>
                <w:tcPr>
                  <w:tcW w:w="1024"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0</w:t>
                  </w:r>
                </w:p>
              </w:tc>
              <w:tc>
                <w:tcPr>
                  <w:tcW w:w="4827" w:type="dxa"/>
                  <w:gridSpan w:val="5"/>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out of range</w:t>
                  </w:r>
                </w:p>
              </w:tc>
              <w:tc>
                <w:tcPr>
                  <w:tcW w:w="23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color w:val="767171" w:themeColor="background2" w:themeShade="80"/>
                    </w:rPr>
                  </w:pPr>
                </w:p>
              </w:tc>
              <w:tc>
                <w:tcPr>
                  <w:tcW w:w="1170"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color w:val="767171" w:themeColor="background2" w:themeShade="80"/>
                    </w:rPr>
                  </w:pP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16</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-17.4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2</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8</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-14.4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3</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4</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-11.4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4</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2</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-8.4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5</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-5.4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6</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2</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-3.1</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2.3</w:t>
                  </w:r>
                </w:p>
              </w:tc>
            </w:tr>
            <w:tr>
              <w:tblPrEx>
                <w:tblCellMar>
                  <w:top w:w="0" w:type="dxa"/>
                  <w:left w:w="0" w:type="dxa"/>
                  <w:bottom w:w="0" w:type="dxa"/>
                  <w:right w:w="0" w:type="dxa"/>
                </w:tblCellMar>
              </w:tblPrEx>
              <w:trPr>
                <w:gridAfter w:val="1"/>
                <w:wAfter w:w="136" w:type="dxa"/>
                <w:trHeight w:val="203" w:hRule="atLeast"/>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7</w:t>
                  </w:r>
                </w:p>
              </w:tc>
              <w:tc>
                <w:tcPr>
                  <w:tcW w:w="12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lang w:val="en-US" w:eastAsia="zh-CN"/>
                    </w:rPr>
                  </w:pPr>
                  <w:r>
                    <w:t>Q</w:t>
                  </w:r>
                  <w:r>
                    <w:rPr>
                      <w:rFonts w:hint="eastAsia"/>
                    </w:rPr>
                    <w:t>PSK</w:t>
                  </w:r>
                </w:p>
              </w:tc>
              <w:tc>
                <w:tcPr>
                  <w:tcW w:w="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4</w:t>
                  </w:r>
                </w:p>
              </w:tc>
              <w:tc>
                <w:tcPr>
                  <w:tcW w:w="1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-0.9</w:t>
                  </w:r>
                </w:p>
              </w:tc>
              <w:tc>
                <w:tcPr>
                  <w:tcW w:w="140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2.2</w:t>
                  </w:r>
                </w:p>
              </w:tc>
            </w:tr>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8</w:t>
                  </w:r>
                </w:p>
              </w:tc>
              <w:tc>
                <w:tcPr>
                  <w:tcW w:w="12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6</w:t>
                  </w:r>
                </w:p>
              </w:tc>
              <w:tc>
                <w:tcPr>
                  <w:tcW w:w="1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1.0</w:t>
                  </w:r>
                </w:p>
              </w:tc>
              <w:tc>
                <w:tcPr>
                  <w:tcW w:w="140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1.9</w:t>
                  </w:r>
                </w:p>
              </w:tc>
            </w:tr>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9</w:t>
                  </w:r>
                </w:p>
              </w:tc>
              <w:tc>
                <w:tcPr>
                  <w:tcW w:w="12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8</w:t>
                  </w:r>
                </w:p>
              </w:tc>
              <w:tc>
                <w:tcPr>
                  <w:tcW w:w="1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2.6</w:t>
                  </w:r>
                </w:p>
              </w:tc>
              <w:tc>
                <w:tcPr>
                  <w:tcW w:w="140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1.6</w:t>
                  </w:r>
                </w:p>
              </w:tc>
            </w:tr>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10</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10</w:t>
                  </w:r>
                </w:p>
              </w:tc>
              <w:tc>
                <w:tcPr>
                  <w:tcW w:w="145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4.1</w:t>
                  </w:r>
                </w:p>
              </w:tc>
              <w:tc>
                <w:tcPr>
                  <w:tcW w:w="140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1.5</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11</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12</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6.3</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2.2</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12</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lang w:val="en-US" w:eastAsia="zh-CN"/>
                    </w:rPr>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14</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8.9</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2.6</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13</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17</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10.8</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1.9</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14</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19</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12.4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1.6</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15</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21</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14.1</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1.7</w:t>
                  </w:r>
                </w:p>
              </w:tc>
            </w:tr>
          </w:tbl>
          <w:p>
            <w:pPr>
              <w:rPr>
                <w:b/>
                <w:bCs/>
                <w:i/>
                <w:iCs/>
                <w:sz w:val="20"/>
                <w:szCs w:val="20"/>
                <w:lang w:eastAsia="zh-CN"/>
              </w:rPr>
            </w:pPr>
            <w:r>
              <w:rPr>
                <w:rFonts w:hint="eastAsia"/>
                <w:b/>
                <w:bCs/>
                <w:i/>
                <w:iCs/>
                <w:sz w:val="20"/>
                <w:szCs w:val="20"/>
                <w:lang w:eastAsia="zh-CN"/>
              </w:rPr>
              <w:t>or</w:t>
            </w:r>
          </w:p>
          <w:tbl>
            <w:tblPr>
              <w:tblStyle w:val="47"/>
              <w:tblW w:w="0" w:type="auto"/>
              <w:jc w:val="center"/>
              <w:tblLayout w:type="autofit"/>
              <w:tblCellMar>
                <w:top w:w="0" w:type="dxa"/>
                <w:left w:w="0" w:type="dxa"/>
                <w:bottom w:w="0" w:type="dxa"/>
                <w:right w:w="0" w:type="dxa"/>
              </w:tblCellMar>
            </w:tblPr>
            <w:tblGrid>
              <w:gridCol w:w="1155"/>
              <w:gridCol w:w="1228"/>
              <w:gridCol w:w="1761"/>
              <w:gridCol w:w="1761"/>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pStyle w:val="72"/>
                  </w:pPr>
                  <w: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pPr>
                  <w: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rPr>
                      <w:rFonts w:eastAsia="宋体"/>
                      <w:lang w:val="en-US" w:eastAsia="zh-CN"/>
                    </w:rPr>
                  </w:pPr>
                  <w:r>
                    <w:rPr>
                      <w:rFonts w:hint="eastAsia" w:eastAsia="宋体"/>
                      <w:lang w:val="en-US" w:eastAsia="zh-CN"/>
                    </w:rPr>
                    <w:t>TBS index</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rPr>
                      <w:rFonts w:eastAsia="宋体"/>
                      <w:color w:val="767171" w:themeColor="background2" w:themeShade="80"/>
                      <w:lang w:val="en-US" w:eastAsia="zh-CN"/>
                    </w:rPr>
                  </w:pPr>
                  <w:r>
                    <w:rPr>
                      <w:rFonts w:hint="eastAsia" w:eastAsia="宋体"/>
                      <w:color w:val="767171" w:themeColor="background2" w:themeShade="80"/>
                      <w:lang w:val="en-US" w:eastAsia="zh-CN"/>
                    </w:rPr>
                    <w:t>SNR at BLER of 10% (dB)</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0</w:t>
                  </w:r>
                </w:p>
              </w:tc>
              <w:tc>
                <w:tcPr>
                  <w:tcW w:w="2989"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75"/>
                  </w:pPr>
                  <w:r>
                    <w:t>out of range</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color w:val="767171" w:themeColor="background2" w:themeShade="80"/>
                    </w:rPr>
                  </w:pP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0</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-5.4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2</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-3.1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4</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-0.9</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6</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8</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2.6</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6</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10</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4.1</w:t>
                  </w:r>
                </w:p>
              </w:tc>
            </w:tr>
            <w:tr>
              <w:tblPrEx>
                <w:tblCellMar>
                  <w:top w:w="0" w:type="dxa"/>
                  <w:left w:w="0" w:type="dxa"/>
                  <w:bottom w:w="0" w:type="dxa"/>
                  <w:right w:w="0" w:type="dxa"/>
                </w:tblCellMar>
              </w:tblPrEx>
              <w:trPr>
                <w:trHeight w:val="203" w:hRule="atLeast"/>
                <w:jc w:val="center"/>
              </w:trPr>
              <w:tc>
                <w:tcPr>
                  <w:tcW w:w="1155" w:type="dxa"/>
                  <w:tcBorders>
                    <w:top w:val="single" w:color="auto" w:sz="8" w:space="0"/>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pStyle w:val="75"/>
                  </w:pPr>
                  <w:r>
                    <w:t>7</w:t>
                  </w:r>
                </w:p>
              </w:tc>
              <w:tc>
                <w:tcPr>
                  <w:tcW w:w="1228" w:type="dxa"/>
                  <w:tcBorders>
                    <w:top w:val="single" w:color="auto" w:sz="8" w:space="0"/>
                    <w:left w:val="single" w:color="auto" w:sz="8" w:space="0"/>
                    <w:bottom w:val="double" w:color="auto" w:sz="4"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QPSK</w:t>
                  </w:r>
                </w:p>
              </w:tc>
              <w:tc>
                <w:tcPr>
                  <w:tcW w:w="1761" w:type="dxa"/>
                  <w:tcBorders>
                    <w:top w:val="single" w:color="auto" w:sz="8" w:space="0"/>
                    <w:left w:val="single" w:color="auto" w:sz="8" w:space="0"/>
                    <w:bottom w:val="double" w:color="auto" w:sz="4"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12</w:t>
                  </w:r>
                </w:p>
              </w:tc>
              <w:tc>
                <w:tcPr>
                  <w:tcW w:w="1761" w:type="dxa"/>
                  <w:tcBorders>
                    <w:top w:val="single" w:color="auto" w:sz="8" w:space="0"/>
                    <w:left w:val="single" w:color="auto" w:sz="8" w:space="0"/>
                    <w:bottom w:val="double" w:color="auto" w:sz="4"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6.3</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8</w:t>
                  </w:r>
                </w:p>
              </w:tc>
              <w:tc>
                <w:tcPr>
                  <w:tcW w:w="1228" w:type="dxa"/>
                  <w:tcBorders>
                    <w:top w:val="double" w:color="auto" w:sz="4" w:space="0"/>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double" w:color="auto" w:sz="4" w:space="0"/>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14</w:t>
                  </w:r>
                </w:p>
              </w:tc>
              <w:tc>
                <w:tcPr>
                  <w:tcW w:w="1761" w:type="dxa"/>
                  <w:tcBorders>
                    <w:top w:val="double" w:color="auto" w:sz="4" w:space="0"/>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8.9</w:t>
                  </w:r>
                </w:p>
              </w:tc>
            </w:tr>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9</w:t>
                  </w:r>
                </w:p>
              </w:tc>
              <w:tc>
                <w:tcPr>
                  <w:tcW w:w="12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15</w:t>
                  </w:r>
                </w:p>
              </w:tc>
              <w:tc>
                <w:tcPr>
                  <w:tcW w:w="17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9.5</w:t>
                  </w:r>
                </w:p>
              </w:tc>
            </w:tr>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10</w:t>
                  </w:r>
                </w:p>
              </w:tc>
              <w:tc>
                <w:tcPr>
                  <w:tcW w:w="1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16</w:t>
                  </w:r>
                </w:p>
              </w:tc>
              <w:tc>
                <w:tcPr>
                  <w:tcW w:w="17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9.7</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17</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10.8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18</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11.7</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19</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12.4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20</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13.0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21</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14.1</w:t>
                  </w:r>
                </w:p>
              </w:tc>
            </w:tr>
          </w:tbl>
          <w:p>
            <w:pPr>
              <w:rPr>
                <w:b/>
                <w:bCs/>
                <w:i/>
                <w:iCs/>
                <w:sz w:val="20"/>
                <w:szCs w:val="20"/>
                <w:lang w:eastAsia="zh-CN"/>
              </w:rPr>
            </w:pP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[4]</w:t>
            </w:r>
          </w:p>
        </w:tc>
        <w:tc>
          <w:tcPr>
            <w:tcW w:w="8178" w:type="dxa"/>
          </w:tcPr>
          <w:p>
            <w:pPr>
              <w:spacing w:after="0"/>
              <w:rPr>
                <w:b/>
                <w:bCs/>
                <w:lang w:eastAsia="en-GB"/>
              </w:rPr>
            </w:pPr>
            <w:r>
              <w:rPr>
                <w:b/>
                <w:bCs/>
                <w:lang w:eastAsia="en-GB"/>
              </w:rPr>
              <w:t>Proposal 1: For 16-QAM CQI table, our preferences are</w:t>
            </w:r>
          </w:p>
          <w:p>
            <w:pPr>
              <w:pStyle w:val="67"/>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7"/>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lang w:eastAsia="en-GB"/>
              </w:rPr>
            </w:pPr>
            <w:r>
              <w:rPr>
                <w:b/>
                <w:bCs/>
                <w:lang w:eastAsia="en-GB"/>
              </w:rPr>
              <w:t>Proposal 2: The eNB can configure, via higher-layer signalling, the CQI table to be used by the UE when configured with 16-QAM.</w:t>
            </w:r>
          </w:p>
          <w:p>
            <w:pPr>
              <w:rPr>
                <w:lang w:eastAsia="zh-CN"/>
              </w:rPr>
            </w:pPr>
          </w:p>
          <w:tbl>
            <w:tblPr>
              <w:tblStyle w:val="47"/>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1"/>
              <w:gridCol w:w="21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2"/>
                  </w:pPr>
                  <w:r>
                    <w:t>Reported value</w:t>
                  </w:r>
                </w:p>
              </w:tc>
              <w:tc>
                <w:tcPr>
                  <w:tcW w:w="2151" w:type="dxa"/>
                  <w:tcBorders>
                    <w:top w:val="single" w:color="auto" w:sz="4" w:space="0"/>
                    <w:left w:val="single" w:color="auto" w:sz="4" w:space="0"/>
                    <w:bottom w:val="single" w:color="auto" w:sz="4" w:space="0"/>
                    <w:right w:val="single" w:color="auto" w:sz="4" w:space="0"/>
                  </w:tcBorders>
                  <w:vAlign w:val="center"/>
                </w:tcPr>
                <w:p>
                  <w:pPr>
                    <w:pStyle w:val="72"/>
                  </w:pPr>
                  <w:r>
                    <w:t>NPDCCH repetition level</w:t>
                  </w:r>
                </w:p>
              </w:tc>
              <w:tc>
                <w:tcPr>
                  <w:tcW w:w="2126" w:type="dxa"/>
                  <w:tcBorders>
                    <w:top w:val="single" w:color="auto" w:sz="4" w:space="0"/>
                    <w:left w:val="single" w:color="auto" w:sz="4" w:space="0"/>
                    <w:bottom w:val="single" w:color="auto" w:sz="4" w:space="0"/>
                    <w:right w:val="single" w:color="auto" w:sz="4" w:space="0"/>
                  </w:tcBorders>
                  <w:vAlign w:val="center"/>
                </w:tcPr>
                <w:p>
                  <w:pPr>
                    <w:pStyle w:val="72"/>
                    <w:rPr>
                      <w:color w:val="FF0000"/>
                    </w:rPr>
                  </w:pPr>
                  <w:r>
                    <w:rPr>
                      <w:color w:val="FF0000"/>
                    </w:rPr>
                    <w:t>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pPr>
                  <w:r>
                    <w:t>noMeasurement</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pPr>
                  <w:r>
                    <w:t>No measurement reporting</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rPr>
                  </w:pPr>
                  <w:r>
                    <w:rPr>
                      <w:color w:val="FF0000"/>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candidateRep-A</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candidateRep-B</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2</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candidateRep-C</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4</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candidateRep-D</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8</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candidateRep-E</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16</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candidateRep-F</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32</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candidateRep-G</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64</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candidateRep-H</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candidateRep-I</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candidateRep-J</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candidateRep-K</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candidateRep-L</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candidateRep-M</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tcPr>
                <w:p>
                  <w:pPr>
                    <w:pStyle w:val="75"/>
                    <w:rPr>
                      <w:color w:val="FF0000"/>
                      <w:lang w:eastAsia="ja-JP"/>
                    </w:rPr>
                  </w:pPr>
                  <w:r>
                    <w:rPr>
                      <w:color w:val="FF0000"/>
                      <w:lang w:eastAsia="ja-JP"/>
                    </w:rPr>
                    <w:t>16-QAM, TBS=15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candidateRep-N</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tcPr>
                <w:p>
                  <w:pPr>
                    <w:pStyle w:val="75"/>
                    <w:rPr>
                      <w:color w:val="FF0000"/>
                      <w:lang w:eastAsia="ja-JP"/>
                    </w:rPr>
                  </w:pPr>
                  <w:r>
                    <w:rPr>
                      <w:color w:val="FF0000"/>
                      <w:lang w:eastAsia="ja-JP"/>
                    </w:rPr>
                    <w:t>16-QAM, TBS=18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candidateRep-O</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tcPr>
                <w:p>
                  <w:pPr>
                    <w:pStyle w:val="75"/>
                    <w:rPr>
                      <w:color w:val="FF0000"/>
                      <w:lang w:eastAsia="ja-JP"/>
                    </w:rPr>
                  </w:pPr>
                  <w:r>
                    <w:rPr>
                      <w:color w:val="FF0000"/>
                      <w:lang w:eastAsia="ja-JP"/>
                    </w:rPr>
                    <w:t>16-QAM, TBS=21</w:t>
                  </w:r>
                </w:p>
              </w:tc>
            </w:tr>
          </w:tbl>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[5]</w:t>
            </w:r>
          </w:p>
        </w:tc>
        <w:tc>
          <w:tcPr>
            <w:tcW w:w="8178" w:type="dxa"/>
          </w:tcPr>
          <w:p>
            <w:pPr>
              <w:rPr>
                <w:b/>
                <w:bCs/>
              </w:rPr>
            </w:pPr>
            <w:r>
              <w:rPr>
                <w:b/>
                <w:bCs/>
                <w:u w:val="single"/>
              </w:rPr>
              <w:t xml:space="preserve">Proposal 3: </w:t>
            </w:r>
            <w:r>
              <w:rPr>
                <w:b/>
                <w:bCs/>
              </w:rPr>
              <w:t>The new table (or modified table) for DL quality report is not captured in RAN1 specifications.</w:t>
            </w:r>
          </w:p>
          <w:p>
            <w:pPr>
              <w:pStyle w:val="6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pPr>
              <w:rPr>
                <w:b/>
                <w:bCs/>
              </w:rPr>
            </w:pPr>
            <w:r>
              <w:rPr>
                <w:b/>
                <w:bCs/>
                <w:u w:val="single"/>
              </w:rPr>
              <w:t xml:space="preserve">Proposal 4: </w:t>
            </w:r>
            <w:r>
              <w:rPr>
                <w:b/>
                <w:bCs/>
              </w:rPr>
              <w:t>The DL quality report includes some entries for NPDCCH repetition and some entries for NPDSCH MCS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[6]</w:t>
            </w:r>
          </w:p>
        </w:tc>
        <w:tc>
          <w:tcPr>
            <w:tcW w:w="8178" w:type="dxa"/>
          </w:tcPr>
          <w:p>
            <w:pPr>
              <w:rPr>
                <w:b/>
                <w:i/>
                <w:sz w:val="20"/>
                <w:szCs w:val="20"/>
              </w:rPr>
            </w:pPr>
            <w:r>
              <w:rPr>
                <w:b/>
                <w:i/>
                <w:sz w:val="20"/>
                <w:szCs w:val="20"/>
              </w:rPr>
              <w:t>Proposal 1: Down select the follow options to support CQI reporting for 16QAM:</w:t>
            </w:r>
          </w:p>
          <w:p>
            <w:pPr>
              <w:pStyle w:val="6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pPr>
              <w:pStyle w:val="6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pPr>
              <w:rPr>
                <w:lang w:eastAsia="zh-CN"/>
              </w:rPr>
            </w:pPr>
          </w:p>
          <w:tbl>
            <w:tblPr>
              <w:tblStyle w:val="47"/>
              <w:tblW w:w="6277" w:type="dxa"/>
              <w:jc w:val="center"/>
              <w:tblLayout w:type="autofit"/>
              <w:tblCellMar>
                <w:top w:w="0" w:type="dxa"/>
                <w:left w:w="108" w:type="dxa"/>
                <w:bottom w:w="0" w:type="dxa"/>
                <w:right w:w="108" w:type="dxa"/>
              </w:tblCellMar>
            </w:tblPr>
            <w:tblGrid>
              <w:gridCol w:w="1516"/>
              <w:gridCol w:w="1979"/>
              <w:gridCol w:w="1280"/>
              <w:gridCol w:w="1502"/>
            </w:tblGrid>
            <w:tr>
              <w:tblPrEx>
                <w:tblCellMar>
                  <w:top w:w="0" w:type="dxa"/>
                  <w:left w:w="108" w:type="dxa"/>
                  <w:bottom w:w="0" w:type="dxa"/>
                  <w:right w:w="108" w:type="dxa"/>
                </w:tblCellMar>
              </w:tblPrEx>
              <w:trPr>
                <w:trHeight w:val="297" w:hRule="atLeast"/>
                <w:jc w:val="center"/>
              </w:trPr>
              <w:tc>
                <w:tcPr>
                  <w:tcW w:w="151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　</w:t>
                  </w:r>
                </w:p>
              </w:tc>
              <w:tc>
                <w:tcPr>
                  <w:tcW w:w="197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NPDSCH</w:t>
                  </w:r>
                </w:p>
              </w:tc>
            </w:tr>
            <w:tr>
              <w:tblPrEx>
                <w:tblCellMar>
                  <w:top w:w="0" w:type="dxa"/>
                  <w:left w:w="108" w:type="dxa"/>
                  <w:bottom w:w="0" w:type="dxa"/>
                  <w:right w:w="108" w:type="dxa"/>
                </w:tblCellMar>
              </w:tblPrEx>
              <w:trPr>
                <w:trHeight w:val="285" w:hRule="atLeast"/>
                <w:jc w:val="center"/>
              </w:trPr>
              <w:tc>
                <w:tcPr>
                  <w:tcW w:w="1516"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20"/>
                      <w:szCs w:val="20"/>
                      <w:lang w:eastAsia="zh-CN"/>
                    </w:rPr>
                  </w:pPr>
                </w:p>
              </w:tc>
              <w:tc>
                <w:tcPr>
                  <w:tcW w:w="1979"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20"/>
                      <w:szCs w:val="20"/>
                      <w:lang w:eastAsia="zh-CN"/>
                    </w:rPr>
                  </w:pP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Code rate x 1024</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noMeasurement</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candidateRep-A</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candidateRep-B</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2</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candidateRep-C</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4</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candidateRep-D</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8</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candidateRep-E</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candidateRep-F</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32</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candidateRep-G</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64</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candidateRep-H</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candidateRep-I</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256</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candidateRep-J</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512</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candidateRep-K</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1024</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candidateRep-L</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2048</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candidate-M</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candidate-N</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candidate-O</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candidate-P</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candidate-Q</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candidate-S</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[7]</w:t>
            </w:r>
          </w:p>
        </w:tc>
        <w:tc>
          <w:tcPr>
            <w:tcW w:w="8178" w:type="dxa"/>
          </w:tcPr>
          <w:p>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rPr>
                    <w:t>1</w:t>
                  </w: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[8]</w:t>
            </w:r>
          </w:p>
        </w:tc>
        <w:tc>
          <w:tcPr>
            <w:tcW w:w="8178" w:type="dxa"/>
          </w:tcPr>
          <w:p>
            <w:pPr>
              <w:pStyle w:val="157"/>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pPr>
              <w:pStyle w:val="157"/>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pPr>
              <w:pStyle w:val="157"/>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pPr>
              <w:pStyle w:val="157"/>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End w:id="20"/>
            <w:bookmarkStart w:id="21" w:name="_Toc86954057"/>
          </w:p>
          <w:p>
            <w:pPr>
              <w:pStyle w:val="157"/>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pPr>
              <w:pStyle w:val="157"/>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pPr>
              <w:pStyle w:val="157"/>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pPr>
              <w:pStyle w:val="157"/>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Style w:val="47"/>
              <w:tblW w:w="6621"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618"/>
              <w:gridCol w:w="601"/>
              <w:gridCol w:w="738"/>
              <w:gridCol w:w="569"/>
              <w:gridCol w:w="518"/>
              <w:gridCol w:w="738"/>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Reported value</w:t>
                  </w:r>
                </w:p>
              </w:tc>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NPDCCH repetition level</w:t>
                  </w:r>
                </w:p>
              </w:tc>
              <w:tc>
                <w:tcPr>
                  <w:tcW w:w="0" w:type="auto"/>
                  <w:gridSpan w:val="6"/>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16-QAM CQI index with 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0" w:type="auto"/>
                  <w:gridSpan w:val="6"/>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rPr>
                  </w:pPr>
                  <w:r>
                    <w:rPr>
                      <w:sz w:val="14"/>
                      <w:szCs w:val="16"/>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restart"/>
                  <w:tcBorders>
                    <w:top w:val="single" w:color="auto" w:sz="4" w:space="0"/>
                    <w:left w:val="single" w:color="auto" w:sz="4" w:space="0"/>
                    <w:right w:val="single" w:color="auto" w:sz="4" w:space="0"/>
                  </w:tcBorders>
                  <w:textDirection w:val="btLr"/>
                </w:tcPr>
                <w:p>
                  <w:pPr>
                    <w:pStyle w:val="75"/>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color="auto" w:sz="4" w:space="0"/>
                    <w:left w:val="single" w:color="auto" w:sz="4" w:space="0"/>
                    <w:right w:val="single" w:color="auto" w:sz="4" w:space="0"/>
                  </w:tcBorders>
                </w:tcPr>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sv-SE" w:eastAsia="ja-JP"/>
                    </w:rPr>
                  </w:pPr>
                  <w:r>
                    <w:rPr>
                      <w:sz w:val="14"/>
                      <w:szCs w:val="16"/>
                      <w:lang w:val="sv-SE" w:eastAsia="ja-JP"/>
                    </w:rPr>
                    <w:t>QPSK</w:t>
                  </w: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pPr>
                    <w:pStyle w:val="75"/>
                    <w:rPr>
                      <w:sz w:val="14"/>
                      <w:szCs w:val="16"/>
                      <w:lang w:val="sv-SE" w:eastAsia="ja-JP"/>
                    </w:rPr>
                  </w:pPr>
                </w:p>
              </w:tc>
              <w:tc>
                <w:tcPr>
                  <w:tcW w:w="518" w:type="dxa"/>
                  <w:vMerge w:val="restart"/>
                  <w:tcBorders>
                    <w:top w:val="single" w:color="auto" w:sz="4" w:space="0"/>
                    <w:left w:val="single" w:color="auto" w:sz="4" w:space="0"/>
                    <w:right w:val="single" w:color="auto" w:sz="4" w:space="0"/>
                  </w:tcBorders>
                  <w:textDirection w:val="btLr"/>
                </w:tcPr>
                <w:p>
                  <w:pPr>
                    <w:pStyle w:val="75"/>
                    <w:ind w:left="113" w:right="113"/>
                    <w:rPr>
                      <w:sz w:val="14"/>
                      <w:szCs w:val="16"/>
                      <w:lang w:val="sv-SE" w:eastAsia="ja-JP"/>
                    </w:rPr>
                  </w:pPr>
                  <w:r>
                    <w:rPr>
                      <w:sz w:val="14"/>
                      <w:szCs w:val="16"/>
                      <w:lang w:val="sv-SE" w:eastAsia="ja-JP"/>
                    </w:rPr>
                    <w:t>In-Band Deployments</w:t>
                  </w:r>
                </w:p>
              </w:tc>
              <w:tc>
                <w:tcPr>
                  <w:tcW w:w="606" w:type="dxa"/>
                  <w:vMerge w:val="restart"/>
                  <w:tcBorders>
                    <w:top w:val="single" w:color="auto" w:sz="4" w:space="0"/>
                    <w:left w:val="single" w:color="auto" w:sz="4" w:space="0"/>
                    <w:right w:val="single" w:color="auto" w:sz="4" w:space="0"/>
                  </w:tcBorders>
                </w:tcPr>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r>
                    <w:rPr>
                      <w:sz w:val="14"/>
                      <w:szCs w:val="16"/>
                      <w:lang w:val="sv-SE" w:eastAsia="ja-JP"/>
                    </w:rPr>
                    <w:t>QPSK</w:t>
                  </w: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601" w:type="dxa"/>
                  <w:vMerge w:val="continue"/>
                  <w:tcBorders>
                    <w:top w:val="single" w:color="auto" w:sz="4" w:space="0"/>
                    <w:left w:val="single" w:color="auto" w:sz="4" w:space="0"/>
                    <w:right w:val="single" w:color="auto" w:sz="4" w:space="0"/>
                  </w:tcBorders>
                  <w:textDirection w:val="btLr"/>
                </w:tcPr>
                <w:p>
                  <w:pPr>
                    <w:pStyle w:val="75"/>
                    <w:ind w:left="113" w:right="113"/>
                    <w:rPr>
                      <w:sz w:val="14"/>
                      <w:szCs w:val="16"/>
                      <w:lang w:val="en-US" w:eastAsia="ja-JP"/>
                    </w:rPr>
                  </w:pPr>
                </w:p>
              </w:tc>
              <w:tc>
                <w:tcPr>
                  <w:tcW w:w="606" w:type="dxa"/>
                  <w:vMerge w:val="continue"/>
                  <w:tcBorders>
                    <w:top w:val="single" w:color="auto" w:sz="4" w:space="0"/>
                    <w:left w:val="single" w:color="auto" w:sz="4" w:space="0"/>
                    <w:right w:val="single" w:color="auto" w:sz="4" w:space="0"/>
                  </w:tcBorders>
                </w:tcPr>
                <w:p>
                  <w:pPr>
                    <w:pStyle w:val="75"/>
                    <w:rPr>
                      <w:sz w:val="14"/>
                      <w:szCs w:val="16"/>
                      <w:lang w:val="sv-SE"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pPr>
                    <w:pStyle w:val="75"/>
                    <w:rPr>
                      <w:sz w:val="14"/>
                      <w:szCs w:val="16"/>
                      <w:lang w:val="sv-SE" w:eastAsia="ja-JP"/>
                    </w:rPr>
                  </w:pPr>
                </w:p>
              </w:tc>
              <w:tc>
                <w:tcPr>
                  <w:tcW w:w="518" w:type="dxa"/>
                  <w:vMerge w:val="continue"/>
                  <w:tcBorders>
                    <w:top w:val="single" w:color="auto" w:sz="4" w:space="0"/>
                    <w:left w:val="single" w:color="auto" w:sz="4" w:space="0"/>
                    <w:right w:val="single" w:color="auto" w:sz="4" w:space="0"/>
                  </w:tcBorders>
                  <w:textDirection w:val="btLr"/>
                </w:tcPr>
                <w:p>
                  <w:pPr>
                    <w:pStyle w:val="75"/>
                    <w:ind w:left="113" w:right="113"/>
                    <w:rPr>
                      <w:sz w:val="14"/>
                      <w:szCs w:val="16"/>
                      <w:lang w:val="sv-SE" w:eastAsia="ja-JP"/>
                    </w:rPr>
                  </w:pPr>
                </w:p>
              </w:tc>
              <w:tc>
                <w:tcPr>
                  <w:tcW w:w="606" w:type="dxa"/>
                  <w:vMerge w:val="continue"/>
                  <w:tcBorders>
                    <w:top w:val="single" w:color="auto" w:sz="4" w:space="0"/>
                    <w:left w:val="single" w:color="auto" w:sz="4" w:space="0"/>
                    <w:right w:val="single" w:color="auto" w:sz="4" w:space="0"/>
                  </w:tcBorders>
                </w:tcPr>
                <w:p>
                  <w:pPr>
                    <w:pStyle w:val="75"/>
                    <w:rPr>
                      <w:sz w:val="14"/>
                      <w:szCs w:val="16"/>
                      <w:lang w:val="sv-SE"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pPr>
                    <w:pStyle w:val="75"/>
                    <w:rPr>
                      <w:sz w:val="14"/>
                      <w:szCs w:val="16"/>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restart"/>
                  <w:tcBorders>
                    <w:top w:val="single" w:color="auto" w:sz="4" w:space="0"/>
                    <w:left w:val="single" w:color="auto" w:sz="4" w:space="0"/>
                    <w:right w:val="single" w:color="auto" w:sz="4" w:space="0"/>
                  </w:tcBorders>
                </w:tcPr>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r>
                    <w:rPr>
                      <w:sz w:val="14"/>
                      <w:szCs w:val="16"/>
                      <w:lang w:val="sv-SE" w:eastAsia="ja-JP"/>
                    </w:rPr>
                    <w:t>16-QAM</w:t>
                  </w: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restart"/>
                  <w:tcBorders>
                    <w:top w:val="single" w:color="auto" w:sz="4" w:space="0"/>
                    <w:left w:val="single" w:color="auto" w:sz="4" w:space="0"/>
                    <w:right w:val="single" w:color="auto" w:sz="4" w:space="0"/>
                  </w:tcBorders>
                </w:tcPr>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r>
                    <w:rPr>
                      <w:sz w:val="14"/>
                      <w:szCs w:val="16"/>
                      <w:lang w:val="sv-SE" w:eastAsia="ja-JP"/>
                    </w:rPr>
                    <w:t>16-QAM</w:t>
                  </w: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pPr>
                    <w:pStyle w:val="75"/>
                    <w:rPr>
                      <w:sz w:val="14"/>
                      <w:szCs w:val="16"/>
                      <w:lang w:eastAsia="ja-JP"/>
                    </w:rPr>
                  </w:pPr>
                </w:p>
              </w:tc>
              <w:tc>
                <w:tcPr>
                  <w:tcW w:w="518"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pPr>
                    <w:pStyle w:val="75"/>
                    <w:rPr>
                      <w:sz w:val="14"/>
                      <w:szCs w:val="16"/>
                      <w:lang w:eastAsia="ja-JP"/>
                    </w:rPr>
                  </w:pPr>
                </w:p>
              </w:tc>
            </w:tr>
          </w:tbl>
          <w:p>
            <w:pPr>
              <w:tabs>
                <w:tab w:val="left" w:pos="1701"/>
              </w:tabs>
              <w:overflowPunct w:val="0"/>
              <w:snapToGrid/>
              <w:spacing w:line="240" w:lineRule="auto"/>
              <w:jc w:val="left"/>
              <w:textAlignment w:val="baseline"/>
              <w:rPr>
                <w:rFonts w:ascii="Arial" w:hAnsi="Arial"/>
                <w:b/>
                <w:bCs/>
                <w:sz w:val="20"/>
                <w:szCs w:val="20"/>
                <w:lang w:val="en-GB" w:eastAsia="zh-CN"/>
              </w:rPr>
            </w:pPr>
          </w:p>
          <w:p>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Style w:val="47"/>
              <w:tblW w:w="0" w:type="auto"/>
              <w:tblInd w:w="4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Reported value</w:t>
                  </w:r>
                </w:p>
              </w:tc>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NPDCCH repetition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candidateRep-G</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2048</w:t>
                  </w:r>
                </w:p>
              </w:tc>
            </w:tr>
          </w:tbl>
          <w:p>
            <w:pPr>
              <w:pStyle w:val="157"/>
              <w:numPr>
                <w:ilvl w:val="0"/>
                <w:numId w:val="0"/>
              </w:numPr>
              <w:spacing w:line="240" w:lineRule="auto"/>
            </w:pPr>
          </w:p>
        </w:tc>
      </w:tr>
    </w:tbl>
    <w:p>
      <w:pPr>
        <w:spacing w:before="120" w:line="240" w:lineRule="auto"/>
        <w:rPr>
          <w:lang w:eastAsia="zh-CN"/>
        </w:rPr>
      </w:pPr>
    </w:p>
    <w:p>
      <w:pPr>
        <w:spacing w:line="240" w:lineRule="auto"/>
        <w:rPr>
          <w:lang w:eastAsia="zh-CN"/>
        </w:rPr>
      </w:pPr>
      <w:r>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pPr>
        <w:spacing w:line="240" w:lineRule="auto"/>
        <w:rPr>
          <w:lang w:eastAsia="zh-CN"/>
        </w:rPr>
      </w:pPr>
      <w:r>
        <w:rPr>
          <w:rFonts w:hint="eastAsia"/>
          <w:lang w:eastAsia="zh-CN"/>
        </w:rPr>
        <w:t>The coding rate and efficiency of NB-IoT MCS are l</w:t>
      </w:r>
      <w:r>
        <w:rPr>
          <w:lang w:eastAsia="zh-CN"/>
        </w:rPr>
        <w:t>isted in Appendix A.1.</w:t>
      </w:r>
    </w:p>
    <w:p>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203"/>
        <w:gridCol w:w="1232"/>
        <w:gridCol w:w="838"/>
        <w:gridCol w:w="104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203"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110" w:type="dxa"/>
            <w:gridSpan w:val="3"/>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696" w:type="dxa"/>
            <w:vMerge w:val="restart"/>
            <w:tcBorders>
              <w:top w:val="single" w:color="auto" w:sz="4" w:space="0"/>
              <w:left w:val="single" w:color="auto" w:sz="4" w:space="0"/>
              <w:right w:val="single" w:color="auto" w:sz="4" w:space="0"/>
            </w:tcBorders>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03"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32" w:type="dxa"/>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M</w:t>
            </w:r>
            <w:r>
              <w:rPr>
                <w:rFonts w:hint="eastAsia"/>
                <w:sz w:val="14"/>
                <w:szCs w:val="16"/>
              </w:rPr>
              <w:t>odulation</w:t>
            </w:r>
          </w:p>
        </w:tc>
        <w:tc>
          <w:tcPr>
            <w:tcW w:w="838" w:type="dxa"/>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color="auto" w:sz="4" w:space="0"/>
              <w:left w:val="single" w:color="auto" w:sz="4" w:space="0"/>
              <w:bottom w:val="single" w:color="auto" w:sz="4" w:space="0"/>
              <w:right w:val="single" w:color="auto" w:sz="4" w:space="0"/>
            </w:tcBorders>
          </w:tcPr>
          <w:p>
            <w:pPr>
              <w:pStyle w:val="72"/>
              <w:rPr>
                <w:sz w:val="14"/>
                <w:szCs w:val="16"/>
              </w:rPr>
            </w:pPr>
            <w:r>
              <w:rPr>
                <w:rFonts w:hint="eastAsia"/>
                <w:sz w:val="14"/>
                <w:szCs w:val="16"/>
              </w:rPr>
              <w:t>Efficiency</w:t>
            </w:r>
          </w:p>
        </w:tc>
        <w:tc>
          <w:tcPr>
            <w:tcW w:w="1696" w:type="dxa"/>
            <w:vMerge w:val="continue"/>
            <w:tcBorders>
              <w:left w:val="single" w:color="auto" w:sz="4" w:space="0"/>
              <w:bottom w:val="single" w:color="auto" w:sz="4" w:space="0"/>
              <w:right w:val="single" w:color="auto" w:sz="4" w:space="0"/>
            </w:tcBorders>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110" w:type="dxa"/>
            <w:gridSpan w:val="3"/>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QPSK (TBS index 4)</w:t>
            </w:r>
          </w:p>
        </w:tc>
        <w:tc>
          <w:tcPr>
            <w:tcW w:w="838"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040"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232" w:type="dxa"/>
            <w:tcBorders>
              <w:top w:val="single" w:color="auto" w:sz="4" w:space="0"/>
              <w:left w:val="single" w:color="auto" w:sz="4" w:space="0"/>
              <w:bottom w:val="single" w:color="auto" w:sz="4" w:space="0"/>
              <w:right w:val="single" w:color="auto" w:sz="4" w:space="0"/>
            </w:tcBorders>
          </w:tcPr>
          <w:p>
            <w:pPr>
              <w:pStyle w:val="75"/>
              <w:rPr>
                <w:color w:val="AFABAB" w:themeColor="background2" w:themeShade="BF"/>
                <w:sz w:val="14"/>
                <w:szCs w:val="16"/>
                <w:lang w:eastAsia="ja-JP"/>
              </w:rPr>
            </w:pPr>
            <w:r>
              <w:rPr>
                <w:rFonts w:hint="eastAsia" w:eastAsia="MS Mincho"/>
                <w:color w:val="AFABAB" w:themeColor="background2" w:themeShade="BF"/>
                <w:sz w:val="14"/>
                <w:szCs w:val="16"/>
                <w:lang w:eastAsia="ja-JP"/>
              </w:rPr>
              <w:t xml:space="preserve">QPSK (TBS index </w:t>
            </w:r>
            <w:r>
              <w:rPr>
                <w:rFonts w:eastAsia="MS Mincho"/>
                <w:color w:val="AFABAB" w:themeColor="background2" w:themeShade="BF"/>
                <w:sz w:val="14"/>
                <w:szCs w:val="16"/>
                <w:lang w:eastAsia="ja-JP"/>
              </w:rPr>
              <w:t>2</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040"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232" w:type="dxa"/>
            <w:tcBorders>
              <w:top w:val="single" w:color="auto" w:sz="4" w:space="0"/>
              <w:left w:val="single" w:color="auto" w:sz="4" w:space="0"/>
              <w:bottom w:val="single" w:color="auto" w:sz="4" w:space="0"/>
              <w:right w:val="single" w:color="auto" w:sz="4" w:space="0"/>
            </w:tcBorders>
          </w:tcPr>
          <w:p>
            <w:pPr>
              <w:pStyle w:val="75"/>
              <w:rPr>
                <w:color w:val="AFABAB" w:themeColor="background2" w:themeShade="BF"/>
                <w:sz w:val="14"/>
                <w:szCs w:val="16"/>
                <w:lang w:eastAsia="ja-JP"/>
              </w:rPr>
            </w:pPr>
            <w:r>
              <w:rPr>
                <w:rFonts w:hint="eastAsia" w:eastAsia="MS Mincho"/>
                <w:color w:val="AFABAB" w:themeColor="background2" w:themeShade="BF"/>
                <w:sz w:val="14"/>
                <w:szCs w:val="16"/>
                <w:lang w:eastAsia="ja-JP"/>
              </w:rPr>
              <w:t xml:space="preserve">QPSK (TBS index </w:t>
            </w:r>
            <w:r>
              <w:rPr>
                <w:rFonts w:eastAsia="MS Mincho"/>
                <w:color w:val="AFABAB" w:themeColor="background2" w:themeShade="BF"/>
                <w:sz w:val="14"/>
                <w:szCs w:val="16"/>
                <w:lang w:eastAsia="ja-JP"/>
              </w:rPr>
              <w:t>0</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040"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232" w:type="dxa"/>
            <w:tcBorders>
              <w:top w:val="single" w:color="auto" w:sz="4" w:space="0"/>
              <w:left w:val="single" w:color="auto" w:sz="4" w:space="0"/>
              <w:bottom w:val="single" w:color="auto" w:sz="4" w:space="0"/>
              <w:right w:val="single" w:color="auto" w:sz="4" w:space="0"/>
            </w:tcBorders>
          </w:tcPr>
          <w:p>
            <w:pPr>
              <w:pStyle w:val="75"/>
              <w:rPr>
                <w:color w:val="AFABAB" w:themeColor="background2" w:themeShade="BF"/>
                <w:sz w:val="14"/>
                <w:szCs w:val="16"/>
                <w:lang w:eastAsia="ja-JP"/>
              </w:rPr>
            </w:pPr>
            <w:r>
              <w:rPr>
                <w:rFonts w:hint="eastAsia" w:eastAsia="MS Mincho"/>
                <w:color w:val="AFABAB" w:themeColor="background2" w:themeShade="BF"/>
                <w:sz w:val="14"/>
                <w:szCs w:val="16"/>
                <w:lang w:eastAsia="ja-JP"/>
              </w:rPr>
              <w:t xml:space="preserve">QPSK (TBS index </w:t>
            </w:r>
            <w:r>
              <w:rPr>
                <w:rFonts w:eastAsia="MS Mincho"/>
                <w:color w:val="AFABAB" w:themeColor="background2" w:themeShade="BF"/>
                <w:sz w:val="14"/>
                <w:szCs w:val="16"/>
                <w:lang w:eastAsia="ja-JP"/>
              </w:rPr>
              <w:t>0, repetition 2</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040"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1232" w:type="dxa"/>
            <w:tcBorders>
              <w:top w:val="single" w:color="auto" w:sz="4" w:space="0"/>
              <w:left w:val="single" w:color="auto" w:sz="4" w:space="0"/>
              <w:bottom w:val="single" w:color="auto" w:sz="4" w:space="0"/>
              <w:right w:val="single" w:color="auto" w:sz="4" w:space="0"/>
            </w:tcBorders>
          </w:tcPr>
          <w:p>
            <w:pPr>
              <w:pStyle w:val="75"/>
              <w:rPr>
                <w:color w:val="AFABAB" w:themeColor="background2" w:themeShade="BF"/>
                <w:sz w:val="14"/>
                <w:szCs w:val="16"/>
                <w:lang w:eastAsia="ja-JP"/>
              </w:rPr>
            </w:pPr>
            <w:r>
              <w:rPr>
                <w:rFonts w:hint="eastAsia" w:eastAsia="MS Mincho"/>
                <w:color w:val="AFABAB" w:themeColor="background2" w:themeShade="BF"/>
                <w:sz w:val="14"/>
                <w:szCs w:val="16"/>
                <w:lang w:eastAsia="ja-JP"/>
              </w:rPr>
              <w:t xml:space="preserve">QPSK (TBS index </w:t>
            </w:r>
            <w:r>
              <w:rPr>
                <w:rFonts w:eastAsia="MS Mincho"/>
                <w:color w:val="AFABAB" w:themeColor="background2" w:themeShade="BF"/>
                <w:sz w:val="14"/>
                <w:szCs w:val="16"/>
                <w:lang w:eastAsia="ja-JP"/>
              </w:rPr>
              <w:t>0, repetition 4</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040"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1232" w:type="dxa"/>
            <w:tcBorders>
              <w:top w:val="single" w:color="auto" w:sz="4" w:space="0"/>
              <w:left w:val="single" w:color="auto" w:sz="4" w:space="0"/>
              <w:bottom w:val="single" w:color="auto" w:sz="4" w:space="0"/>
              <w:right w:val="single" w:color="auto" w:sz="4" w:space="0"/>
            </w:tcBorders>
          </w:tcPr>
          <w:p>
            <w:pPr>
              <w:pStyle w:val="75"/>
              <w:rPr>
                <w:color w:val="AFABAB" w:themeColor="background2" w:themeShade="BF"/>
                <w:sz w:val="14"/>
                <w:szCs w:val="16"/>
                <w:lang w:eastAsia="ja-JP"/>
              </w:rPr>
            </w:pPr>
            <w:r>
              <w:rPr>
                <w:rFonts w:hint="eastAsia" w:eastAsia="MS Mincho"/>
                <w:color w:val="AFABAB" w:themeColor="background2" w:themeShade="BF"/>
                <w:sz w:val="14"/>
                <w:szCs w:val="16"/>
                <w:lang w:eastAsia="ja-JP"/>
              </w:rPr>
              <w:t xml:space="preserve">QPSK (TBS index </w:t>
            </w:r>
            <w:r>
              <w:rPr>
                <w:rFonts w:eastAsia="MS Mincho"/>
                <w:color w:val="AFABAB" w:themeColor="background2" w:themeShade="BF"/>
                <w:sz w:val="14"/>
                <w:szCs w:val="16"/>
                <w:lang w:eastAsia="ja-JP"/>
              </w:rPr>
              <w:t>0, repetition 8</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040"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6)</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336.8</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0.6579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1.0 dB ([</w:t>
            </w:r>
            <w:r>
              <w:rPr>
                <w:rFonts w:eastAsia="MS Mincho"/>
                <w:sz w:val="14"/>
                <w:szCs w:val="16"/>
                <w:lang w:val="sv-SE"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8)</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453.6</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0.8860</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10)</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579.4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1.1316</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12)</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759</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1.4825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eastAsia="MS Mincho"/>
                <w:sz w:val="14"/>
                <w:szCs w:val="16"/>
                <w:lang w:val="sv-SE" w:eastAsia="ja-JP"/>
              </w:rPr>
              <w:t>6</w:t>
            </w:r>
            <w:r>
              <w:rPr>
                <w:rFonts w:hint="eastAsia" w:eastAsia="MS Mincho"/>
                <w:sz w:val="14"/>
                <w:szCs w:val="16"/>
                <w:lang w:val="sv-SE"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16QAM (TBS index 14)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487.3</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1.9035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16QAM (TBS index 1</w:t>
            </w:r>
            <w:r>
              <w:rPr>
                <w:rFonts w:eastAsia="MS Mincho"/>
                <w:sz w:val="14"/>
                <w:szCs w:val="16"/>
                <w:lang w:val="sv-SE" w:eastAsia="ja-JP"/>
              </w:rPr>
              <w:t>6</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541.2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2.1140</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18</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658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2.5702</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eastAsia="MS Mincho"/>
                <w:sz w:val="14"/>
                <w:szCs w:val="16"/>
                <w:lang w:val="sv-SE" w:eastAsia="ja-JP"/>
              </w:rPr>
              <w:t>11</w:t>
            </w:r>
            <w:r>
              <w:rPr>
                <w:rFonts w:hint="eastAsia" w:eastAsia="MS Mincho"/>
                <w:sz w:val="14"/>
                <w:szCs w:val="16"/>
                <w:lang w:val="sv-SE"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20</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783.7</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3.0614</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21</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837.6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3.2719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14.1 dB ([3])</w:t>
            </w:r>
          </w:p>
        </w:tc>
      </w:tr>
    </w:tbl>
    <w:p>
      <w:pPr>
        <w:spacing w:line="240" w:lineRule="auto"/>
        <w:rPr>
          <w:lang w:eastAsia="zh-CN"/>
        </w:rPr>
      </w:pPr>
    </w:p>
    <w:p>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155"/>
        <w:gridCol w:w="1116"/>
        <w:gridCol w:w="112"/>
        <w:gridCol w:w="1761"/>
        <w:gridCol w:w="1761"/>
        <w:gridCol w:w="1151"/>
        <w:gridCol w:w="11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gridSpan w:val="2"/>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pPr>
              <w:keepNext/>
              <w:keepLines/>
              <w:spacing w:after="0"/>
              <w:jc w:val="center"/>
              <w:rPr>
                <w:rFonts w:ascii="Arial" w:hAnsi="Arial"/>
                <w:b/>
                <w:sz w:val="18"/>
              </w:rPr>
            </w:pPr>
            <w:r>
              <w:rPr>
                <w:rFonts w:hint="eastAsia" w:ascii="Arial" w:hAnsi="Arial"/>
                <w:b/>
                <w:sz w:val="18"/>
              </w:rPr>
              <w:t>Repetition number</w:t>
            </w:r>
          </w:p>
        </w:tc>
        <w:tc>
          <w:tcPr>
            <w:tcW w:w="1761" w:type="dxa"/>
            <w:shd w:val="clear" w:color="auto" w:fill="E0E0E0"/>
            <w:tcMar>
              <w:top w:w="0" w:type="dxa"/>
              <w:left w:w="108" w:type="dxa"/>
              <w:bottom w:w="0" w:type="dxa"/>
              <w:right w:w="108" w:type="dxa"/>
            </w:tcMar>
          </w:tcPr>
          <w:p>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pPr>
              <w:keepNext/>
              <w:keepLines/>
              <w:spacing w:after="0"/>
              <w:jc w:val="center"/>
              <w:rPr>
                <w:rFonts w:ascii="Arial" w:hAnsi="Arial"/>
                <w:b/>
                <w:sz w:val="18"/>
              </w:rPr>
            </w:pPr>
            <w:r>
              <w:rPr>
                <w:rFonts w:hint="eastAsia" w:ascii="Arial" w:hAnsi="Arial"/>
                <w:b/>
                <w:sz w:val="18"/>
              </w:rPr>
              <w:t>SNR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After w:val="5"/>
          <w:wAfter w:w="5901" w:type="dxa"/>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1116" w:type="dxa"/>
          </w:tcPr>
          <w:p>
            <w:pPr>
              <w:keepNext/>
              <w:keepLines/>
              <w:spacing w:after="0"/>
              <w:jc w:val="center"/>
              <w:rPr>
                <w:rFonts w:ascii="Arial" w:hAnsi="Arial"/>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TBS index 0</w:t>
            </w:r>
          </w:p>
        </w:tc>
        <w:tc>
          <w:tcPr>
            <w:tcW w:w="1761" w:type="dxa"/>
          </w:tcPr>
          <w:p>
            <w:pPr>
              <w:keepNext/>
              <w:keepLines/>
              <w:spacing w:after="0"/>
              <w:jc w:val="center"/>
              <w:rPr>
                <w:rFonts w:ascii="Arial" w:hAnsi="Arial"/>
                <w:sz w:val="18"/>
              </w:rPr>
            </w:pPr>
            <w:r>
              <w:rPr>
                <w:rFonts w:hint="eastAsia" w:ascii="Arial" w:hAnsi="Arial"/>
                <w:sz w:val="18"/>
              </w:rPr>
              <w:t>2</w:t>
            </w:r>
          </w:p>
        </w:tc>
        <w:tc>
          <w:tcPr>
            <w:tcW w:w="176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0.0789</w:t>
            </w:r>
          </w:p>
        </w:tc>
        <w:tc>
          <w:tcPr>
            <w:tcW w:w="1116" w:type="dxa"/>
          </w:tcPr>
          <w:p>
            <w:pPr>
              <w:keepNext/>
              <w:keepLines/>
              <w:spacing w:after="0"/>
              <w:jc w:val="center"/>
              <w:rPr>
                <w:rFonts w:ascii="Arial" w:hAnsi="Arial"/>
                <w:sz w:val="18"/>
              </w:rPr>
            </w:pPr>
            <w:r>
              <w:rPr>
                <w:rFonts w:hint="eastAsia" w:ascii="Arial" w:hAnsi="Arial"/>
                <w:sz w:val="18"/>
              </w:rPr>
              <w:t>-8.4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TBS index 0</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0.1579</w:t>
            </w:r>
          </w:p>
        </w:tc>
        <w:tc>
          <w:tcPr>
            <w:tcW w:w="1116" w:type="dxa"/>
          </w:tcPr>
          <w:p>
            <w:pPr>
              <w:keepNext/>
              <w:keepLines/>
              <w:spacing w:after="0"/>
              <w:jc w:val="center"/>
              <w:rPr>
                <w:rFonts w:ascii="Arial" w:hAnsi="Arial"/>
                <w:sz w:val="18"/>
              </w:rPr>
            </w:pPr>
            <w:r>
              <w:rPr>
                <w:rFonts w:hint="eastAsia" w:ascii="Arial" w:hAnsi="Arial"/>
                <w:sz w:val="18"/>
              </w:rPr>
              <w:t>-5.4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2</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0.2737</w:t>
            </w:r>
          </w:p>
        </w:tc>
        <w:tc>
          <w:tcPr>
            <w:tcW w:w="1116" w:type="dxa"/>
          </w:tcPr>
          <w:p>
            <w:pPr>
              <w:keepNext/>
              <w:keepLines/>
              <w:spacing w:after="0"/>
              <w:jc w:val="center"/>
              <w:rPr>
                <w:rFonts w:ascii="Arial" w:hAnsi="Arial"/>
                <w:sz w:val="18"/>
              </w:rPr>
            </w:pPr>
            <w:r>
              <w:rPr>
                <w:rFonts w:hint="eastAsia" w:ascii="Arial" w:hAnsi="Arial"/>
                <w:sz w:val="18"/>
              </w:rPr>
              <w:t>-3.1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4</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0.4316</w:t>
            </w:r>
          </w:p>
        </w:tc>
        <w:tc>
          <w:tcPr>
            <w:tcW w:w="1116" w:type="dxa"/>
          </w:tcPr>
          <w:p>
            <w:pPr>
              <w:keepNext/>
              <w:keepLines/>
              <w:spacing w:after="0"/>
              <w:jc w:val="center"/>
              <w:rPr>
                <w:rFonts w:ascii="Arial" w:hAnsi="Arial"/>
                <w:sz w:val="18"/>
              </w:rPr>
            </w:pPr>
            <w:r>
              <w:rPr>
                <w:rFonts w:hint="eastAsia" w:ascii="Arial" w:hAnsi="Arial"/>
                <w:sz w:val="18"/>
              </w:rPr>
              <w:t>-0.9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6</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0.6632</w:t>
            </w:r>
          </w:p>
        </w:tc>
        <w:tc>
          <w:tcPr>
            <w:tcW w:w="1116" w:type="dxa"/>
          </w:tcPr>
          <w:p>
            <w:pPr>
              <w:keepNext/>
              <w:keepLines/>
              <w:spacing w:after="0"/>
              <w:jc w:val="center"/>
              <w:rPr>
                <w:rFonts w:ascii="Arial" w:hAnsi="Arial"/>
                <w:sz w:val="18"/>
              </w:rPr>
            </w:pPr>
            <w:r>
              <w:rPr>
                <w:rFonts w:hint="eastAsia" w:ascii="Arial" w:hAnsi="Arial"/>
                <w:sz w:val="18"/>
              </w:rPr>
              <w:t>1.0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8</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0.8947</w:t>
            </w:r>
          </w:p>
        </w:tc>
        <w:tc>
          <w:tcPr>
            <w:tcW w:w="1116" w:type="dxa"/>
          </w:tcPr>
          <w:p>
            <w:pPr>
              <w:keepNext/>
              <w:keepLines/>
              <w:spacing w:after="0"/>
              <w:jc w:val="center"/>
              <w:rPr>
                <w:rFonts w:ascii="Arial" w:hAnsi="Arial"/>
                <w:sz w:val="18"/>
              </w:rPr>
            </w:pPr>
            <w:r>
              <w:rPr>
                <w:rFonts w:hint="eastAsia" w:ascii="Arial" w:hAnsi="Arial"/>
                <w:sz w:val="18"/>
              </w:rPr>
              <w:t>2.6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10</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1.1474</w:t>
            </w:r>
          </w:p>
        </w:tc>
        <w:tc>
          <w:tcPr>
            <w:tcW w:w="1116" w:type="dxa"/>
          </w:tcPr>
          <w:p>
            <w:pPr>
              <w:keepNext/>
              <w:keepLines/>
              <w:spacing w:after="0"/>
              <w:jc w:val="center"/>
              <w:rPr>
                <w:rFonts w:ascii="Arial" w:hAnsi="Arial"/>
                <w:sz w:val="18"/>
              </w:rPr>
            </w:pPr>
            <w:r>
              <w:rPr>
                <w:rFonts w:hint="eastAsia" w:ascii="Arial" w:hAnsi="Arial"/>
                <w:sz w:val="18"/>
              </w:rPr>
              <w:t>4.1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12</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1.4842</w:t>
            </w:r>
          </w:p>
        </w:tc>
        <w:tc>
          <w:tcPr>
            <w:tcW w:w="1116" w:type="dxa"/>
          </w:tcPr>
          <w:p>
            <w:pPr>
              <w:keepNext/>
              <w:keepLines/>
              <w:spacing w:after="0"/>
              <w:jc w:val="center"/>
              <w:rPr>
                <w:rFonts w:ascii="Arial" w:hAnsi="Arial"/>
                <w:sz w:val="18"/>
              </w:rPr>
            </w:pPr>
            <w:r>
              <w:rPr>
                <w:rFonts w:hint="eastAsia" w:ascii="Arial" w:hAnsi="Arial"/>
                <w:sz w:val="18"/>
              </w:rPr>
              <w:t>6.3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14</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1.8632</w:t>
            </w:r>
          </w:p>
        </w:tc>
        <w:tc>
          <w:tcPr>
            <w:tcW w:w="1116" w:type="dxa"/>
          </w:tcPr>
          <w:p>
            <w:pPr>
              <w:keepNext/>
              <w:keepLines/>
              <w:spacing w:after="0"/>
              <w:jc w:val="center"/>
              <w:rPr>
                <w:rFonts w:ascii="Arial" w:hAnsi="Arial"/>
                <w:sz w:val="18"/>
              </w:rPr>
            </w:pPr>
            <w:r>
              <w:rPr>
                <w:rFonts w:hint="eastAsia" w:ascii="Arial" w:hAnsi="Arial"/>
                <w:sz w:val="18"/>
              </w:rPr>
              <w:t>8.9 d</w:t>
            </w:r>
            <w:r>
              <w:rPr>
                <w:rFonts w:ascii="Arial" w:hAnsi="Arial"/>
                <w:sz w:val="18"/>
              </w:rPr>
              <w:t>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16</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2.1158</w:t>
            </w:r>
          </w:p>
        </w:tc>
        <w:tc>
          <w:tcPr>
            <w:tcW w:w="1116" w:type="dxa"/>
          </w:tcPr>
          <w:p>
            <w:pPr>
              <w:keepNext/>
              <w:keepLines/>
              <w:spacing w:after="0"/>
              <w:jc w:val="center"/>
              <w:rPr>
                <w:rFonts w:ascii="Arial" w:hAnsi="Arial"/>
                <w:sz w:val="18"/>
              </w:rPr>
            </w:pPr>
            <w:r>
              <w:rPr>
                <w:rFonts w:hint="eastAsia" w:ascii="Arial" w:hAnsi="Arial"/>
                <w:sz w:val="18"/>
              </w:rPr>
              <w:t>9.7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18</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2.6211</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11.7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20</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3.0842</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13.0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21</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3.2526</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14.1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Pr>
          <w:p>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151" w:type="dxa"/>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Reserved</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Reserved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Pr>
          <w:p>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151"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Reserved</w:t>
            </w:r>
          </w:p>
        </w:tc>
      </w:tr>
    </w:tbl>
    <w:p>
      <w:pPr>
        <w:spacing w:line="240" w:lineRule="auto"/>
        <w:rPr>
          <w:lang w:eastAsia="zh-CN"/>
        </w:rPr>
      </w:pPr>
    </w:p>
    <w:p>
      <w:pPr>
        <w:spacing w:line="240" w:lineRule="auto"/>
        <w:rPr>
          <w:lang w:eastAsia="zh-CN"/>
        </w:rPr>
      </w:pPr>
    </w:p>
    <w:p>
      <w:pPr>
        <w:spacing w:line="240" w:lineRule="auto"/>
        <w:rPr>
          <w:lang w:eastAsia="zh-CN"/>
        </w:rPr>
      </w:pPr>
    </w:p>
    <w:p>
      <w:pPr>
        <w:spacing w:line="240" w:lineRule="auto"/>
        <w:rPr>
          <w:lang w:eastAsia="zh-CN"/>
        </w:rPr>
      </w:pPr>
      <w:r>
        <w:rPr>
          <w:lang w:eastAsia="zh-CN"/>
        </w:rPr>
        <w:t>Please input your comments on following points:</w:t>
      </w:r>
    </w:p>
    <w:p>
      <w:pPr>
        <w:pStyle w:val="6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pPr>
        <w:pStyle w:val="6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 v002</w:t>
            </w:r>
          </w:p>
        </w:tc>
        <w:tc>
          <w:tcPr>
            <w:tcW w:w="7611" w:type="dxa"/>
          </w:tcPr>
          <w:p>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pPr>
              <w:spacing w:line="240" w:lineRule="auto"/>
              <w:rPr>
                <w:lang w:eastAsia="zh-CN"/>
              </w:rPr>
            </w:pPr>
            <w:r>
              <w:rPr>
                <w:lang w:eastAsia="zh-CN"/>
              </w:rPr>
              <w:t>One other thing is that there should be a discussion on the mechanisms for switching between the CQI table under discussion and the legacy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696"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cs="Times New Roman"/>
                <w:sz w:val="22"/>
                <w:szCs w:val="22"/>
                <w:lang w:val="en-US" w:eastAsia="zh-CN" w:bidi="ar-SA"/>
              </w:rPr>
              <w:t>ZTE, Sanechips</w:t>
            </w:r>
          </w:p>
        </w:tc>
        <w:tc>
          <w:tcPr>
            <w:tcW w:w="7611" w:type="dxa"/>
            <w:vAlign w:val="top"/>
          </w:tcPr>
          <w:p>
            <w:pPr>
              <w:spacing w:line="240" w:lineRule="auto"/>
              <w:rPr>
                <w:rFonts w:hint="eastAsia"/>
                <w:lang w:val="en-US" w:eastAsia="zh-CN"/>
              </w:rPr>
            </w:pPr>
            <w:r>
              <w:rPr>
                <w:rFonts w:hint="eastAsia"/>
                <w:lang w:val="en-US" w:eastAsia="zh-CN"/>
              </w:rPr>
              <w:t>T</w:t>
            </w:r>
            <w:bookmarkStart w:id="50" w:name="_GoBack"/>
            <w:r>
              <w:rPr>
                <w:rFonts w:hint="eastAsia"/>
                <w:lang w:val="en-US" w:eastAsia="zh-CN"/>
              </w:rPr>
              <w:t xml:space="preserve">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pPr>
              <w:spacing w:line="240" w:lineRule="auto"/>
              <w:rPr>
                <w:rFonts w:hint="default" w:eastAsia="宋体"/>
                <w:lang w:val="en-US" w:eastAsia="zh-CN"/>
              </w:rPr>
            </w:pPr>
            <w:r>
              <w:rPr>
                <w:rFonts w:hint="eastAsia"/>
                <w:lang w:val="en-US" w:eastAsia="zh-CN"/>
              </w:rPr>
              <w:t>Therefore, compared with Alt 2, we do not see any benefits to support Alt 1. For the table in Alt 2 which is our preference, the two reserved entries also can be utilized to indicate more NPDSCH channel states.</w:t>
            </w:r>
          </w:p>
          <w:p>
            <w:pPr>
              <w:spacing w:line="240" w:lineRule="auto"/>
              <w:rPr>
                <w:rFonts w:hint="eastAsia" w:ascii="Times New Roman" w:hAnsi="Times New Roman" w:eastAsia="宋体" w:cs="Times New Roman"/>
                <w:sz w:val="22"/>
                <w:szCs w:val="22"/>
                <w:highlight w:val="yellow"/>
                <w:lang w:val="en-US" w:eastAsia="zh-CN" w:bidi="ar-SA"/>
              </w:rPr>
            </w:pPr>
            <w:r>
              <w:rPr>
                <w:rFonts w:hint="eastAsia"/>
                <w:highlight w:val="none"/>
                <w:lang w:val="en-US"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p>
        </w:tc>
        <w:tc>
          <w:tcPr>
            <w:tcW w:w="7611" w:type="dxa"/>
          </w:tcPr>
          <w:p>
            <w:pPr>
              <w:spacing w:line="240" w:lineRule="auto"/>
              <w:rPr>
                <w:lang w:eastAsia="zh-CN"/>
              </w:rPr>
            </w:pPr>
          </w:p>
        </w:tc>
      </w:tr>
    </w:tbl>
    <w:p>
      <w:pPr>
        <w:spacing w:line="240" w:lineRule="auto"/>
        <w:rPr>
          <w:lang w:eastAsia="zh-CN"/>
        </w:rPr>
      </w:pPr>
    </w:p>
    <w:p>
      <w:pPr>
        <w:spacing w:line="240" w:lineRule="auto"/>
        <w:rPr>
          <w:lang w:eastAsia="zh-CN"/>
        </w:rPr>
      </w:pPr>
    </w:p>
    <w:p>
      <w:pPr>
        <w:pStyle w:val="3"/>
        <w:rPr>
          <w:lang w:eastAsia="zh-CN"/>
        </w:rPr>
      </w:pPr>
      <w:r>
        <w:rPr>
          <w:lang w:eastAsia="zh-CN"/>
        </w:rPr>
        <w:t>Others</w:t>
      </w:r>
    </w:p>
    <w:p>
      <w:pPr>
        <w:outlineLvl w:val="2"/>
        <w:rPr>
          <w:b/>
          <w:u w:val="single"/>
        </w:rPr>
      </w:pPr>
      <w:r>
        <w:rPr>
          <w:b/>
          <w:u w:val="single"/>
          <w:lang w:eastAsia="zh-CN"/>
        </w:rPr>
        <w:t xml:space="preserve">Issue 3: </w:t>
      </w:r>
      <w:r>
        <w:rPr>
          <w:rFonts w:hint="eastAsia"/>
          <w:b/>
          <w:u w:val="single"/>
        </w:rPr>
        <w:t>Others</w:t>
      </w:r>
    </w:p>
    <w:p>
      <w:r>
        <w:rPr>
          <w:rFonts w:hint="eastAsia"/>
        </w:rPr>
        <w:t xml:space="preserve">The </w:t>
      </w:r>
      <w:r>
        <w:t>following are proposed</w:t>
      </w:r>
      <w:commentRangeStart w:id="0"/>
      <w:r>
        <w:t>:</w:t>
      </w:r>
      <w:commentRangeEnd w:id="0"/>
      <w:r>
        <w:rPr>
          <w:rStyle w:val="53"/>
        </w:rPr>
        <w:commentReference w:id="0"/>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Sourcing</w:t>
            </w:r>
          </w:p>
        </w:tc>
        <w:tc>
          <w:tcPr>
            <w:tcW w:w="8178"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[2]</w:t>
            </w:r>
          </w:p>
        </w:tc>
        <w:tc>
          <w:tcPr>
            <w:tcW w:w="8178" w:type="dxa"/>
          </w:tcPr>
          <w:p>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[4]</w:t>
            </w:r>
          </w:p>
        </w:tc>
        <w:tc>
          <w:tcPr>
            <w:tcW w:w="8178" w:type="dxa"/>
          </w:tcPr>
          <w:p>
            <w:pPr>
              <w:rPr>
                <w:b/>
                <w:bCs/>
                <w:lang w:eastAsia="en-GB"/>
              </w:rPr>
            </w:pPr>
            <w:r>
              <w:rPr>
                <w:b/>
                <w:bCs/>
                <w:lang w:eastAsia="en-GB"/>
              </w:rPr>
              <w:t>Proposal 3: Define CSI reference resource to be used for 16-QAM CQI measurement. The definition can be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[8]</w:t>
            </w:r>
          </w:p>
        </w:tc>
        <w:tc>
          <w:tcPr>
            <w:tcW w:w="8178" w:type="dxa"/>
          </w:tcPr>
          <w:p>
            <w:pPr>
              <w:pStyle w:val="157"/>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pPr>
              <w:pStyle w:val="140"/>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pPr>
              <w:pStyle w:val="140"/>
              <w:numPr>
                <w:ilvl w:val="0"/>
                <w:numId w:val="16"/>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[8]</w:t>
            </w:r>
          </w:p>
        </w:tc>
        <w:tc>
          <w:tcPr>
            <w:tcW w:w="8178" w:type="dxa"/>
          </w:tcPr>
          <w:p>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End w:id="33"/>
            <w:bookmarkStart w:id="34" w:name="_Toc86950862"/>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t>Observation 14 The foreseen RAN1 impacts from supporting 16-QAM for TDD NB-IoT are:</w:t>
            </w:r>
            <w:bookmarkEnd w:id="34"/>
            <w:bookmarkEnd w:id="35"/>
          </w:p>
          <w:p>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End w:id="40"/>
            <w:bookmarkEnd w:id="41"/>
            <w:bookmarkStart w:id="42" w:name="_Toc86950866"/>
          </w:p>
          <w:p>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pPr>
              <w:rPr>
                <w:lang w:eastAsia="zh-CN"/>
              </w:rPr>
            </w:pP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2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r>
      <w:r>
        <w:rPr>
          <w:rFonts w:ascii="Times New Roman" w:hAnsi="Times New Roman" w:cs="Times New Roman"/>
          <w:sz w:val="22"/>
        </w:rPr>
        <w:t>Discussion on 16QAM for NB-IoT</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r>
      <w:r>
        <w:rPr>
          <w:rFonts w:ascii="Times New Roman" w:hAnsi="Times New Roman" w:cs="Times New Roman"/>
          <w:sz w:val="22"/>
        </w:rPr>
        <w:t>Discussion on CQI table and NPUSCH power control parameter for 16QAM</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r>
      <w:r>
        <w:rPr>
          <w:rFonts w:ascii="Times New Roman" w:hAnsi="Times New Roman" w:cs="Times New Roman"/>
          <w:sz w:val="22"/>
        </w:rPr>
        <w:t>On the support of 16-QAM for unicast in UL and DL in TDD NB-IoT</w:t>
      </w:r>
      <w:r>
        <w:rPr>
          <w:rFonts w:ascii="Times New Roman" w:hAnsi="Times New Roman" w:cs="Times New Roman"/>
          <w:sz w:val="22"/>
        </w:rPr>
        <w:tab/>
      </w:r>
      <w:r>
        <w:rPr>
          <w:rFonts w:ascii="Times New Roman" w:hAnsi="Times New Roman" w:cs="Times New Roman"/>
          <w:sz w:val="22"/>
        </w:rPr>
        <w:t>Ericsson</w:t>
      </w:r>
    </w:p>
    <w:p>
      <w:pPr>
        <w:spacing w:after="60"/>
      </w:pPr>
    </w:p>
    <w:p>
      <w:pPr>
        <w:pStyle w:val="2"/>
        <w:numPr>
          <w:ilvl w:val="0"/>
          <w:numId w:val="0"/>
        </w:numPr>
        <w:spacing w:before="240"/>
        <w:ind w:left="431" w:hanging="431"/>
      </w:pPr>
      <w:r>
        <w:rPr>
          <w:rFonts w:hint="eastAsia"/>
        </w:rPr>
        <w:t>Appendix A</w:t>
      </w:r>
    </w:p>
    <w:p>
      <w:pPr>
        <w:pStyle w:val="3"/>
        <w:numPr>
          <w:ilvl w:val="0"/>
          <w:numId w:val="0"/>
        </w:numPr>
        <w:ind w:left="576" w:hanging="576"/>
        <w:rPr>
          <w:lang w:eastAsia="zh-CN"/>
        </w:rPr>
      </w:pPr>
      <w:r>
        <w:rPr>
          <w:lang w:eastAsia="zh-CN"/>
        </w:rPr>
        <w:t>A.1 The coding rate and efficiency</w:t>
      </w:r>
    </w:p>
    <w:p>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pPr>
        <w:spacing w:after="60"/>
      </w:pPr>
    </w:p>
    <w:tbl>
      <w:tblPr>
        <w:tblStyle w:val="47"/>
        <w:tblW w:w="94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1"/>
        <w:gridCol w:w="510"/>
        <w:gridCol w:w="418"/>
        <w:gridCol w:w="841"/>
        <w:gridCol w:w="806"/>
        <w:gridCol w:w="436"/>
        <w:gridCol w:w="806"/>
        <w:gridCol w:w="806"/>
        <w:gridCol w:w="436"/>
        <w:gridCol w:w="806"/>
        <w:gridCol w:w="806"/>
        <w:gridCol w:w="436"/>
        <w:gridCol w:w="806"/>
        <w:gridCol w:w="8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restart"/>
            <w:shd w:val="clear" w:color="auto" w:fill="auto"/>
            <w:noWrap/>
            <w:vAlign w:val="center"/>
          </w:tcPr>
          <w:p>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continue"/>
            <w:shd w:val="clear" w:color="auto" w:fill="auto"/>
            <w:noWrap/>
            <w:vAlign w:val="center"/>
          </w:tcPr>
          <w:p>
            <w:pPr>
              <w:spacing w:after="0" w:line="240" w:lineRule="auto"/>
              <w:jc w:val="left"/>
              <w:rPr>
                <w:sz w:val="11"/>
                <w:szCs w:val="11"/>
                <w:lang w:eastAsia="zh-CN"/>
              </w:rPr>
            </w:pPr>
          </w:p>
        </w:tc>
        <w:tc>
          <w:tcPr>
            <w:tcW w:w="510" w:type="dxa"/>
            <w:vMerge w:val="continue"/>
            <w:shd w:val="clear" w:color="auto" w:fill="auto"/>
            <w:vAlign w:val="center"/>
          </w:tcPr>
          <w:p>
            <w:pPr>
              <w:spacing w:after="0" w:line="240" w:lineRule="auto"/>
              <w:jc w:val="center"/>
              <w:rPr>
                <w:sz w:val="11"/>
                <w:szCs w:val="11"/>
                <w:lang w:eastAsia="zh-CN"/>
              </w:rPr>
            </w:pPr>
          </w:p>
        </w:tc>
        <w:tc>
          <w:tcPr>
            <w:tcW w:w="2065"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continue"/>
            <w:shd w:val="clear" w:color="auto" w:fill="auto"/>
            <w:noWrap/>
            <w:vAlign w:val="center"/>
          </w:tcPr>
          <w:p>
            <w:pPr>
              <w:autoSpaceDE/>
              <w:autoSpaceDN/>
              <w:adjustRightInd/>
              <w:snapToGrid/>
              <w:spacing w:after="0" w:line="240" w:lineRule="auto"/>
              <w:jc w:val="left"/>
              <w:rPr>
                <w:sz w:val="11"/>
                <w:szCs w:val="11"/>
                <w:lang w:eastAsia="zh-CN"/>
              </w:rPr>
            </w:pPr>
          </w:p>
        </w:tc>
        <w:tc>
          <w:tcPr>
            <w:tcW w:w="510" w:type="dxa"/>
            <w:vMerge w:val="continue"/>
            <w:shd w:val="clear" w:color="auto" w:fill="auto"/>
            <w:vAlign w:val="center"/>
          </w:tcPr>
          <w:p>
            <w:pPr>
              <w:autoSpaceDE/>
              <w:autoSpaceDN/>
              <w:adjustRightInd/>
              <w:snapToGrid/>
              <w:spacing w:after="0" w:line="240" w:lineRule="auto"/>
              <w:jc w:val="center"/>
              <w:rPr>
                <w:sz w:val="11"/>
                <w:szCs w:val="11"/>
                <w:lang w:eastAsia="zh-CN"/>
              </w:rPr>
            </w:pP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0.144736842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0.289473684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0.342105263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0.421052632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0.539473684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0.644736842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0.776315789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1.013157895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1.118421053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1.276315789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1.697368421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1.855263158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2.013157895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2.328947368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2.539473684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3.065789474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3.276315789</w:t>
            </w:r>
          </w:p>
        </w:tc>
      </w:tr>
    </w:tbl>
    <w:p>
      <w:pPr>
        <w:spacing w:after="60"/>
      </w:pPr>
    </w:p>
    <w:tbl>
      <w:tblPr>
        <w:tblStyle w:val="47"/>
        <w:tblpPr w:leftFromText="180" w:rightFromText="180" w:vertAnchor="text" w:tblpY="1"/>
        <w:tblOverlap w:val="never"/>
        <w:tblW w:w="942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0"/>
        <w:gridCol w:w="510"/>
        <w:gridCol w:w="439"/>
        <w:gridCol w:w="803"/>
        <w:gridCol w:w="803"/>
        <w:gridCol w:w="440"/>
        <w:gridCol w:w="803"/>
        <w:gridCol w:w="803"/>
        <w:gridCol w:w="440"/>
        <w:gridCol w:w="803"/>
        <w:gridCol w:w="803"/>
        <w:gridCol w:w="440"/>
        <w:gridCol w:w="804"/>
        <w:gridCol w:w="8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restart"/>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continue"/>
            <w:vAlign w:val="center"/>
          </w:tcPr>
          <w:p>
            <w:pPr>
              <w:autoSpaceDE/>
              <w:autoSpaceDN/>
              <w:adjustRightInd/>
              <w:snapToGrid/>
              <w:spacing w:after="0" w:line="240" w:lineRule="auto"/>
              <w:jc w:val="center"/>
              <w:rPr>
                <w:sz w:val="11"/>
                <w:szCs w:val="11"/>
                <w:lang w:eastAsia="zh-CN"/>
              </w:rPr>
            </w:pPr>
          </w:p>
        </w:tc>
        <w:tc>
          <w:tcPr>
            <w:tcW w:w="443" w:type="dxa"/>
            <w:vMerge w:val="continue"/>
            <w:vAlign w:val="center"/>
          </w:tcPr>
          <w:p>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continue"/>
            <w:vAlign w:val="center"/>
          </w:tcPr>
          <w:p>
            <w:pPr>
              <w:autoSpaceDE/>
              <w:autoSpaceDN/>
              <w:adjustRightInd/>
              <w:snapToGrid/>
              <w:spacing w:after="0" w:line="240" w:lineRule="auto"/>
              <w:jc w:val="center"/>
              <w:rPr>
                <w:sz w:val="11"/>
                <w:szCs w:val="11"/>
                <w:lang w:eastAsia="zh-CN"/>
              </w:rPr>
            </w:pPr>
          </w:p>
        </w:tc>
        <w:tc>
          <w:tcPr>
            <w:tcW w:w="443" w:type="dxa"/>
            <w:vMerge w:val="continue"/>
            <w:vAlign w:val="center"/>
          </w:tcPr>
          <w:p>
            <w:pPr>
              <w:autoSpaceDE/>
              <w:autoSpaceDN/>
              <w:adjustRightInd/>
              <w:snapToGrid/>
              <w:spacing w:after="0" w:line="240" w:lineRule="auto"/>
              <w:jc w:val="center"/>
              <w:rPr>
                <w:sz w:val="11"/>
                <w:szCs w:val="11"/>
                <w:lang w:eastAsia="zh-CN"/>
              </w:rPr>
            </w:pP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0.168421053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0.226315789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0.373684211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0.447368421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0.573684211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0.805263158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1.015789474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1.142105263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1.331578947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1.668421053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2.047368421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2.131578947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2.384210526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2.636842105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3.015789474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3.268421053</w:t>
            </w:r>
          </w:p>
        </w:tc>
      </w:tr>
    </w:tbl>
    <w:p>
      <w:pPr>
        <w:spacing w:after="60"/>
      </w:pPr>
    </w:p>
    <w:p>
      <w:pPr>
        <w:spacing w:after="60"/>
      </w:pPr>
    </w:p>
    <w:p>
      <w:pPr>
        <w:spacing w:after="60"/>
      </w:pPr>
    </w:p>
    <w:sectPr>
      <w:pgSz w:w="11909" w:h="16834"/>
      <w:pgMar w:top="1440" w:right="1152" w:bottom="1440" w:left="14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11-10T13:00:00Z" w:initials="Ericsson">
    <w:p w14:paraId="59086292">
      <w:pPr>
        <w:pStyle w:val="30"/>
      </w:pPr>
      <w:r>
        <w:t>It seems that proposal 3 in [5] is missing and is important to discuss it:</w:t>
      </w:r>
    </w:p>
    <w:p w14:paraId="40DB5F93">
      <w:pPr>
        <w:pStyle w:val="30"/>
      </w:pPr>
    </w:p>
    <w:p w14:paraId="62B16639">
      <w:pPr>
        <w:rPr>
          <w:b/>
          <w:bCs/>
        </w:rPr>
      </w:pPr>
      <w:r>
        <w:rPr>
          <w:b/>
          <w:bCs/>
          <w:u w:val="single"/>
        </w:rPr>
        <w:t xml:space="preserve">Proposal 3: </w:t>
      </w:r>
      <w:r>
        <w:rPr>
          <w:b/>
          <w:bCs/>
        </w:rPr>
        <w:t>The new table (or modified table) for DL quality report is not captured in RAN1 specifications.</w:t>
      </w:r>
    </w:p>
    <w:p w14:paraId="2E9E0F00">
      <w:pPr>
        <w:pStyle w:val="6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0505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47A0728"/>
    <w:multiLevelType w:val="multilevel"/>
    <w:tmpl w:val="247A07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4">
    <w:nsid w:val="2A5819F5"/>
    <w:multiLevelType w:val="multilevel"/>
    <w:tmpl w:val="2A5819F5"/>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5">
    <w:nsid w:val="2CA97C6A"/>
    <w:multiLevelType w:val="multilevel"/>
    <w:tmpl w:val="2CA97C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6C2AAC"/>
    <w:multiLevelType w:val="multilevel"/>
    <w:tmpl w:val="2E6C2AAC"/>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7">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3">
    <w:nsid w:val="4A88129E"/>
    <w:multiLevelType w:val="multilevel"/>
    <w:tmpl w:val="4A88129E"/>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4">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33158C7"/>
    <w:multiLevelType w:val="multilevel"/>
    <w:tmpl w:val="533158C7"/>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8">
    <w:nsid w:val="586C6863"/>
    <w:multiLevelType w:val="multilevel"/>
    <w:tmpl w:val="586C68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9F551D9"/>
    <w:multiLevelType w:val="multilevel"/>
    <w:tmpl w:val="59F551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FEC38AC"/>
    <w:multiLevelType w:val="multilevel"/>
    <w:tmpl w:val="5FEC38AC"/>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22">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23">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7BE68B6"/>
    <w:multiLevelType w:val="singleLevel"/>
    <w:tmpl w:val="77BE68B6"/>
    <w:lvl w:ilvl="0" w:tentative="0">
      <w:start w:val="1"/>
      <w:numFmt w:val="bullet"/>
      <w:lvlText w:val="-"/>
      <w:lvlJc w:val="left"/>
      <w:pPr>
        <w:tabs>
          <w:tab w:val="left" w:pos="420"/>
        </w:tabs>
        <w:ind w:left="840" w:hanging="420"/>
      </w:pPr>
      <w:rPr>
        <w:rFonts w:hint="default" w:ascii="Symbol" w:hAnsi="Symbol" w:cs="仿宋"/>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Balloon Text Char"/>
    <w:basedOn w:val="49"/>
    <w:link w:val="35"/>
    <w:qFormat/>
    <w:uiPriority w:val="0"/>
    <w:rPr>
      <w:rFonts w:ascii="Segoe UI" w:hAnsi="Segoe UI" w:eastAsia="宋体" w:cs="Segoe UI"/>
      <w:kern w:val="0"/>
      <w:sz w:val="18"/>
      <w:szCs w:val="18"/>
      <w:lang w:eastAsia="en-US"/>
    </w:rPr>
  </w:style>
  <w:style w:type="character" w:customStyle="1" w:styleId="56">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9">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1">
    <w:name w:val="Heading 6 Char"/>
    <w:basedOn w:val="49"/>
    <w:link w:val="7"/>
    <w:qFormat/>
    <w:uiPriority w:val="0"/>
    <w:rPr>
      <w:rFonts w:ascii="Arial" w:hAnsi="Arial" w:cs="Times New Roman"/>
      <w:kern w:val="0"/>
      <w:sz w:val="20"/>
      <w:szCs w:val="20"/>
      <w:lang w:val="en-GB" w:eastAsia="en-US"/>
    </w:rPr>
  </w:style>
  <w:style w:type="character" w:customStyle="1" w:styleId="62">
    <w:name w:val="Heading 7 Char"/>
    <w:basedOn w:val="49"/>
    <w:link w:val="9"/>
    <w:qFormat/>
    <w:uiPriority w:val="0"/>
    <w:rPr>
      <w:rFonts w:ascii="Arial" w:hAnsi="Arial" w:cs="Times New Roman"/>
      <w:kern w:val="0"/>
      <w:sz w:val="20"/>
      <w:szCs w:val="20"/>
      <w:lang w:val="en-GB" w:eastAsia="en-US"/>
    </w:rPr>
  </w:style>
  <w:style w:type="character" w:customStyle="1" w:styleId="63">
    <w:name w:val="Heading 8 Char"/>
    <w:basedOn w:val="49"/>
    <w:link w:val="10"/>
    <w:qFormat/>
    <w:uiPriority w:val="0"/>
    <w:rPr>
      <w:rFonts w:ascii="Arial" w:hAnsi="Arial" w:cs="Times New Roman"/>
      <w:kern w:val="0"/>
      <w:sz w:val="36"/>
      <w:szCs w:val="20"/>
      <w:lang w:val="en-GB" w:eastAsia="en-US"/>
    </w:rPr>
  </w:style>
  <w:style w:type="character" w:customStyle="1" w:styleId="64">
    <w:name w:val="Heading 9 Char"/>
    <w:basedOn w:val="49"/>
    <w:link w:val="11"/>
    <w:qFormat/>
    <w:uiPriority w:val="0"/>
    <w:rPr>
      <w:rFonts w:ascii="Arial" w:hAnsi="Arial" w:cs="Times New Roman"/>
      <w:kern w:val="0"/>
      <w:sz w:val="36"/>
      <w:szCs w:val="20"/>
      <w:lang w:val="en-GB" w:eastAsia="en-US"/>
    </w:rPr>
  </w:style>
  <w:style w:type="character" w:customStyle="1" w:styleId="65">
    <w:name w:val="Caption Char"/>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List Paragraph Char"/>
    <w:link w:val="67"/>
    <w:qFormat/>
    <w:uiPriority w:val="34"/>
    <w:rPr>
      <w:rFonts w:ascii="Calibri" w:hAnsi="Calibri" w:eastAsia="宋体" w:cs="Calibri"/>
      <w:kern w:val="0"/>
      <w:szCs w:val="21"/>
    </w:rPr>
  </w:style>
  <w:style w:type="character" w:customStyle="1" w:styleId="69">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70">
    <w:name w:val="Footer Char"/>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04BB2-B0BF-4CD6-95E6-CC7515CC4C0F}">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14</Pages>
  <Words>4982</Words>
  <Characters>26409</Characters>
  <Lines>220</Lines>
  <Paragraphs>62</Paragraphs>
  <TotalTime>587</TotalTime>
  <ScaleCrop>false</ScaleCrop>
  <LinksUpToDate>false</LinksUpToDate>
  <CharactersWithSpaces>31329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2021-11-10T10:54:00Z</dcterms:created>
  <dc:creator>yangyubo (A)</dc:creator>
  <cp:lastModifiedBy>ZTE</cp:lastModifiedBy>
  <dcterms:modified xsi:type="dcterms:W3CDTF">2021-11-11T02:37:09Z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