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lastRenderedPageBreak/>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CD26DE" w14:paraId="71BF57D3" w14:textId="77777777" w:rsidTr="008427A5">
        <w:tc>
          <w:tcPr>
            <w:tcW w:w="1236" w:type="dxa"/>
          </w:tcPr>
          <w:p w14:paraId="2BE8AC87" w14:textId="77777777" w:rsidR="00CD26DE" w:rsidRPr="00C42D38" w:rsidRDefault="00CD26DE" w:rsidP="008427A5">
            <w:pPr>
              <w:spacing w:after="120"/>
              <w:rPr>
                <w:rFonts w:eastAsiaTheme="minorEastAsia"/>
                <w:sz w:val="20"/>
                <w:szCs w:val="20"/>
              </w:rPr>
            </w:pPr>
          </w:p>
        </w:tc>
        <w:tc>
          <w:tcPr>
            <w:tcW w:w="8395" w:type="dxa"/>
          </w:tcPr>
          <w:p w14:paraId="182F82F3" w14:textId="77777777" w:rsidR="00CD26DE" w:rsidRPr="00C42D38" w:rsidRDefault="00CD26DE" w:rsidP="008427A5">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lastRenderedPageBreak/>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w:t>
            </w:r>
            <w:r w:rsidRPr="009004B3">
              <w:rPr>
                <w:rFonts w:ascii="Arial" w:eastAsia="Yu Gothic" w:hAnsi="Arial" w:cs="Arial"/>
                <w:sz w:val="12"/>
                <w:szCs w:val="12"/>
                <w:lang w:eastAsia="ja-JP"/>
              </w:rPr>
              <w:lastRenderedPageBreak/>
              <w:t xml:space="preserve">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Heading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TBoMS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lastRenderedPageBreak/>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TBoMS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C42D38" w:rsidRDefault="00BA7FE6" w:rsidP="008427A5">
            <w:pPr>
              <w:spacing w:after="120"/>
              <w:rPr>
                <w:rFonts w:eastAsiaTheme="minorEastAsia"/>
                <w:sz w:val="20"/>
                <w:szCs w:val="20"/>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xml:space="preserve">, default values are primarily important for cases where the NW has not yet provided a (UE-specific) configuration. In other cases, it can help clarify what the UE does when a parameter or feature </w:t>
      </w:r>
      <w:r w:rsidRPr="009601F1">
        <w:rPr>
          <w:rFonts w:eastAsia="SimSun"/>
          <w:sz w:val="20"/>
          <w:szCs w:val="20"/>
          <w:lang w:val="en-GB"/>
        </w:rPr>
        <w:lastRenderedPageBreak/>
        <w:t>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TBoMS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TBoMS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bl>
    <w:p w14:paraId="3FE72C12" w14:textId="270FAB9F" w:rsidR="00A520DB"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6A2A46" w14:paraId="32B138F3" w14:textId="77777777" w:rsidTr="008427A5">
        <w:trPr>
          <w:trHeight w:val="419"/>
          <w:jc w:val="center"/>
        </w:trPr>
        <w:tc>
          <w:tcPr>
            <w:tcW w:w="1220" w:type="dxa"/>
            <w:shd w:val="clear" w:color="auto" w:fill="auto"/>
            <w:vAlign w:val="center"/>
          </w:tcPr>
          <w:p w14:paraId="296B60F3" w14:textId="77777777" w:rsidR="006A2A46" w:rsidRPr="006A761F" w:rsidRDefault="006A2A46" w:rsidP="008427A5">
            <w:pPr>
              <w:jc w:val="center"/>
              <w:rPr>
                <w:rFonts w:eastAsia="MS Mincho"/>
                <w:bCs/>
                <w:sz w:val="20"/>
                <w:szCs w:val="20"/>
                <w:lang w:val="en-GB" w:eastAsia="ja-JP"/>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44F53"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44F53"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44F53"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lastRenderedPageBreak/>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t>Option 2: The RRC parameter “PUCCH-DMRS-Bundling” is per UL BWP</w:t>
      </w:r>
      <w:bookmarkEnd w:id="8"/>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w:t>
            </w:r>
            <w:r>
              <w:rPr>
                <w:rFonts w:eastAsiaTheme="minorEastAsia"/>
                <w:sz w:val="20"/>
                <w:szCs w:val="20"/>
              </w:rPr>
              <w:t>ption 3.</w:t>
            </w: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lastRenderedPageBreak/>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w:t>
            </w:r>
            <w:r>
              <w:rPr>
                <w:rFonts w:eastAsiaTheme="minorEastAsia"/>
                <w:sz w:val="20"/>
                <w:szCs w:val="20"/>
              </w:rPr>
              <w:t xml:space="preserve"> in principle</w:t>
            </w:r>
            <w:r>
              <w:rPr>
                <w:rFonts w:eastAsiaTheme="minorEastAsia"/>
                <w:sz w:val="20"/>
                <w:szCs w:val="20"/>
              </w:rPr>
              <w:t>.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8427A5">
        <w:tc>
          <w:tcPr>
            <w:tcW w:w="2335"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8427A5">
        <w:tc>
          <w:tcPr>
            <w:tcW w:w="2335"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8427A5">
        <w:tc>
          <w:tcPr>
            <w:tcW w:w="2335" w:type="dxa"/>
          </w:tcPr>
          <w:p w14:paraId="34829455" w14:textId="3D3B9719" w:rsidR="00AE5DE8" w:rsidRPr="004E571B" w:rsidRDefault="00B254AD" w:rsidP="008427A5">
            <w:pPr>
              <w:spacing w:after="0"/>
              <w:rPr>
                <w:bCs/>
                <w:sz w:val="20"/>
                <w:szCs w:val="20"/>
              </w:rPr>
            </w:pPr>
            <w:r>
              <w:rPr>
                <w:bCs/>
                <w:sz w:val="20"/>
                <w:szCs w:val="20"/>
              </w:rPr>
              <w:t>QC</w:t>
            </w:r>
          </w:p>
        </w:tc>
        <w:tc>
          <w:tcPr>
            <w:tcW w:w="7627"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8427A5">
        <w:tc>
          <w:tcPr>
            <w:tcW w:w="2335" w:type="dxa"/>
          </w:tcPr>
          <w:p w14:paraId="1B92B887" w14:textId="2BA8FE50" w:rsidR="00AF30D1" w:rsidRDefault="00AF30D1" w:rsidP="008427A5">
            <w:pPr>
              <w:spacing w:after="0"/>
              <w:rPr>
                <w:bCs/>
                <w:sz w:val="20"/>
                <w:szCs w:val="20"/>
              </w:rPr>
            </w:pPr>
            <w:r>
              <w:rPr>
                <w:bCs/>
                <w:sz w:val="20"/>
                <w:szCs w:val="20"/>
              </w:rPr>
              <w:t>Ericsson</w:t>
            </w:r>
          </w:p>
        </w:tc>
        <w:tc>
          <w:tcPr>
            <w:tcW w:w="7627" w:type="dxa"/>
          </w:tcPr>
          <w:p w14:paraId="66BDE41D" w14:textId="4CCBE7E5" w:rsidR="00AF30D1" w:rsidRDefault="00AF30D1" w:rsidP="008427A5">
            <w:pPr>
              <w:spacing w:after="0"/>
              <w:rPr>
                <w:bCs/>
                <w:sz w:val="20"/>
                <w:szCs w:val="20"/>
              </w:rPr>
            </w:pPr>
            <w:r>
              <w:rPr>
                <w:bCs/>
                <w:sz w:val="20"/>
                <w:szCs w:val="20"/>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lastRenderedPageBreak/>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hint="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hint="eastAsia"/>
                <w:sz w:val="20"/>
                <w:szCs w:val="20"/>
              </w:rPr>
            </w:pPr>
            <w:r>
              <w:rPr>
                <w:rFonts w:eastAsiaTheme="minorEastAsia"/>
                <w:sz w:val="20"/>
                <w:szCs w:val="20"/>
              </w:rPr>
              <w:t>Support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w:t>
      </w:r>
      <w:r w:rsidRPr="00881450">
        <w:rPr>
          <w:rFonts w:ascii="New York" w:hAnsi="New York" w:hint="eastAsia"/>
          <w:sz w:val="20"/>
          <w:szCs w:val="20"/>
        </w:rPr>
        <w:lastRenderedPageBreak/>
        <w:t xml:space="preserve">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bl>
    <w:p w14:paraId="174D62CD" w14:textId="77777777" w:rsidR="00881450"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14B8" w14:textId="77777777" w:rsidR="00D44F53" w:rsidRDefault="00D44F53" w:rsidP="003037E8">
      <w:pPr>
        <w:spacing w:after="0" w:line="240" w:lineRule="auto"/>
      </w:pPr>
      <w:r>
        <w:separator/>
      </w:r>
    </w:p>
  </w:endnote>
  <w:endnote w:type="continuationSeparator" w:id="0">
    <w:p w14:paraId="044A439E" w14:textId="77777777" w:rsidR="00D44F53" w:rsidRDefault="00D44F53"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47452" w14:textId="77777777" w:rsidR="00D44F53" w:rsidRDefault="00D44F53" w:rsidP="003037E8">
      <w:pPr>
        <w:spacing w:after="0" w:line="240" w:lineRule="auto"/>
      </w:pPr>
      <w:r>
        <w:separator/>
      </w:r>
    </w:p>
  </w:footnote>
  <w:footnote w:type="continuationSeparator" w:id="0">
    <w:p w14:paraId="375A0BF6" w14:textId="77777777" w:rsidR="00D44F53" w:rsidRDefault="00D44F53"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3"/>
  </w:num>
  <w:num w:numId="4">
    <w:abstractNumId w:val="43"/>
  </w:num>
  <w:num w:numId="5">
    <w:abstractNumId w:val="24"/>
  </w:num>
  <w:num w:numId="6">
    <w:abstractNumId w:val="22"/>
  </w:num>
  <w:num w:numId="7">
    <w:abstractNumId w:val="26"/>
  </w:num>
  <w:num w:numId="8">
    <w:abstractNumId w:val="25"/>
  </w:num>
  <w:num w:numId="9">
    <w:abstractNumId w:val="34"/>
  </w:num>
  <w:num w:numId="10">
    <w:abstractNumId w:val="32"/>
  </w:num>
  <w:num w:numId="11">
    <w:abstractNumId w:val="36"/>
  </w:num>
  <w:num w:numId="12">
    <w:abstractNumId w:val="21"/>
  </w:num>
  <w:num w:numId="13">
    <w:abstractNumId w:val="14"/>
  </w:num>
  <w:num w:numId="14">
    <w:abstractNumId w:val="41"/>
  </w:num>
  <w:num w:numId="15">
    <w:abstractNumId w:val="27"/>
  </w:num>
  <w:num w:numId="16">
    <w:abstractNumId w:val="7"/>
  </w:num>
  <w:num w:numId="17">
    <w:abstractNumId w:val="45"/>
  </w:num>
  <w:num w:numId="18">
    <w:abstractNumId w:val="0"/>
  </w:num>
  <w:num w:numId="19">
    <w:abstractNumId w:val="3"/>
  </w:num>
  <w:num w:numId="20">
    <w:abstractNumId w:val="31"/>
  </w:num>
  <w:num w:numId="21">
    <w:abstractNumId w:val="10"/>
  </w:num>
  <w:num w:numId="22">
    <w:abstractNumId w:val="17"/>
  </w:num>
  <w:num w:numId="23">
    <w:abstractNumId w:val="38"/>
  </w:num>
  <w:num w:numId="24">
    <w:abstractNumId w:val="16"/>
  </w:num>
  <w:num w:numId="25">
    <w:abstractNumId w:val="42"/>
  </w:num>
  <w:num w:numId="26">
    <w:abstractNumId w:val="13"/>
  </w:num>
  <w:num w:numId="27">
    <w:abstractNumId w:val="5"/>
  </w:num>
  <w:num w:numId="28">
    <w:abstractNumId w:val="6"/>
  </w:num>
  <w:num w:numId="29">
    <w:abstractNumId w:val="23"/>
  </w:num>
  <w:num w:numId="30">
    <w:abstractNumId w:val="9"/>
  </w:num>
  <w:num w:numId="31">
    <w:abstractNumId w:val="39"/>
  </w:num>
  <w:num w:numId="32">
    <w:abstractNumId w:val="44"/>
  </w:num>
  <w:num w:numId="33">
    <w:abstractNumId w:val="28"/>
  </w:num>
  <w:num w:numId="34">
    <w:abstractNumId w:val="35"/>
  </w:num>
  <w:num w:numId="35">
    <w:abstractNumId w:val="37"/>
  </w:num>
  <w:num w:numId="36">
    <w:abstractNumId w:val="15"/>
  </w:num>
  <w:num w:numId="37">
    <w:abstractNumId w:val="12"/>
  </w:num>
  <w:num w:numId="38">
    <w:abstractNumId w:val="40"/>
  </w:num>
  <w:num w:numId="39">
    <w:abstractNumId w:val="11"/>
  </w:num>
  <w:num w:numId="40">
    <w:abstractNumId w:val="20"/>
  </w:num>
  <w:num w:numId="41">
    <w:abstractNumId w:val="1"/>
  </w:num>
  <w:num w:numId="42">
    <w:abstractNumId w:val="19"/>
  </w:num>
  <w:num w:numId="43">
    <w:abstractNumId w:val="30"/>
  </w:num>
  <w:num w:numId="44">
    <w:abstractNumId w:val="29"/>
  </w:num>
  <w:num w:numId="45">
    <w:abstractNumId w:val="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7A14E22C-1E6A-466A-A9E1-1FC2976D84D0}">
  <ds:schemaRefs>
    <ds:schemaRef ds:uri="http://schemas.openxmlformats.org/officeDocument/2006/bibliography"/>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4835</Words>
  <Characters>27563</Characters>
  <Application>Microsoft Office Word</Application>
  <DocSecurity>0</DocSecurity>
  <Lines>229</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6</cp:revision>
  <cp:lastPrinted>2021-04-15T03:16:00Z</cp:lastPrinted>
  <dcterms:created xsi:type="dcterms:W3CDTF">2021-11-15T19:06:00Z</dcterms:created>
  <dcterms:modified xsi:type="dcterms:W3CDTF">2021-11-16T00:19:00Z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