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w:t>
            </w:r>
            <w:proofErr w:type="gramStart"/>
            <w:r w:rsidR="00DC0B20">
              <w:rPr>
                <w:rFonts w:eastAsiaTheme="minorEastAsia"/>
                <w:lang w:eastAsia="zh-CN"/>
              </w:rPr>
              <w:t>a</w:t>
            </w:r>
            <w:proofErr w:type="gramEnd"/>
            <w:r w:rsidR="00DC0B20">
              <w:rPr>
                <w:rFonts w:eastAsiaTheme="minorEastAsia"/>
                <w:lang w:eastAsia="zh-CN"/>
              </w:rPr>
              <w:t xml:space="preserve">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e.g.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w:t>
            </w:r>
            <w:proofErr w:type="gramStart"/>
            <w:r w:rsidRPr="007365DD">
              <w:rPr>
                <w:rFonts w:ascii="Times New Roman" w:eastAsiaTheme="minorEastAsia" w:hAnsi="Times New Roman"/>
                <w:sz w:val="20"/>
                <w:lang w:eastAsia="zh-CN"/>
              </w:rPr>
              <w:t>need</w:t>
            </w:r>
            <w:proofErr w:type="gramEnd"/>
            <w:r w:rsidRPr="007365DD">
              <w:rPr>
                <w:rFonts w:ascii="Times New Roman" w:eastAsiaTheme="minorEastAsia" w:hAnsi="Times New Roman"/>
                <w:sz w:val="20"/>
                <w:lang w:eastAsia="zh-CN"/>
              </w:rPr>
              <w:t xml:space="preserve">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F6137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4CADA02E" w:rsidR="00133420" w:rsidRPr="00133420" w:rsidRDefault="00133420" w:rsidP="00133420">
            <w:pPr>
              <w:rPr>
                <w:rFonts w:eastAsiaTheme="minorEastAsia" w:hint="eastAsia"/>
                <w:bCs/>
                <w:sz w:val="20"/>
                <w:szCs w:val="20"/>
                <w:lang w:eastAsia="zh-CN"/>
              </w:rPr>
            </w:pPr>
            <w:r>
              <w:rPr>
                <w:rFonts w:eastAsiaTheme="minorEastAsia" w:hint="eastAsia"/>
                <w:bCs/>
                <w:sz w:val="20"/>
                <w:szCs w:val="20"/>
                <w:lang w:eastAsia="zh-CN"/>
              </w:rPr>
              <w:t>v</w:t>
            </w:r>
            <w:r>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We still prefer option 2.</w:t>
            </w:r>
            <w:r>
              <w:rPr>
                <w:rFonts w:eastAsiaTheme="minorEastAsia"/>
                <w:sz w:val="20"/>
                <w:szCs w:val="20"/>
                <w:lang w:eastAsia="zh-CN"/>
              </w:rPr>
              <w:t xml:space="preserve">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bookmarkStart w:id="18" w:name="_GoBack"/>
            <w:bookmarkEnd w:id="18"/>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3" w:name="_Ref54470658"/>
      <w:r>
        <w:t>References</w:t>
      </w:r>
      <w:bookmarkEnd w:id="23"/>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C61F14">
            <w:pPr>
              <w:spacing w:before="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C61F14">
            <w:pPr>
              <w:spacing w:before="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C61F14">
            <w:pPr>
              <w:spacing w:before="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C61F14">
            <w:pPr>
              <w:spacing w:before="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C61F14">
            <w:pPr>
              <w:spacing w:before="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C61F14">
            <w:pPr>
              <w:spacing w:before="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C61F14">
            <w:pPr>
              <w:spacing w:before="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C61F14">
            <w:pPr>
              <w:spacing w:before="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C61F14">
            <w:pPr>
              <w:spacing w:before="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C61F14">
            <w:pPr>
              <w:spacing w:before="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C61F14">
            <w:pPr>
              <w:spacing w:before="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C61F14">
            <w:pPr>
              <w:spacing w:before="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C61F14">
            <w:pPr>
              <w:spacing w:before="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C61F14">
            <w:pPr>
              <w:spacing w:before="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C61F14">
            <w:pPr>
              <w:spacing w:before="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C61F14">
            <w:pPr>
              <w:spacing w:before="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C61F14">
            <w:pPr>
              <w:spacing w:before="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C61F14">
            <w:pPr>
              <w:spacing w:before="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C61F14">
            <w:pPr>
              <w:spacing w:before="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C61F14">
            <w:pPr>
              <w:spacing w:before="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C61F14">
            <w:pPr>
              <w:spacing w:before="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C61F14">
            <w:pPr>
              <w:spacing w:before="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C61F14">
            <w:pPr>
              <w:spacing w:before="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C61F14">
            <w:pPr>
              <w:spacing w:before="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8FEF" w14:textId="77777777" w:rsidR="00C61F14" w:rsidRDefault="00C61F14">
      <w:r>
        <w:separator/>
      </w:r>
    </w:p>
  </w:endnote>
  <w:endnote w:type="continuationSeparator" w:id="0">
    <w:p w14:paraId="23C8A444" w14:textId="77777777" w:rsidR="00C61F14" w:rsidRDefault="00C6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3318" w14:textId="77777777" w:rsidR="00EC026E" w:rsidRDefault="00EC026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EC026E" w:rsidRDefault="00EC026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BD9A" w14:textId="107A9AD5" w:rsidR="00EC026E" w:rsidRDefault="00EC026E">
    <w:pPr>
      <w:pStyle w:val="ad"/>
      <w:ind w:right="360"/>
    </w:pPr>
    <w:r>
      <w:rPr>
        <w:rStyle w:val="af6"/>
      </w:rPr>
      <w:fldChar w:fldCharType="begin"/>
    </w:r>
    <w:r>
      <w:rPr>
        <w:rStyle w:val="af6"/>
      </w:rPr>
      <w:instrText xml:space="preserve"> PAGE </w:instrText>
    </w:r>
    <w:r>
      <w:rPr>
        <w:rStyle w:val="af6"/>
      </w:rPr>
      <w:fldChar w:fldCharType="separate"/>
    </w:r>
    <w:r w:rsidR="004450BB">
      <w:rPr>
        <w:rStyle w:val="af6"/>
        <w:noProof/>
      </w:rPr>
      <w:t>35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450BB">
      <w:rPr>
        <w:rStyle w:val="af6"/>
        <w:noProof/>
      </w:rPr>
      <w:t>40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D59C3" w14:textId="77777777" w:rsidR="00C61F14" w:rsidRDefault="00C61F14">
      <w:r>
        <w:separator/>
      </w:r>
    </w:p>
  </w:footnote>
  <w:footnote w:type="continuationSeparator" w:id="0">
    <w:p w14:paraId="72CC0E79" w14:textId="77777777" w:rsidR="00C61F14" w:rsidRDefault="00C6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0D74FF2D-5004-4895-AE5B-1018C4716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41</Pages>
  <Words>13526</Words>
  <Characters>77099</Characters>
  <Application>Microsoft Office Word</Application>
  <DocSecurity>0</DocSecurity>
  <Lines>642</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2021-11-17T07:22:00Z</dcterms:created>
  <dcterms:modified xsi:type="dcterms:W3CDTF">2021-11-17T07:22:00Z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