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lastRenderedPageBreak/>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lastRenderedPageBreak/>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w:t>
            </w:r>
            <w:r>
              <w:rPr>
                <w:rFonts w:eastAsiaTheme="minorEastAsia"/>
                <w:lang w:eastAsia="zh-CN"/>
              </w:rPr>
              <w:lastRenderedPageBreak/>
              <w:t>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w:t>
            </w:r>
            <w:r>
              <w:rPr>
                <w:rFonts w:eastAsia="MS Mincho"/>
                <w:lang w:eastAsia="ja-JP"/>
              </w:rPr>
              <w:lastRenderedPageBreak/>
              <w:t>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w:t>
            </w:r>
            <w:r>
              <w:rPr>
                <w:rFonts w:eastAsiaTheme="minorEastAsia"/>
                <w:lang w:eastAsia="zh-CN"/>
              </w:rPr>
              <w:lastRenderedPageBreak/>
              <w:t>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 xml:space="preserve">Legacy UE only support frequency hopping per single slot (inter slot frequency hopping), once the frequency </w:t>
            </w:r>
            <w:r>
              <w:rPr>
                <w:rFonts w:eastAsiaTheme="minorEastAsia"/>
                <w:lang w:eastAsia="zh-CN"/>
              </w:rPr>
              <w:lastRenderedPageBreak/>
              <w:t>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w:t>
            </w:r>
            <w:r w:rsidRPr="00002569">
              <w:rPr>
                <w:rFonts w:eastAsia="MS Mincho"/>
                <w:color w:val="FF0000"/>
                <w:sz w:val="20"/>
                <w:szCs w:val="20"/>
                <w:lang w:eastAsia="ja-JP"/>
              </w:rPr>
              <w:lastRenderedPageBreak/>
              <w:t>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 xml:space="preserve">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w:t>
            </w:r>
            <w:r>
              <w:rPr>
                <w:rFonts w:eastAsia="MS Mincho"/>
                <w:lang w:eastAsia="ja-JP"/>
              </w:rPr>
              <w:lastRenderedPageBreak/>
              <w:t>‘0’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781B7C">
        <w:tc>
          <w:tcPr>
            <w:tcW w:w="1435" w:type="dxa"/>
            <w:shd w:val="clear" w:color="auto" w:fill="auto"/>
          </w:tcPr>
          <w:p w14:paraId="0C99E8D5" w14:textId="77777777" w:rsidR="00EB5B71" w:rsidRPr="00354C2B" w:rsidRDefault="00EB5B71" w:rsidP="00781B7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781B7C">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781B7C">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781B7C">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781B7C">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781B7C">
        <w:tc>
          <w:tcPr>
            <w:tcW w:w="1435"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781B7C">
        <w:tc>
          <w:tcPr>
            <w:tcW w:w="1435"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bookmarkStart w:id="18" w:name="_GoBack"/>
            <w:r w:rsidRPr="001A1466">
              <w:t>did not mean no change to legacy FH procedure” – the statement was “no change to legacy FH configuration”.</w:t>
            </w:r>
            <w:bookmarkEnd w:id="18"/>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bl>
    <w:p w14:paraId="67731BCD" w14:textId="77777777" w:rsidR="008B19FA" w:rsidRDefault="008B19FA"/>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lastRenderedPageBreak/>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 xml:space="preserve">For a PUCCH resource to transmit a PUCCH without an associated scheduling DCI (e.g. P/SP-CSI or SR), if the PUCCH resource is configured with RRC parameter </w:t>
      </w:r>
      <w:r>
        <w:rPr>
          <w:b/>
          <w:bCs/>
          <w:lang w:val="en-GB"/>
        </w:rPr>
        <w:lastRenderedPageBreak/>
        <w:t>“nrofSlots-r17”,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D0A61">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2D0A61">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D0A61">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D0A61">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D0A61">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2D0A61">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D0A61">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D0A61">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D0A61">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D0A61">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D0A61">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D0A61">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D0A61">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D0A61">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D0A61">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2D0A61">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D0A61">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D0A61">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D0A61">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D0A61">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D0A61">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D0A61">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D0A61">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D0A61">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FC6FF" w14:textId="77777777" w:rsidR="002D0A61" w:rsidRDefault="002D0A61">
      <w:r>
        <w:separator/>
      </w:r>
    </w:p>
  </w:endnote>
  <w:endnote w:type="continuationSeparator" w:id="0">
    <w:p w14:paraId="1390853E" w14:textId="77777777" w:rsidR="002D0A61" w:rsidRDefault="002D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4099CEA5"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1466">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1466">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0E465" w14:textId="77777777" w:rsidR="002D0A61" w:rsidRDefault="002D0A61">
      <w:r>
        <w:separator/>
      </w:r>
    </w:p>
  </w:footnote>
  <w:footnote w:type="continuationSeparator" w:id="0">
    <w:p w14:paraId="6669734C" w14:textId="77777777" w:rsidR="002D0A61" w:rsidRDefault="002D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7"/>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4"/>
  </w:num>
  <w:num w:numId="14">
    <w:abstractNumId w:val="26"/>
  </w:num>
  <w:num w:numId="15">
    <w:abstractNumId w:val="15"/>
  </w:num>
  <w:num w:numId="16">
    <w:abstractNumId w:val="28"/>
  </w:num>
  <w:num w:numId="17">
    <w:abstractNumId w:val="4"/>
  </w:num>
  <w:num w:numId="18">
    <w:abstractNumId w:val="19"/>
  </w:num>
  <w:num w:numId="19">
    <w:abstractNumId w:val="0"/>
  </w:num>
  <w:num w:numId="20">
    <w:abstractNumId w:val="30"/>
  </w:num>
  <w:num w:numId="21">
    <w:abstractNumId w:val="21"/>
  </w:num>
  <w:num w:numId="22">
    <w:abstractNumId w:val="9"/>
  </w:num>
  <w:num w:numId="23">
    <w:abstractNumId w:val="16"/>
  </w:num>
  <w:num w:numId="24">
    <w:abstractNumId w:val="11"/>
  </w:num>
  <w:num w:numId="25">
    <w:abstractNumId w:val="32"/>
  </w:num>
  <w:num w:numId="26">
    <w:abstractNumId w:val="29"/>
  </w:num>
  <w:num w:numId="27">
    <w:abstractNumId w:val="35"/>
  </w:num>
  <w:num w:numId="28">
    <w:abstractNumId w:val="8"/>
  </w:num>
  <w:num w:numId="29">
    <w:abstractNumId w:val="14"/>
  </w:num>
  <w:num w:numId="30">
    <w:abstractNumId w:val="31"/>
  </w:num>
  <w:num w:numId="31">
    <w:abstractNumId w:val="20"/>
  </w:num>
  <w:num w:numId="32">
    <w:abstractNumId w:val="7"/>
  </w:num>
  <w:num w:numId="33">
    <w:abstractNumId w:val="23"/>
  </w:num>
  <w:num w:numId="34">
    <w:abstractNumId w:val="6"/>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993CDA70-1FEC-4906-9C77-473C0C54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40</Pages>
  <Words>12875</Words>
  <Characters>73391</Characters>
  <Application>Microsoft Office Word</Application>
  <DocSecurity>0</DocSecurity>
  <Lines>611</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2021-11-17T00:51:00Z</dcterms:created>
  <dcterms:modified xsi:type="dcterms:W3CDTF">2021-11-17T00:53:00Z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