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 xml:space="preserve">R1-2109889 &amp; R1-2110866,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lastRenderedPageBreak/>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lastRenderedPageBreak/>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lastRenderedPageBreak/>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lastRenderedPageBreak/>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lastRenderedPageBreak/>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lastRenderedPageBreak/>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5258CF">
              <w:rPr>
                <w:lang w:val="de-AT"/>
              </w:rPr>
              <w:t xml:space="preserve"> </w:t>
            </w:r>
            <w:r w:rsidRPr="005258CF">
              <w:rPr>
                <w:lang w:val="de-AT"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hint="eastAsia"/>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hint="eastAsia"/>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w:t>
            </w:r>
            <w:r>
              <w:rPr>
                <w:rFonts w:eastAsia="MS Mincho"/>
                <w:lang w:eastAsia="ja-JP"/>
              </w:rPr>
              <w:lastRenderedPageBreak/>
              <w:t>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lastRenderedPageBreak/>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lastRenderedPageBreak/>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lastRenderedPageBreak/>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lastRenderedPageBreak/>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lastRenderedPageBreak/>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spacing w:after="0"/>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w:t>
            </w:r>
            <w:r>
              <w:rPr>
                <w:rFonts w:ascii="Times New Roman" w:hAnsi="Times New Roman"/>
                <w:sz w:val="20"/>
                <w:szCs w:val="20"/>
                <w:lang w:eastAsia="zh-CN"/>
              </w:rPr>
              <w:lastRenderedPageBreak/>
              <w:t>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lastRenderedPageBreak/>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lastRenderedPageBreak/>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lastRenderedPageBreak/>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lastRenderedPageBreak/>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lastRenderedPageBreak/>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lastRenderedPageBreak/>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We prefer</w:t>
            </w:r>
            <w:r>
              <w:rPr>
                <w:rFonts w:eastAsiaTheme="minorEastAsia"/>
                <w:lang w:eastAsia="zh-CN"/>
              </w:rPr>
              <w:t xml:space="preserve">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w:t>
            </w:r>
            <w:r>
              <w:rPr>
                <w:rFonts w:eastAsiaTheme="minorEastAsia"/>
                <w:lang w:eastAsia="zh-CN"/>
              </w:rPr>
              <w:t xml:space="preserve">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w:t>
            </w:r>
            <w:proofErr w:type="gramStart"/>
            <w:r w:rsidR="00DC0B20">
              <w:rPr>
                <w:rFonts w:eastAsiaTheme="minorEastAsia"/>
                <w:lang w:eastAsia="zh-CN"/>
              </w:rPr>
              <w:t>a</w:t>
            </w:r>
            <w:proofErr w:type="gramEnd"/>
            <w:r w:rsidR="00DC0B20">
              <w:rPr>
                <w:rFonts w:eastAsiaTheme="minorEastAsia"/>
                <w:lang w:eastAsia="zh-CN"/>
              </w:rPr>
              <w:t xml:space="preserve"> FDM manner. </w:t>
            </w:r>
            <w:r w:rsidR="00A31CE3">
              <w:rPr>
                <w:rFonts w:eastAsiaTheme="minorEastAsia"/>
                <w:lang w:eastAsia="zh-CN"/>
              </w:rPr>
              <w:t xml:space="preserve"> </w:t>
            </w:r>
          </w:p>
        </w:tc>
      </w:tr>
    </w:tbl>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lastRenderedPageBreak/>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lastRenderedPageBreak/>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w:t>
            </w:r>
            <w:r>
              <w:rPr>
                <w:rFonts w:hint="eastAsia"/>
                <w:lang w:eastAsia="zh-CN"/>
              </w:rPr>
              <w:lastRenderedPageBreak/>
              <w:t xml:space="preserve">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lastRenderedPageBreak/>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mis-alignment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spacing w:after="0"/>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spacing w:after="0"/>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MS Mincho"/>
                <w:lang w:eastAsia="ja-JP"/>
              </w:rPr>
            </w:pPr>
            <w:r>
              <w:rPr>
                <w:rFonts w:eastAsia="MS Mincho"/>
                <w:lang w:eastAsia="ja-JP"/>
              </w:rPr>
              <w:t>(Option 2 in FL Proposal 3)</w:t>
            </w:r>
          </w:p>
          <w:p w14:paraId="31CEBE93" w14:textId="77D202E5" w:rsidR="00B822F0" w:rsidRPr="00B822F0" w:rsidRDefault="00B822F0" w:rsidP="009D77CB">
            <w:pPr>
              <w:spacing w:after="0"/>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spacing w:after="0"/>
              <w:rPr>
                <w:rFonts w:eastAsia="MS Mincho"/>
                <w:lang w:eastAsia="ja-JP"/>
              </w:rPr>
            </w:pPr>
            <w:r>
              <w:rPr>
                <w:rFonts w:eastAsia="MS Mincho"/>
                <w:lang w:eastAsia="ja-JP"/>
              </w:rPr>
              <w:t>(Option 1 in FL Proposal 3)</w:t>
            </w:r>
          </w:p>
          <w:p w14:paraId="2B63D710" w14:textId="452DC538" w:rsidR="00B822F0" w:rsidRDefault="00B822F0" w:rsidP="00B822F0">
            <w:pPr>
              <w:spacing w:after="0"/>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spacing w:after="0"/>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w:t>
            </w:r>
            <w:bookmarkStart w:id="17" w:name="_GoBack"/>
            <w:bookmarkEnd w:id="17"/>
            <w:r>
              <w:rPr>
                <w:rFonts w:ascii="Times New Roman" w:eastAsiaTheme="minorEastAsia" w:hAnsi="Times New Roman"/>
                <w:sz w:val="20"/>
                <w:szCs w:val="20"/>
                <w:lang w:eastAsia="zh-CN"/>
              </w:rPr>
              <w:t xml:space="preserve">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r w:rsidRPr="00225639">
              <w:rPr>
                <w:rFonts w:ascii="Times New Roman" w:eastAsiaTheme="minorEastAsia" w:hAnsi="Times New Roman"/>
                <w:sz w:val="20"/>
                <w:szCs w:val="20"/>
                <w:lang w:eastAsia="zh-CN"/>
              </w:rPr>
              <w:t>.</w:t>
            </w:r>
          </w:p>
          <w:p w14:paraId="60314112" w14:textId="77777777" w:rsidR="00CC2FF9" w:rsidRPr="00DC0B20" w:rsidRDefault="00CC2FF9" w:rsidP="00DC0B20">
            <w:pPr>
              <w:pStyle w:val="ListParagraph"/>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w:t>
            </w:r>
            <w:r w:rsidRPr="00DC0B20">
              <w:rPr>
                <w:rFonts w:ascii="Times New Roman" w:hAnsi="Times New Roman"/>
                <w:sz w:val="20"/>
                <w:szCs w:val="20"/>
              </w:rPr>
              <w:lastRenderedPageBreak/>
              <w:t>performance of joint channel estimation for PUCCH/PUSCH repetitions.</w:t>
            </w: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lastRenderedPageBreak/>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Heading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w:t>
      </w:r>
      <w:proofErr w:type="spellStart"/>
      <w:r w:rsidRPr="00913A41">
        <w:rPr>
          <w:b/>
          <w:lang w:eastAsia="zh-CN"/>
        </w:rPr>
        <w:t>appliable</w:t>
      </w:r>
      <w:proofErr w:type="spellEnd"/>
      <w:r w:rsidRPr="00913A41">
        <w:rPr>
          <w:b/>
          <w:lang w:eastAsia="zh-CN"/>
        </w:rPr>
        <w:t>,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7B310E">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7B310E">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7B310E">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7B310E">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7B310E">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7B310E">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7B310E">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7B310E">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7B310E">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7B310E">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7B310E">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7B310E">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7B310E">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7B310E">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7B310E">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7B310E">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7B310E">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7B310E">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7B310E">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7B310E">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7B310E">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7B310E">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7B310E">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7B310E">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8D4A" w14:textId="77777777" w:rsidR="00D82E3E" w:rsidRDefault="00D82E3E">
      <w:pPr>
        <w:spacing w:line="240" w:lineRule="auto"/>
      </w:pPr>
      <w:r>
        <w:separator/>
      </w:r>
    </w:p>
  </w:endnote>
  <w:endnote w:type="continuationSeparator" w:id="0">
    <w:p w14:paraId="3C43308B" w14:textId="77777777" w:rsidR="00D82E3E" w:rsidRDefault="00D82E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3318" w14:textId="77777777" w:rsidR="007B310E" w:rsidRDefault="007B31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7B310E" w:rsidRDefault="007B3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BD9A" w14:textId="4E09B652" w:rsidR="007B310E" w:rsidRDefault="007B31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8B5CB" w14:textId="77777777" w:rsidR="00D82E3E" w:rsidRDefault="00D82E3E">
      <w:pPr>
        <w:spacing w:after="0" w:line="240" w:lineRule="auto"/>
      </w:pPr>
      <w:r>
        <w:separator/>
      </w:r>
    </w:p>
  </w:footnote>
  <w:footnote w:type="continuationSeparator" w:id="0">
    <w:p w14:paraId="76E2B84B" w14:textId="77777777" w:rsidR="00D82E3E" w:rsidRDefault="00D82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3"/>
  </w:num>
  <w:num w:numId="4">
    <w:abstractNumId w:val="4"/>
  </w:num>
  <w:num w:numId="5">
    <w:abstractNumId w:val="7"/>
  </w:num>
  <w:num w:numId="6">
    <w:abstractNumId w:val="21"/>
  </w:num>
  <w:num w:numId="7">
    <w:abstractNumId w:val="19"/>
  </w:num>
  <w:num w:numId="8">
    <w:abstractNumId w:val="14"/>
  </w:num>
  <w:num w:numId="9">
    <w:abstractNumId w:val="17"/>
  </w:num>
  <w:num w:numId="10">
    <w:abstractNumId w:val="1"/>
  </w:num>
  <w:num w:numId="11">
    <w:abstractNumId w:val="10"/>
  </w:num>
  <w:num w:numId="12">
    <w:abstractNumId w:val="18"/>
  </w:num>
  <w:num w:numId="13">
    <w:abstractNumId w:val="26"/>
  </w:num>
  <w:num w:numId="14">
    <w:abstractNumId w:val="20"/>
  </w:num>
  <w:num w:numId="15">
    <w:abstractNumId w:val="11"/>
  </w:num>
  <w:num w:numId="16">
    <w:abstractNumId w:val="22"/>
  </w:num>
  <w:num w:numId="17">
    <w:abstractNumId w:val="3"/>
  </w:num>
  <w:num w:numId="18">
    <w:abstractNumId w:val="15"/>
  </w:num>
  <w:num w:numId="19">
    <w:abstractNumId w:val="0"/>
  </w:num>
  <w:num w:numId="20">
    <w:abstractNumId w:val="24"/>
  </w:num>
  <w:num w:numId="21">
    <w:abstractNumId w:val="16"/>
  </w:num>
  <w:num w:numId="22">
    <w:abstractNumId w:val="6"/>
  </w:num>
  <w:num w:numId="23">
    <w:abstractNumId w:val="12"/>
  </w:num>
  <w:num w:numId="24">
    <w:abstractNumId w:val="8"/>
  </w:num>
  <w:num w:numId="25">
    <w:abstractNumId w:val="25"/>
  </w:num>
  <w:num w:numId="26">
    <w:abstractNumId w:val="23"/>
  </w:num>
  <w:num w:numId="27">
    <w:abstractNumId w:val="2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24</Pages>
  <Words>8987</Words>
  <Characters>51229</Characters>
  <Application>Microsoft Office Word</Application>
  <DocSecurity>0</DocSecurity>
  <Lines>426</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6</cp:revision>
  <cp:lastPrinted>2014-11-07T05:38:00Z</cp:lastPrinted>
  <dcterms:created xsi:type="dcterms:W3CDTF">2021-11-12T12:53:00Z</dcterms:created>
  <dcterms:modified xsi:type="dcterms:W3CDTF">2021-11-12T20:24:00Z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