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5F3FE334"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59B25643"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C719E7">
        <w:rPr>
          <w:rFonts w:ascii="Times New Roman" w:eastAsia="Batang" w:hAnsi="Times New Roman" w:cs="Times New Roman"/>
          <w:color w:val="FF0000"/>
          <w:szCs w:val="20"/>
        </w:rPr>
        <w:t>3</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77777777"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hyperlink r:id="rId16" w:history="1">
              <w:r w:rsidRPr="005441A6">
                <w:rPr>
                  <w:rStyle w:val="Hyperlink"/>
                  <w:rFonts w:ascii="Times New Roman" w:hAnsi="Times New Roman" w:cs="Times New Roman"/>
                  <w:b/>
                  <w:bCs/>
                  <w:i/>
                  <w:iCs/>
                  <w:sz w:val="20"/>
                  <w:szCs w:val="20"/>
                  <w:lang w:val="en-GB" w:eastAsia="ko-KR"/>
                </w:rPr>
                <w:t>RedCapParamList-v001</w:t>
              </w:r>
            </w:hyperlink>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sidRPr="005441A6">
              <w:rPr>
                <w:rFonts w:ascii="Times New Roman" w:hAnsi="Times New Roman" w:cs="Times New Roman"/>
                <w:b/>
                <w:bCs/>
                <w:i/>
                <w:iCs/>
                <w:sz w:val="20"/>
                <w:szCs w:val="20"/>
                <w:lang w:val="en-GB" w:eastAsia="ko-KR"/>
              </w:rPr>
              <w:t>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r w:rsidRPr="005441A6">
              <w:rPr>
                <w:rFonts w:ascii="Times New Roman" w:hAnsi="Times New Roman" w:cs="Times New Roman"/>
                <w:sz w:val="20"/>
                <w:szCs w:val="20"/>
                <w:lang w:eastAsia="ko-KR"/>
              </w:rPr>
              <w:t>.</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73DFC465"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7"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2C4CD0" w14:paraId="0E4C588A" w14:textId="77777777">
        <w:tc>
          <w:tcPr>
            <w:tcW w:w="2122" w:type="dxa"/>
          </w:tcPr>
          <w:p w14:paraId="3CCF6359" w14:textId="77777777" w:rsidR="002C4CD0" w:rsidRPr="005441A6" w:rsidRDefault="002C4CD0">
            <w:pPr>
              <w:rPr>
                <w:rFonts w:ascii="Times New Roman" w:hAnsi="Times New Roman" w:cs="Times New Roman"/>
                <w:szCs w:val="20"/>
                <w:lang w:eastAsia="ko-KR"/>
              </w:rPr>
            </w:pPr>
          </w:p>
        </w:tc>
        <w:tc>
          <w:tcPr>
            <w:tcW w:w="19136" w:type="dxa"/>
          </w:tcPr>
          <w:p w14:paraId="7B2324EB" w14:textId="77777777" w:rsidR="002C4CD0" w:rsidRPr="005441A6" w:rsidRDefault="002C4CD0" w:rsidP="00E40E75">
            <w:pPr>
              <w:spacing w:after="180" w:line="252" w:lineRule="auto"/>
              <w:contextualSpacing/>
              <w:rPr>
                <w:rFonts w:ascii="Times New Roman" w:hAnsi="Times New Roman" w:cs="Times New Roman"/>
                <w:szCs w:val="20"/>
                <w:lang w:eastAsia="ko-KR"/>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8"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hyperlink r:id="rId19"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Samsung</w:t>
            </w:r>
          </w:p>
        </w:tc>
        <w:tc>
          <w:tcPr>
            <w:tcW w:w="19136" w:type="dxa"/>
          </w:tcPr>
          <w:p w14:paraId="357F4B06" w14:textId="697229A1"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DengXian" w:hAnsi="Times New Roman" w:cs="Times New Roman"/>
                <w:sz w:val="20"/>
                <w:szCs w:val="20"/>
                <w:highlight w:val="yellow"/>
              </w:rPr>
              <w:t>MIB-configured initial DL BWP</w:t>
            </w:r>
            <w:r w:rsidRPr="0068736B">
              <w:rPr>
                <w:rFonts w:ascii="Times New Roman" w:eastAsia="DengXian" w:hAnsi="Times New Roman" w:cs="Times New Roman"/>
                <w:sz w:val="20"/>
                <w:szCs w:val="20"/>
              </w:rPr>
              <w:t>.]</w:t>
            </w:r>
          </w:p>
          <w:p w14:paraId="03D91307" w14:textId="26BC0966"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lastRenderedPageBreak/>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DengXian" w:hAnsi="Times New Roman" w:cs="Times New Roman"/>
                <w:sz w:val="20"/>
                <w:szCs w:val="20"/>
              </w:rPr>
            </w:pPr>
            <w:r w:rsidRPr="0068736B">
              <w:rPr>
                <w:rFonts w:ascii="Times New Roman" w:eastAsia="DengXian" w:hAnsi="Times New Roman" w:cs="Times New Roman"/>
                <w:sz w:val="20"/>
                <w:szCs w:val="20"/>
              </w:rPr>
              <w:t>[When the parameter is not present, RedCap UEs use the same SIB-configured initial DL BWP as non-RedCap U</w:t>
            </w:r>
            <w:r w:rsidR="00EE1DA7" w:rsidRPr="0068736B">
              <w:rPr>
                <w:rFonts w:ascii="Times New Roman" w:eastAsia="DengXian" w:hAnsi="Times New Roman" w:cs="Times New Roman"/>
                <w:sz w:val="20"/>
                <w:szCs w:val="20"/>
              </w:rPr>
              <w:t>e</w:t>
            </w:r>
            <w:r w:rsidRPr="0068736B">
              <w:rPr>
                <w:rFonts w:ascii="Times New Roman" w:eastAsia="DengXian" w:hAnsi="Times New Roman" w:cs="Times New Roman"/>
                <w:sz w:val="20"/>
                <w:szCs w:val="20"/>
              </w:rPr>
              <w:t>s</w:t>
            </w:r>
            <w:r w:rsidR="00EE1DA7" w:rsidRPr="0068736B">
              <w:rPr>
                <w:rFonts w:ascii="Times New Roman" w:eastAsia="DengXian" w:hAnsi="Times New Roman" w:cs="Times New Roman"/>
                <w:sz w:val="20"/>
                <w:szCs w:val="20"/>
                <w:highlight w:val="green"/>
              </w:rPr>
              <w:t>.</w:t>
            </w:r>
            <w:r w:rsidR="00EE1DA7" w:rsidRPr="0068736B">
              <w:rPr>
                <w:rFonts w:ascii="Times New Roman" w:eastAsia="DengXian" w:hAnsi="Times New Roman" w:cs="Times New Roman"/>
                <w:sz w:val="20"/>
                <w:szCs w:val="20"/>
              </w:rPr>
              <w:t xml:space="preserve"> </w:t>
            </w:r>
            <w:r w:rsidRPr="0068736B">
              <w:rPr>
                <w:rFonts w:ascii="Times New Roman" w:eastAsia="DengXian" w:hAnsi="Times New Roman" w:cs="Times New Roman"/>
                <w:sz w:val="20"/>
                <w:szCs w:val="20"/>
              </w:rPr>
              <w:t xml:space="preserve"> if </w:t>
            </w:r>
            <w:r w:rsidR="00EE1DA7"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DengXian" w:hAnsi="Times New Roman" w:cs="Times New Roman"/>
                <w:sz w:val="20"/>
                <w:szCs w:val="20"/>
              </w:rPr>
              <w:t xml:space="preserve"> otherwise the RedCap UEs will continue to keep</w:t>
            </w:r>
            <w:r w:rsidRPr="0068736B">
              <w:rPr>
                <w:rFonts w:ascii="Times New Roman" w:eastAsia="DengXian" w:hAnsi="Times New Roman" w:cs="Times New Roman"/>
                <w:sz w:val="20"/>
                <w:szCs w:val="20"/>
                <w:highlight w:val="green"/>
              </w:rPr>
              <w:t xml:space="preserve"> CORESET #0 as the frequeny position for initial DL BWP</w:t>
            </w:r>
            <w:r w:rsidRPr="0068736B">
              <w:rPr>
                <w:rFonts w:ascii="Times New Roman" w:eastAsia="DengXian" w:hAnsi="Times New Roman" w:cs="Times New Roman"/>
                <w:sz w:val="20"/>
                <w:szCs w:val="20"/>
              </w:rPr>
              <w:t>.]</w:t>
            </w:r>
          </w:p>
          <w:p w14:paraId="2B70CF03" w14:textId="0823EFDB" w:rsidR="008327EB"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Reference from 331</w:t>
            </w:r>
          </w:p>
          <w:p w14:paraId="13B7527F" w14:textId="77777777" w:rsidR="008327EB" w:rsidRPr="0068736B" w:rsidRDefault="008327EB" w:rsidP="008327EB">
            <w:pPr>
              <w:pStyle w:val="TAL"/>
              <w:rPr>
                <w:rFonts w:ascii="Times New Roman" w:hAnsi="Times New Roman" w:cs="Times New Roman"/>
                <w:b/>
                <w:i/>
                <w:sz w:val="20"/>
                <w:szCs w:val="20"/>
                <w:lang w:eastAsia="sv-SE"/>
              </w:rPr>
            </w:pPr>
            <w:r w:rsidRPr="0068736B">
              <w:rPr>
                <w:rFonts w:ascii="Times New Roman" w:hAnsi="Times New Roman" w:cs="Times New Roman"/>
                <w:b/>
                <w:i/>
                <w:sz w:val="20"/>
                <w:szCs w:val="20"/>
                <w:lang w:eastAsia="sv-SE"/>
              </w:rPr>
              <w:t>initialDownlinkBWP</w:t>
            </w:r>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325DD0">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lastRenderedPageBreak/>
              <w:t>FL3</w:t>
            </w:r>
          </w:p>
        </w:tc>
        <w:tc>
          <w:tcPr>
            <w:tcW w:w="19136" w:type="dxa"/>
          </w:tcPr>
          <w:p w14:paraId="49901242" w14:textId="53A2F01F" w:rsidR="00D05262" w:rsidRPr="005441A6" w:rsidRDefault="00D05262" w:rsidP="00325DD0">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325DD0">
            <w:pPr>
              <w:spacing w:after="180" w:line="252" w:lineRule="auto"/>
              <w:contextualSpacing/>
              <w:rPr>
                <w:rFonts w:ascii="Times New Roman" w:hAnsi="Times New Roman" w:cs="Times New Roman"/>
                <w:sz w:val="20"/>
                <w:szCs w:val="20"/>
                <w:lang w:eastAsia="ko-KR"/>
              </w:rPr>
            </w:pPr>
          </w:p>
          <w:p w14:paraId="5F6C3407" w14:textId="38BE3046" w:rsidR="00D05262" w:rsidRPr="005441A6" w:rsidRDefault="00D05262" w:rsidP="00325DD0">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0"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514DD90" w14:textId="77777777" w:rsidR="00D05262" w:rsidRPr="005441A6" w:rsidRDefault="00D05262" w:rsidP="00325DD0">
            <w:pPr>
              <w:spacing w:after="180" w:line="252" w:lineRule="auto"/>
              <w:contextualSpacing/>
              <w:rPr>
                <w:rFonts w:ascii="Times New Roman" w:hAnsi="Times New Roman" w:cs="Times New Roman"/>
                <w:b/>
                <w:bCs/>
                <w:sz w:val="20"/>
                <w:szCs w:val="20"/>
                <w:lang w:val="en-GB" w:eastAsia="ko-KR"/>
              </w:rPr>
            </w:pPr>
          </w:p>
        </w:tc>
      </w:tr>
      <w:tr w:rsidR="002C4CD0" w:rsidRPr="005441A6" w14:paraId="3F8316E9" w14:textId="77777777" w:rsidTr="00D05262">
        <w:tc>
          <w:tcPr>
            <w:tcW w:w="2122" w:type="dxa"/>
          </w:tcPr>
          <w:p w14:paraId="2170C08D" w14:textId="77777777" w:rsidR="002C4CD0" w:rsidRPr="005441A6" w:rsidRDefault="002C4CD0" w:rsidP="00325DD0">
            <w:pPr>
              <w:rPr>
                <w:rFonts w:ascii="Times New Roman" w:hAnsi="Times New Roman" w:cs="Times New Roman"/>
                <w:szCs w:val="20"/>
                <w:lang w:eastAsia="ko-KR"/>
              </w:rPr>
            </w:pPr>
          </w:p>
        </w:tc>
        <w:tc>
          <w:tcPr>
            <w:tcW w:w="19136" w:type="dxa"/>
          </w:tcPr>
          <w:p w14:paraId="7D97B18B" w14:textId="77777777" w:rsidR="002C4CD0" w:rsidRPr="005441A6" w:rsidRDefault="002C4CD0" w:rsidP="00325DD0">
            <w:pPr>
              <w:spacing w:after="180" w:line="252" w:lineRule="auto"/>
              <w:contextualSpacing/>
              <w:rPr>
                <w:rFonts w:ascii="Times New Roman" w:hAnsi="Times New Roman" w:cs="Times New Roman"/>
                <w:szCs w:val="20"/>
                <w:lang w:eastAsia="ko-KR"/>
              </w:rPr>
            </w:pP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2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2"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325DD0">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33AF8C2" w14:textId="7106B186" w:rsidR="00757222" w:rsidRPr="005441A6" w:rsidRDefault="00757222" w:rsidP="00325DD0">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w:t>
            </w:r>
            <w:r w:rsidR="00474E1B">
              <w:rPr>
                <w:rFonts w:ascii="Times New Roman" w:hAnsi="Times New Roman" w:cs="Times New Roman"/>
                <w:sz w:val="20"/>
                <w:szCs w:val="20"/>
                <w:lang w:eastAsia="ko-KR"/>
              </w:rPr>
              <w:t xml:space="preserve"> </w:t>
            </w:r>
            <w:r w:rsidR="00474E1B">
              <w:rPr>
                <w:rFonts w:ascii="Times New Roman" w:hAnsi="Times New Roman" w:cs="Times New Roman"/>
                <w:sz w:val="20"/>
                <w:szCs w:val="20"/>
                <w:lang w:eastAsia="ko-KR"/>
              </w:rPr>
              <w:t>and</w:t>
            </w:r>
            <w:r w:rsidR="00474E1B">
              <w:rPr>
                <w:rFonts w:ascii="Times New Roman" w:hAnsi="Times New Roman" w:cs="Times New Roman"/>
                <w:sz w:val="20"/>
                <w:szCs w:val="20"/>
                <w:lang w:eastAsia="ko-KR"/>
              </w:rPr>
              <w:t xml:space="preserve"> some</w:t>
            </w:r>
            <w:r w:rsidR="00474E1B">
              <w:rPr>
                <w:rFonts w:ascii="Times New Roman" w:hAnsi="Times New Roman" w:cs="Times New Roman"/>
                <w:sz w:val="20"/>
                <w:szCs w:val="20"/>
                <w:lang w:eastAsia="ko-KR"/>
              </w:rPr>
              <w:t xml:space="preserve"> further</w:t>
            </w:r>
            <w:r w:rsidR="00474E1B">
              <w:rPr>
                <w:rFonts w:ascii="Times New Roman" w:hAnsi="Times New Roman" w:cs="Times New Roman"/>
                <w:sz w:val="20"/>
                <w:szCs w:val="20"/>
                <w:lang w:eastAsia="ko-KR"/>
              </w:rPr>
              <w:t xml:space="preserve">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325DD0">
            <w:pPr>
              <w:spacing w:after="180" w:line="252" w:lineRule="auto"/>
              <w:contextualSpacing/>
              <w:rPr>
                <w:rFonts w:ascii="Times New Roman" w:hAnsi="Times New Roman" w:cs="Times New Roman"/>
                <w:sz w:val="20"/>
                <w:szCs w:val="20"/>
                <w:lang w:eastAsia="ko-KR"/>
              </w:rPr>
            </w:pPr>
          </w:p>
          <w:p w14:paraId="2DD17CD0" w14:textId="60D208E3" w:rsidR="00757222" w:rsidRPr="005441A6" w:rsidRDefault="00757222" w:rsidP="00325DD0">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3"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8AE0915" w14:textId="77777777" w:rsidR="00757222" w:rsidRPr="005441A6" w:rsidRDefault="00757222" w:rsidP="00325DD0">
            <w:pPr>
              <w:spacing w:after="180" w:line="252" w:lineRule="auto"/>
              <w:contextualSpacing/>
              <w:rPr>
                <w:rFonts w:ascii="Times New Roman" w:hAnsi="Times New Roman" w:cs="Times New Roman"/>
                <w:b/>
                <w:bCs/>
                <w:sz w:val="20"/>
                <w:szCs w:val="20"/>
                <w:lang w:val="en-GB" w:eastAsia="ko-KR"/>
              </w:rPr>
            </w:pPr>
          </w:p>
        </w:tc>
      </w:tr>
      <w:tr w:rsidR="002C4CD0" w:rsidRPr="005441A6" w14:paraId="1E46D090" w14:textId="77777777" w:rsidTr="00757222">
        <w:tc>
          <w:tcPr>
            <w:tcW w:w="2122" w:type="dxa"/>
          </w:tcPr>
          <w:p w14:paraId="43F308CA" w14:textId="77777777" w:rsidR="002C4CD0" w:rsidRPr="005441A6" w:rsidRDefault="002C4CD0" w:rsidP="00325DD0">
            <w:pPr>
              <w:rPr>
                <w:rFonts w:ascii="Times New Roman" w:hAnsi="Times New Roman" w:cs="Times New Roman"/>
                <w:szCs w:val="20"/>
                <w:lang w:eastAsia="ko-KR"/>
              </w:rPr>
            </w:pPr>
          </w:p>
        </w:tc>
        <w:tc>
          <w:tcPr>
            <w:tcW w:w="19136" w:type="dxa"/>
          </w:tcPr>
          <w:p w14:paraId="5DA501E7" w14:textId="77777777" w:rsidR="002C4CD0" w:rsidRPr="005441A6" w:rsidRDefault="002C4CD0" w:rsidP="00325DD0">
            <w:pPr>
              <w:spacing w:after="180" w:line="252" w:lineRule="auto"/>
              <w:contextualSpacing/>
              <w:rPr>
                <w:rFonts w:ascii="Times New Roman" w:hAnsi="Times New Roman" w:cs="Times New Roman"/>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4"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5"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77777777"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lastRenderedPageBreak/>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hyperlink r:id="rId26"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2C4CD0" w14:paraId="70AAC1EB" w14:textId="77777777" w:rsidTr="008327EB">
        <w:tc>
          <w:tcPr>
            <w:tcW w:w="2122" w:type="dxa"/>
          </w:tcPr>
          <w:p w14:paraId="7EFB6808" w14:textId="77777777" w:rsidR="002C4CD0" w:rsidRPr="005441A6" w:rsidRDefault="002C4CD0" w:rsidP="00B01577">
            <w:pPr>
              <w:rPr>
                <w:rFonts w:ascii="Times New Roman" w:hAnsi="Times New Roman" w:cs="Times New Roman"/>
                <w:szCs w:val="20"/>
                <w:lang w:eastAsia="ko-KR"/>
              </w:rPr>
            </w:pPr>
          </w:p>
        </w:tc>
        <w:tc>
          <w:tcPr>
            <w:tcW w:w="19136" w:type="dxa"/>
          </w:tcPr>
          <w:p w14:paraId="0DD2F26C" w14:textId="77777777" w:rsidR="002C4CD0" w:rsidRPr="005441A6" w:rsidRDefault="002C4CD0" w:rsidP="00B01577">
            <w:pPr>
              <w:spacing w:after="180" w:line="252" w:lineRule="auto"/>
              <w:contextualSpacing/>
              <w:rPr>
                <w:rFonts w:ascii="Times New Roman" w:hAnsi="Times New Roman" w:cs="Times New Roman"/>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2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p w14:paraId="1FA1C63E" w14:textId="4364B561"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hyperlink r:id="rId28"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325DD0">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325DD0">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325DD0">
            <w:pPr>
              <w:spacing w:after="180" w:line="252" w:lineRule="auto"/>
              <w:contextualSpacing/>
              <w:rPr>
                <w:rFonts w:ascii="Times New Roman" w:hAnsi="Times New Roman" w:cs="Times New Roman"/>
                <w:sz w:val="20"/>
                <w:szCs w:val="20"/>
                <w:lang w:eastAsia="ko-KR"/>
              </w:rPr>
            </w:pPr>
          </w:p>
          <w:p w14:paraId="049D72AB" w14:textId="3A995475" w:rsidR="005E2A1B" w:rsidRDefault="005E2A1B" w:rsidP="00325DD0">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hyperlink r:id="rId29"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2744B595" w14:textId="77777777" w:rsidR="005E2A1B" w:rsidRPr="008E3357" w:rsidRDefault="005E2A1B" w:rsidP="00325DD0">
            <w:pPr>
              <w:spacing w:after="180" w:line="252" w:lineRule="auto"/>
              <w:contextualSpacing/>
              <w:rPr>
                <w:rFonts w:ascii="Times New Roman" w:hAnsi="Times New Roman" w:cs="Times New Roman"/>
                <w:b/>
                <w:bCs/>
                <w:sz w:val="20"/>
                <w:szCs w:val="20"/>
                <w:lang w:val="en-GB" w:eastAsia="ko-KR"/>
              </w:rPr>
            </w:pPr>
          </w:p>
        </w:tc>
      </w:tr>
      <w:tr w:rsidR="002C4CD0" w:rsidRPr="008E3357" w14:paraId="40981F60" w14:textId="77777777" w:rsidTr="005E2A1B">
        <w:tc>
          <w:tcPr>
            <w:tcW w:w="2122" w:type="dxa"/>
          </w:tcPr>
          <w:p w14:paraId="608C0DB2" w14:textId="77777777" w:rsidR="002C4CD0" w:rsidRPr="005441A6" w:rsidRDefault="002C4CD0" w:rsidP="00325DD0">
            <w:pPr>
              <w:rPr>
                <w:rFonts w:ascii="Times New Roman" w:hAnsi="Times New Roman" w:cs="Times New Roman"/>
                <w:szCs w:val="20"/>
                <w:lang w:eastAsia="ko-KR"/>
              </w:rPr>
            </w:pPr>
          </w:p>
        </w:tc>
        <w:tc>
          <w:tcPr>
            <w:tcW w:w="19136" w:type="dxa"/>
          </w:tcPr>
          <w:p w14:paraId="77F657ED" w14:textId="77777777" w:rsidR="002C4CD0" w:rsidRPr="005441A6" w:rsidRDefault="002C4CD0" w:rsidP="00325DD0">
            <w:pPr>
              <w:spacing w:after="180" w:line="252" w:lineRule="auto"/>
              <w:contextualSpacing/>
              <w:rPr>
                <w:rFonts w:ascii="Times New Roman" w:hAnsi="Times New Roman" w:cs="Times New Roman"/>
                <w:szCs w:val="20"/>
                <w:lang w:eastAsia="ko-KR"/>
              </w:rPr>
            </w:pP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3708AB2F"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5E2A1B">
        <w:rPr>
          <w:rFonts w:ascii="Times New Roman" w:eastAsia="MS Mincho" w:hAnsi="Times New Roman" w:cs="Times New Roman"/>
          <w:b/>
          <w:bCs/>
          <w:szCs w:val="20"/>
          <w:lang w:val="en-GB" w:eastAsia="ja-JP"/>
        </w:rPr>
        <w:t>3</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30"/>
      <w:footerReference w:type="default" r:id="rId31"/>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E8089" w14:textId="77777777" w:rsidR="00E82E32" w:rsidRDefault="00E82E32">
      <w:pPr>
        <w:spacing w:after="0" w:line="240" w:lineRule="auto"/>
      </w:pPr>
      <w:r>
        <w:separator/>
      </w:r>
    </w:p>
  </w:endnote>
  <w:endnote w:type="continuationSeparator" w:id="0">
    <w:p w14:paraId="36798D05" w14:textId="77777777" w:rsidR="00E82E32" w:rsidRDefault="00E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8327EB" w:rsidRDefault="008327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DA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DA7">
      <w:rPr>
        <w:rStyle w:val="PageNumber"/>
        <w:noProof/>
      </w:rPr>
      <w:t>5</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8327EB" w:rsidRDefault="008327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DA7">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DA7">
      <w:rPr>
        <w:rStyle w:val="PageNumber"/>
        <w:noProof/>
      </w:rPr>
      <w:t>5</w:t>
    </w:r>
    <w:r>
      <w:rPr>
        <w:rStyle w:val="PageNumber"/>
      </w:rPr>
      <w:fldChar w:fldCharType="end"/>
    </w:r>
    <w:r>
      <w:rPr>
        <w:rStyle w:val="PageNumber"/>
      </w:rPr>
      <w:tab/>
    </w:r>
  </w:p>
  <w:p w14:paraId="231D688B" w14:textId="77777777" w:rsidR="008327EB" w:rsidRDefault="008327EB"/>
  <w:p w14:paraId="3A40622E" w14:textId="77777777" w:rsidR="008327EB" w:rsidRDefault="00832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32ECB" w14:textId="77777777" w:rsidR="00E82E32" w:rsidRDefault="00E82E32">
      <w:pPr>
        <w:spacing w:after="0" w:line="240" w:lineRule="auto"/>
      </w:pPr>
      <w:r>
        <w:separator/>
      </w:r>
    </w:p>
  </w:footnote>
  <w:footnote w:type="continuationSeparator" w:id="0">
    <w:p w14:paraId="0272F589" w14:textId="77777777" w:rsidR="00E82E32" w:rsidRDefault="00E8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8327EB" w:rsidRDefault="008327E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8327EB" w:rsidRDefault="008327EB">
    <w:r>
      <w:t xml:space="preserve">Page </w:t>
    </w:r>
    <w:r>
      <w:fldChar w:fldCharType="begin"/>
    </w:r>
    <w:r>
      <w:instrText>PAGE</w:instrText>
    </w:r>
    <w:r>
      <w:fldChar w:fldCharType="separate"/>
    </w:r>
    <w:r>
      <w:t>4</w:t>
    </w:r>
    <w:r>
      <w:fldChar w:fldCharType="end"/>
    </w:r>
    <w:r>
      <w:br/>
      <w:t>Draft prETS 300 ???: Month YYYY</w:t>
    </w:r>
  </w:p>
  <w:p w14:paraId="7B8D1FBD" w14:textId="77777777" w:rsidR="008327EB" w:rsidRDefault="008327EB"/>
  <w:p w14:paraId="70079AF4" w14:textId="77777777" w:rsidR="008327EB" w:rsidRDefault="0083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10"/>
  </w:num>
  <w:num w:numId="3">
    <w:abstractNumId w:val="1"/>
  </w:num>
  <w:num w:numId="4">
    <w:abstractNumId w:val="7"/>
  </w:num>
  <w:num w:numId="5">
    <w:abstractNumId w:val="5"/>
  </w:num>
  <w:num w:numId="6">
    <w:abstractNumId w:val="17"/>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8"/>
  </w:num>
  <w:num w:numId="17">
    <w:abstractNumId w:val="20"/>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0.xlsx" TargetMode="External"/><Relationship Id="rId26" Type="http://schemas.openxmlformats.org/officeDocument/2006/relationships/hyperlink" Target="https://www.3gpp.org/ftp/tsg_ran/WG1_RL1/TSGR1_107-e/Inbox/drafts/8.6/ParamList/RedCapParamList-v002.xlsx" TargetMode="External"/><Relationship Id="rId3" Type="http://schemas.openxmlformats.org/officeDocument/2006/relationships/customXml" Target="../customXml/item3.xml"/><Relationship Id="rId21" Type="http://schemas.openxmlformats.org/officeDocument/2006/relationships/hyperlink" Target="https://www.3gpp.org/ftp/tsg_ran/WG1_RL1/TSGR1_107-e/Inbox/drafts/8.6/ParamList/RedCapParamList-v000.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2.xlsx" TargetMode="External"/><Relationship Id="rId25" Type="http://schemas.openxmlformats.org/officeDocument/2006/relationships/hyperlink" Target="https://www.3gpp.org/ftp/tsg_ran/WG1_RL1/TSGR1_107-e/Inbox/drafts/8.6/ParamList/RedCapParamList-v001.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2.xlsx" TargetMode="External"/><Relationship Id="rId29" Type="http://schemas.openxmlformats.org/officeDocument/2006/relationships/hyperlink" Target="https://www.3gpp.org/ftp/tsg_ran/WG1_RL1/TSGR1_107-e/Inbox/drafts/8.6/ParamList/RedCapParamList-v002.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0.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2.xlsx" TargetMode="External"/><Relationship Id="rId28" Type="http://schemas.openxmlformats.org/officeDocument/2006/relationships/hyperlink" Target="https://www.3gpp.org/ftp/tsg_ran/WG1_RL1/TSGR1_107-e/Inbox/drafts/8.6/ParamList/RedCapParamList-v001.xlsx" TargetMode="Externa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1.xls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1.xlsx" TargetMode="External"/><Relationship Id="rId27" Type="http://schemas.openxmlformats.org/officeDocument/2006/relationships/hyperlink" Target="https://www.3gpp.org/ftp/tsg_ran/WG1_RL1/TSGR1_107-e/Inbox/drafts/8.6/ParamList/RedCapParamList-v000.xlsx"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52F2F123-AAAD-490F-A4F4-0E805DE9E72E}">
  <ds:schemaRefs>
    <ds:schemaRef ds:uri="http://schemas.openxmlformats.org/officeDocument/2006/bibliography"/>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2482</Words>
  <Characters>13155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23</cp:revision>
  <cp:lastPrinted>2008-01-31T16:09:00Z</cp:lastPrinted>
  <dcterms:created xsi:type="dcterms:W3CDTF">2021-11-18T09:57:00Z</dcterms:created>
  <dcterms:modified xsi:type="dcterms:W3CDTF">2021-11-18T19:09:00Z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