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43C3FC5A" w14:textId="77777777" w:rsidR="00665C2B" w:rsidRDefault="00706918">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w:t>
            </w:r>
            <w:proofErr w:type="gramStart"/>
            <w:r>
              <w:rPr>
                <w:rFonts w:ascii="Times New Roman" w:eastAsia="Times New Roman" w:hAnsi="Times New Roman"/>
                <w:iCs/>
                <w:sz w:val="20"/>
                <w:szCs w:val="20"/>
              </w:rPr>
              <w:t>Section</w:t>
            </w:r>
            <w:proofErr w:type="gramEnd"/>
            <w:r>
              <w:rPr>
                <w:rFonts w:ascii="Times New Roman" w:eastAsia="Times New Roman" w:hAnsi="Times New Roman"/>
                <w:iCs/>
                <w:sz w:val="20"/>
                <w:szCs w:val="20"/>
              </w:rPr>
              <w:t xml:space="preserve">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1F7B73">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w:t>
            </w:r>
            <w:proofErr w:type="gramStart"/>
            <w:r w:rsidR="00706918">
              <w:rPr>
                <w:rFonts w:ascii="Times New Roman" w:hAnsi="Times New Roman"/>
                <w:sz w:val="20"/>
                <w:szCs w:val="20"/>
              </w:rPr>
              <w:t>in</w:t>
            </w:r>
            <w:proofErr w:type="gramEnd"/>
            <w:r w:rsidR="00706918">
              <w:rPr>
                <w:rFonts w:ascii="Times New Roman" w:hAnsi="Times New Roman"/>
                <w:sz w:val="20"/>
                <w:szCs w:val="20"/>
              </w:rPr>
              <w:t xml:space="preserve"> PDSCH processing time)</w:t>
            </w:r>
          </w:p>
          <w:p w14:paraId="1198D078" w14:textId="77777777" w:rsidR="00665C2B" w:rsidRDefault="001F7B73">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w:t>
            </w:r>
            <w:proofErr w:type="gramStart"/>
            <w:r w:rsidR="00706918">
              <w:rPr>
                <w:rFonts w:ascii="Times New Roman" w:hAnsi="Times New Roman"/>
                <w:sz w:val="20"/>
                <w:szCs w:val="20"/>
              </w:rPr>
              <w:t>in</w:t>
            </w:r>
            <w:proofErr w:type="gramEnd"/>
            <w:r w:rsidR="00706918">
              <w:rPr>
                <w:rFonts w:ascii="Times New Roman" w:hAnsi="Times New Roman"/>
                <w:sz w:val="20"/>
                <w:szCs w:val="20"/>
              </w:rPr>
              <w:t xml:space="preserve">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 xml:space="preserve">Note that several new options are proposed in this meeting and hopefully to address concerns on both </w:t>
      </w:r>
      <w:proofErr w:type="gramStart"/>
      <w:r>
        <w:rPr>
          <w:lang w:eastAsia="zh-CN"/>
        </w:rPr>
        <w:t>side</w:t>
      </w:r>
      <w:proofErr w:type="gramEnd"/>
      <w:r>
        <w:rPr>
          <w:lang w:eastAsia="zh-CN"/>
        </w:rPr>
        <w:t>.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w:t>
            </w:r>
            <w:proofErr w:type="gramStart"/>
            <w:r>
              <w:rPr>
                <w:rFonts w:ascii="Times New Roman" w:eastAsiaTheme="minorEastAsia" w:hAnsi="Times New Roman"/>
                <w:szCs w:val="20"/>
                <w:lang w:eastAsia="ko-KR"/>
              </w:rPr>
              <w:t>taking into account</w:t>
            </w:r>
            <w:proofErr w:type="gramEnd"/>
            <w:r>
              <w:rPr>
                <w:rFonts w:ascii="Times New Roman" w:eastAsiaTheme="minorEastAsia" w:hAnsi="Times New Roman"/>
                <w:szCs w:val="20"/>
                <w:lang w:eastAsia="ko-KR"/>
              </w:rPr>
              <w:t xml:space="preserve">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agreed in RAN1#106bis-e </w:t>
      </w:r>
      <w:proofErr w:type="gramStart"/>
      <w:r>
        <w:rPr>
          <w:rFonts w:ascii="Times New Roman" w:hAnsi="Times New Roman"/>
          <w:szCs w:val="20"/>
          <w:lang w:val="en-GB" w:eastAsia="zh-CN"/>
        </w:rPr>
        <w:t>are not be</w:t>
      </w:r>
      <w:proofErr w:type="gramEnd"/>
      <w:r>
        <w:rPr>
          <w:rFonts w:ascii="Times New Roman" w:hAnsi="Times New Roman"/>
          <w:szCs w:val="20"/>
          <w:lang w:val="en-GB" w:eastAsia="zh-CN"/>
        </w:rPr>
        <w:t xml:space="preserv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w:t>
            </w:r>
            <w:proofErr w:type="spellStart"/>
            <w:r>
              <w:t>upies</w:t>
            </w:r>
            <w:proofErr w:type="spellEnd"/>
            <w:r>
              <w:t xml:space="preserve">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w:t>
      </w:r>
      <w:proofErr w:type="gramStart"/>
      <w:r>
        <w:t>taking into account</w:t>
      </w:r>
      <w:proofErr w:type="gramEnd"/>
      <w:r>
        <w:t xml:space="preserve">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 xml:space="preserve">We would like to understand companies’ logic of needing to </w:t>
            </w:r>
            <w:proofErr w:type="gramStart"/>
            <w:r>
              <w:rPr>
                <w:rFonts w:ascii="Times New Roman" w:hAnsi="Times New Roman"/>
                <w:szCs w:val="20"/>
                <w:lang w:eastAsia="zh-CN"/>
              </w:rPr>
              <w:t>scaling</w:t>
            </w:r>
            <w:proofErr w:type="gramEnd"/>
            <w:r>
              <w:rPr>
                <w:rFonts w:ascii="Times New Roman" w:hAnsi="Times New Roman"/>
                <w:szCs w:val="20"/>
                <w:lang w:eastAsia="zh-CN"/>
              </w:rPr>
              <w:t xml:space="preserve">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FB466D3"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in time permits</w:t>
            </w:r>
          </w:p>
        </w:tc>
      </w:tr>
      <w:tr w:rsidR="00827B33" w14:paraId="7711ABB6" w14:textId="77777777" w:rsidTr="00827B33">
        <w:trPr>
          <w:trHeight w:val="339"/>
        </w:trPr>
        <w:tc>
          <w:tcPr>
            <w:tcW w:w="1871" w:type="dxa"/>
          </w:tcPr>
          <w:p w14:paraId="072819B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A66963">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w:t>
      </w:r>
      <w:proofErr w:type="gramStart"/>
      <w:r>
        <w:rPr>
          <w:rFonts w:asciiTheme="minorHAnsi" w:hAnsiTheme="minorHAnsi" w:cstheme="minorHAnsi"/>
          <w:lang w:eastAsia="zh-CN"/>
        </w:rPr>
        <w:t>values</w:t>
      </w:r>
      <w:proofErr w:type="gramEnd"/>
      <w:r>
        <w:rPr>
          <w:rFonts w:asciiTheme="minorHAnsi" w:hAnsiTheme="minorHAnsi" w:cstheme="minorHAnsi"/>
          <w:lang w:eastAsia="zh-CN"/>
        </w:rPr>
        <w:t xml:space="preserve">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 xml:space="preserve">Note: X in 38.213 </w:t>
      </w:r>
      <w:proofErr w:type="gramStart"/>
      <w:r>
        <w:rPr>
          <w:rFonts w:ascii="Times New Roman" w:hAnsi="Times New Roman"/>
          <w:sz w:val="20"/>
          <w:szCs w:val="20"/>
          <w:lang w:eastAsia="zh-CN"/>
        </w:rPr>
        <w:t>Section</w:t>
      </w:r>
      <w:proofErr w:type="gramEnd"/>
      <w:r>
        <w:rPr>
          <w:rFonts w:ascii="Times New Roman" w:hAnsi="Times New Roman"/>
          <w:sz w:val="20"/>
          <w:szCs w:val="20"/>
          <w:lang w:eastAsia="zh-CN"/>
        </w:rPr>
        <w:t xml:space="preserve">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lastRenderedPageBreak/>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w:t>
      </w:r>
      <w:proofErr w:type="gramStart"/>
      <w:r>
        <w:rPr>
          <w:lang w:eastAsia="zh-CN"/>
        </w:rPr>
        <w:t>perspective</w:t>
      </w:r>
      <w:proofErr w:type="gramEnd"/>
      <w:r>
        <w:rPr>
          <w:lang w:eastAsia="zh-CN"/>
        </w:rPr>
        <w:t xml:space="preser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if no consensus on option 1 or option 3, option 2 would be the outcome.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w:t>
            </w:r>
            <w:proofErr w:type="gramStart"/>
            <w:r>
              <w:rPr>
                <w:rFonts w:ascii="Times New Roman" w:eastAsia="MS PMincho" w:hAnsi="Times New Roman"/>
                <w:szCs w:val="20"/>
                <w:lang w:eastAsia="zh-CN"/>
              </w:rPr>
              <w:t xml:space="preserve">to </w:t>
            </w:r>
            <w:r w:rsidR="00500F79">
              <w:rPr>
                <w:rFonts w:ascii="Times New Roman" w:eastAsia="MS PMincho" w:hAnsi="Times New Roman"/>
                <w:szCs w:val="20"/>
                <w:lang w:eastAsia="zh-CN"/>
              </w:rPr>
              <w:t>capture</w:t>
            </w:r>
            <w:proofErr w:type="gramEnd"/>
            <w:r w:rsidR="00500F79">
              <w:rPr>
                <w:rFonts w:ascii="Times New Roman" w:eastAsia="MS PMincho" w:hAnsi="Times New Roman"/>
                <w:szCs w:val="20"/>
                <w:lang w:eastAsia="zh-CN"/>
              </w:rPr>
              <w:t xml:space="preserv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02D2CBAE" w:rsidR="00E1245E" w:rsidRDefault="00E1245E" w:rsidP="00E1245E">
            <w:pPr>
              <w:pStyle w:val="BodyText"/>
              <w:spacing w:line="240" w:lineRule="auto"/>
              <w:rPr>
                <w:rFonts w:ascii="Times New Roman" w:hAnsi="Times New Roman"/>
                <w:iCs/>
                <w:szCs w:val="20"/>
                <w:lang w:eastAsia="zh-CN"/>
              </w:rPr>
            </w:pPr>
            <w:r>
              <w:rPr>
                <w:rFonts w:ascii="Times New Roman" w:hAnsi="Times New Roman" w:hint="eastAsia"/>
                <w:iCs/>
                <w:szCs w:val="20"/>
                <w:lang w:eastAsia="zh-CN"/>
              </w:rPr>
              <w:t>v</w:t>
            </w:r>
            <w:r>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Default="003F0553" w:rsidP="003F0553">
      <w:pPr>
        <w:pStyle w:val="Heading5"/>
      </w:pPr>
      <w:r>
        <w:rPr>
          <w:highlight w:val="cyan"/>
        </w:rPr>
        <w:t>Conclusion 2-1b</w:t>
      </w:r>
      <w: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9241CF">
        <w:trPr>
          <w:trHeight w:val="224"/>
        </w:trPr>
        <w:tc>
          <w:tcPr>
            <w:tcW w:w="1871" w:type="dxa"/>
            <w:shd w:val="clear" w:color="auto" w:fill="FFE599" w:themeFill="accent4" w:themeFillTint="66"/>
          </w:tcPr>
          <w:p w14:paraId="36C68F6E"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9241CF">
        <w:trPr>
          <w:trHeight w:val="339"/>
        </w:trPr>
        <w:tc>
          <w:tcPr>
            <w:tcW w:w="1871" w:type="dxa"/>
          </w:tcPr>
          <w:p w14:paraId="250ABFE9" w14:textId="7516BB59"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9241CF">
        <w:trPr>
          <w:trHeight w:val="339"/>
        </w:trPr>
        <w:tc>
          <w:tcPr>
            <w:tcW w:w="1871" w:type="dxa"/>
          </w:tcPr>
          <w:p w14:paraId="64F5F086" w14:textId="4B99D3A3"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4A193FC9" w14:textId="2529B1E1" w:rsidR="003F0553" w:rsidRDefault="003F0553" w:rsidP="009241CF">
            <w:pPr>
              <w:pStyle w:val="BodyText"/>
              <w:spacing w:before="0" w:after="0" w:line="240" w:lineRule="auto"/>
              <w:rPr>
                <w:rFonts w:ascii="Times New Roman" w:hAnsi="Times New Roman"/>
                <w:szCs w:val="20"/>
                <w:lang w:eastAsia="zh-CN"/>
              </w:rPr>
            </w:pPr>
          </w:p>
        </w:tc>
      </w:tr>
      <w:tr w:rsidR="003F0553" w14:paraId="4433441D" w14:textId="77777777" w:rsidTr="009241CF">
        <w:trPr>
          <w:trHeight w:val="339"/>
        </w:trPr>
        <w:tc>
          <w:tcPr>
            <w:tcW w:w="1871" w:type="dxa"/>
          </w:tcPr>
          <w:p w14:paraId="2F705BC1" w14:textId="43405B91"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047CD63B" w14:textId="3A2BF41A" w:rsidR="003F0553" w:rsidRDefault="003F0553" w:rsidP="009241CF">
            <w:pPr>
              <w:pStyle w:val="BodyText"/>
              <w:spacing w:before="0" w:after="0" w:line="240" w:lineRule="auto"/>
              <w:rPr>
                <w:rFonts w:ascii="Times New Roman" w:hAnsi="Times New Roman"/>
                <w:szCs w:val="20"/>
                <w:lang w:eastAsia="zh-CN"/>
              </w:rPr>
            </w:pPr>
          </w:p>
        </w:tc>
      </w:tr>
    </w:tbl>
    <w:p w14:paraId="0B7B635D" w14:textId="77777777" w:rsidR="003F0553" w:rsidRDefault="003F0553">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exact same aspect was discussed in RAN1#106bis-e. There was very limited input/interest from other companies in RAN1#106bis-e where only two companies commented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06B7F1E0"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lastRenderedPageBreak/>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w:t>
            </w:r>
            <w:proofErr w:type="gramStart"/>
            <w:r>
              <w:rPr>
                <w:rFonts w:ascii="Times New Roman" w:hAnsi="Times New Roman"/>
                <w:szCs w:val="20"/>
                <w:lang w:eastAsia="zh-CN"/>
              </w:rPr>
              <w:t>2;</w:t>
            </w:r>
            <w:proofErr w:type="gramEnd"/>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lastRenderedPageBreak/>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24E13FE5"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FR2_2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9241CF">
        <w:trPr>
          <w:trHeight w:val="224"/>
        </w:trPr>
        <w:tc>
          <w:tcPr>
            <w:tcW w:w="1871" w:type="dxa"/>
            <w:shd w:val="clear" w:color="auto" w:fill="FFE599" w:themeFill="accent4" w:themeFillTint="66"/>
          </w:tcPr>
          <w:p w14:paraId="1504232F"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9241CF">
        <w:trPr>
          <w:trHeight w:val="339"/>
        </w:trPr>
        <w:tc>
          <w:tcPr>
            <w:tcW w:w="1871" w:type="dxa"/>
          </w:tcPr>
          <w:p w14:paraId="3287A5DC" w14:textId="2B74F711" w:rsidR="003F0553" w:rsidRDefault="00810B8A" w:rsidP="009241C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9241C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9241CF">
        <w:trPr>
          <w:trHeight w:val="339"/>
        </w:trPr>
        <w:tc>
          <w:tcPr>
            <w:tcW w:w="1871" w:type="dxa"/>
          </w:tcPr>
          <w:p w14:paraId="6A107F42" w14:textId="0853DA30"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9241CF">
        <w:trPr>
          <w:trHeight w:val="339"/>
        </w:trPr>
        <w:tc>
          <w:tcPr>
            <w:tcW w:w="1871" w:type="dxa"/>
          </w:tcPr>
          <w:p w14:paraId="3E405A5A" w14:textId="6C2C0548" w:rsidR="003F0553" w:rsidRDefault="003F0553" w:rsidP="009241CF">
            <w:pPr>
              <w:pStyle w:val="BodyText"/>
              <w:spacing w:before="0" w:after="0" w:line="240" w:lineRule="auto"/>
              <w:rPr>
                <w:rFonts w:ascii="Times New Roman" w:eastAsiaTheme="minorEastAsia" w:hAnsi="Times New Roman"/>
                <w:szCs w:val="20"/>
                <w:lang w:eastAsia="ko-KR"/>
              </w:rPr>
            </w:pPr>
          </w:p>
        </w:tc>
        <w:tc>
          <w:tcPr>
            <w:tcW w:w="8021" w:type="dxa"/>
          </w:tcPr>
          <w:p w14:paraId="65DCA653" w14:textId="2EFE4865" w:rsidR="003F0553" w:rsidRDefault="003F0553" w:rsidP="003F0553">
            <w:pPr>
              <w:pStyle w:val="BodyText"/>
              <w:spacing w:before="0" w:after="0" w:line="240" w:lineRule="auto"/>
              <w:rPr>
                <w:rFonts w:ascii="Times New Roman" w:eastAsiaTheme="minorEastAsia" w:hAnsi="Times New Roman"/>
                <w:szCs w:val="20"/>
                <w:lang w:eastAsia="ko-KR"/>
              </w:rPr>
            </w:pPr>
          </w:p>
        </w:tc>
      </w:tr>
    </w:tbl>
    <w:p w14:paraId="250AB4DF" w14:textId="77777777" w:rsidR="003F0553" w:rsidRDefault="003F0553"/>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733157D3" w:rsidR="00665C2B" w:rsidRDefault="00706918">
      <w:pPr>
        <w:pStyle w:val="Heading1"/>
        <w:numPr>
          <w:ilvl w:val="0"/>
          <w:numId w:val="5"/>
        </w:numPr>
        <w:ind w:left="360"/>
        <w:rPr>
          <w:rFonts w:cs="Arial"/>
          <w:sz w:val="32"/>
          <w:szCs w:val="32"/>
        </w:rPr>
      </w:pPr>
      <w:r>
        <w:rPr>
          <w:rFonts w:cs="Arial"/>
          <w:sz w:val="32"/>
          <w:szCs w:val="32"/>
        </w:rPr>
        <w:t>Recommendation for GTW</w:t>
      </w:r>
      <w:r w:rsidR="00475307">
        <w:rPr>
          <w:rFonts w:cs="Arial"/>
          <w:sz w:val="32"/>
          <w:szCs w:val="32"/>
        </w:rPr>
        <w:t xml:space="preserve"> discussion and decision</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lastRenderedPageBreak/>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 xml:space="preserve">Note: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1F7B73">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1F7B73">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1F7B73">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1F7B73">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1F7B73">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1F7B73">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1F7B73">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1F7B73">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1F7B73">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1F7B73">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1F7B73">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1F7B73">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1F7B73">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1F7B73">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1F7B73">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1F7B73">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1F7B73">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1F7B73">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1F7B73">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1F7B73">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1F7B73">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r>
      <w:proofErr w:type="gramStart"/>
      <w:r w:rsidR="00706918">
        <w:rPr>
          <w:rFonts w:ascii="Times New Roman" w:hAnsi="Times New Roman"/>
          <w:iCs/>
          <w:sz w:val="20"/>
          <w:szCs w:val="20"/>
          <w:lang w:eastAsia="zh-CN"/>
        </w:rPr>
        <w:t>Multi-PDSCH</w:t>
      </w:r>
      <w:proofErr w:type="gramEnd"/>
      <w:r w:rsidR="00706918">
        <w:rPr>
          <w:rFonts w:ascii="Times New Roman" w:hAnsi="Times New Roman"/>
          <w:iCs/>
          <w:sz w:val="20"/>
          <w:szCs w:val="20"/>
          <w:lang w:eastAsia="zh-CN"/>
        </w:rPr>
        <w:t xml:space="preserve"> scheduling design for 52.6-71 GHz NR operation</w:t>
      </w:r>
      <w:r w:rsidR="00706918">
        <w:rPr>
          <w:rFonts w:ascii="Times New Roman" w:hAnsi="Times New Roman"/>
          <w:iCs/>
          <w:sz w:val="20"/>
          <w:szCs w:val="20"/>
          <w:lang w:eastAsia="zh-CN"/>
        </w:rPr>
        <w:tab/>
        <w:t>MediaTek Inc.</w:t>
      </w:r>
    </w:p>
    <w:p w14:paraId="3FC0B8F1" w14:textId="77777777" w:rsidR="00665C2B" w:rsidRDefault="001F7B73">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6647" w14:textId="77777777" w:rsidR="001F7B73" w:rsidRDefault="001F7B73">
      <w:pPr>
        <w:spacing w:after="0" w:line="240" w:lineRule="auto"/>
      </w:pPr>
      <w:r>
        <w:separator/>
      </w:r>
    </w:p>
  </w:endnote>
  <w:endnote w:type="continuationSeparator" w:id="0">
    <w:p w14:paraId="52E3767D" w14:textId="77777777" w:rsidR="001F7B73" w:rsidRDefault="001F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604020202020204"/>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9F72" w14:textId="77777777" w:rsidR="00AD473E" w:rsidRDefault="00AD47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AD473E" w:rsidRDefault="00AD47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8E41" w14:textId="6D2D4677" w:rsidR="00AD473E" w:rsidRDefault="00AD473E">
    <w:pPr>
      <w:pStyle w:val="Footer"/>
      <w:ind w:right="360"/>
    </w:pPr>
    <w:r>
      <w:rPr>
        <w:rStyle w:val="PageNumber"/>
      </w:rPr>
      <w:fldChar w:fldCharType="begin"/>
    </w:r>
    <w:r>
      <w:rPr>
        <w:rStyle w:val="PageNumber"/>
      </w:rPr>
      <w:instrText xml:space="preserve"> PAGE </w:instrText>
    </w:r>
    <w:r>
      <w:rPr>
        <w:rStyle w:val="PageNumber"/>
      </w:rPr>
      <w:fldChar w:fldCharType="separate"/>
    </w:r>
    <w:r w:rsidR="00827B33">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7B33">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B2C3" w14:textId="77777777" w:rsidR="001F7B73" w:rsidRDefault="001F7B73">
      <w:pPr>
        <w:spacing w:after="0" w:line="240" w:lineRule="auto"/>
      </w:pPr>
      <w:r>
        <w:separator/>
      </w:r>
    </w:p>
  </w:footnote>
  <w:footnote w:type="continuationSeparator" w:id="0">
    <w:p w14:paraId="0578D283" w14:textId="77777777" w:rsidR="001F7B73" w:rsidRDefault="001F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20DD" w14:textId="77777777" w:rsidR="00AD473E" w:rsidRDefault="00AD47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23"/>
  </w:num>
  <w:num w:numId="7">
    <w:abstractNumId w:val="28"/>
  </w:num>
  <w:num w:numId="8">
    <w:abstractNumId w:val="16"/>
  </w:num>
  <w:num w:numId="9">
    <w:abstractNumId w:val="17"/>
  </w:num>
  <w:num w:numId="10">
    <w:abstractNumId w:val="0"/>
  </w:num>
  <w:num w:numId="11">
    <w:abstractNumId w:val="27"/>
  </w:num>
  <w:num w:numId="12">
    <w:abstractNumId w:val="2"/>
  </w:num>
  <w:num w:numId="13">
    <w:abstractNumId w:val="6"/>
  </w:num>
  <w:num w:numId="14">
    <w:abstractNumId w:val="26"/>
  </w:num>
  <w:num w:numId="15">
    <w:abstractNumId w:val="8"/>
  </w:num>
  <w:num w:numId="16">
    <w:abstractNumId w:val="14"/>
  </w:num>
  <w:num w:numId="17">
    <w:abstractNumId w:val="5"/>
  </w:num>
  <w:num w:numId="18">
    <w:abstractNumId w:val="15"/>
  </w:num>
  <w:num w:numId="19">
    <w:abstractNumId w:val="19"/>
  </w:num>
  <w:num w:numId="20">
    <w:abstractNumId w:val="30"/>
  </w:num>
  <w:num w:numId="21">
    <w:abstractNumId w:val="10"/>
  </w:num>
  <w:num w:numId="22">
    <w:abstractNumId w:val="11"/>
  </w:num>
  <w:num w:numId="23">
    <w:abstractNumId w:val="3"/>
  </w:num>
  <w:num w:numId="24">
    <w:abstractNumId w:val="9"/>
  </w:num>
  <w:num w:numId="25">
    <w:abstractNumId w:val="29"/>
  </w:num>
  <w:num w:numId="26">
    <w:abstractNumId w:val="21"/>
  </w:num>
  <w:num w:numId="27">
    <w:abstractNumId w:val="22"/>
  </w:num>
  <w:num w:numId="28">
    <w:abstractNumId w:val="4"/>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panose1 w:val="020B0604020202020204"/>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A55BD3-62F7-46F4-9D15-FCB4FE51FB96}">
  <ds:schemaRefs>
    <ds:schemaRef ds:uri="http://schemas.openxmlformats.org/officeDocument/2006/bibliography"/>
  </ds:schemaRefs>
</ds:datastoreItem>
</file>

<file path=customXml/itemProps6.xml><?xml version="1.0" encoding="utf-8"?>
<ds:datastoreItem xmlns:ds="http://schemas.openxmlformats.org/officeDocument/2006/customXml" ds:itemID="{CE65D531-1E51-4BC8-9C07-42DFBAE3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4</TotalTime>
  <Pages>31</Pages>
  <Words>12090</Words>
  <Characters>68918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80847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Kome Oteri</cp:lastModifiedBy>
  <cp:revision>2</cp:revision>
  <cp:lastPrinted>2011-11-09T07:49:00Z</cp:lastPrinted>
  <dcterms:created xsi:type="dcterms:W3CDTF">2021-11-16T10:26:00Z</dcterms:created>
  <dcterms:modified xsi:type="dcterms:W3CDTF">2021-11-16T10:26:00Z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