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9043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[Status]</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43C3FC5A" w14:textId="77777777" w:rsidR="00665C2B" w:rsidRDefault="00706918">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 xml:space="preserve">[2, </w:t>
            </w:r>
            <w:proofErr w:type="spellStart"/>
            <w:r>
              <w:rPr>
                <w:lang w:val="en-GB" w:eastAsia="zh-CN"/>
              </w:rPr>
              <w:t>Futurewei</w:t>
            </w:r>
            <w:proofErr w:type="spellEnd"/>
            <w:r>
              <w:rPr>
                <w:lang w:val="en-GB" w:eastAsia="zh-CN"/>
              </w:rPr>
              <w:t>]</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바탕"/>
                <w:bCs/>
                <w:lang w:eastAsia="ko-KR"/>
              </w:rPr>
              <w:t>d</w:t>
            </w:r>
            <w:r>
              <w:rPr>
                <w:rFonts w:eastAsia="바탕"/>
                <w:bCs/>
                <w:vertAlign w:val="subscript"/>
                <w:lang w:eastAsia="ko-KR"/>
              </w:rPr>
              <w:t>1,1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proc,1</w:t>
            </w:r>
            <w:r>
              <w:rPr>
                <w:bCs/>
              </w:rPr>
              <w:t xml:space="preserve"> in PDSCH processing time) and </w:t>
            </w:r>
            <w:r>
              <w:rPr>
                <w:rFonts w:eastAsia="바탕"/>
                <w:bCs/>
                <w:lang w:eastAsia="ko-KR"/>
              </w:rPr>
              <w:t>d</w:t>
            </w:r>
            <w:r>
              <w:rPr>
                <w:rFonts w:eastAsia="바탕"/>
                <w:bCs/>
                <w:vertAlign w:val="subscript"/>
                <w:lang w:eastAsia="ko-KR"/>
              </w:rPr>
              <w:t>2,1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proc,2</w:t>
            </w:r>
            <w:r>
              <w:rPr>
                <w:rFonts w:eastAsia="바탕"/>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맑은 고딕"/>
                <w:bCs/>
              </w:rPr>
            </w:pPr>
            <w:r>
              <w:rPr>
                <w:rFonts w:eastAsia="맑은 고딕"/>
                <w:bCs/>
              </w:rPr>
              <w:t>Proposal 10</w:t>
            </w:r>
            <w:r>
              <w:rPr>
                <w:rFonts w:eastAsia="맑은 고딕"/>
                <w:bCs/>
              </w:rPr>
              <w:tab/>
              <w:t>Adopt Option 1 for PDSCH-to-</w:t>
            </w:r>
            <w:proofErr w:type="spellStart"/>
            <w:r>
              <w:rPr>
                <w:rFonts w:eastAsia="맑은 고딕"/>
                <w:bCs/>
              </w:rPr>
              <w:t>HARQ_feedback</w:t>
            </w:r>
            <w:proofErr w:type="spellEnd"/>
            <w:r>
              <w:rPr>
                <w:rFonts w:eastAsia="맑은 고딕"/>
                <w:bCs/>
              </w:rPr>
              <w:t xml:space="preserve"> timing indication in DCI format 1_0. I.e., the K1 value in number of slots is directly indicated by the PDSCH-to-</w:t>
            </w:r>
            <w:proofErr w:type="spellStart"/>
            <w:r>
              <w:rPr>
                <w:rFonts w:eastAsia="맑은 고딕"/>
                <w:bCs/>
              </w:rPr>
              <w:t>HARQ_feedback</w:t>
            </w:r>
            <w:proofErr w:type="spellEnd"/>
            <w:r>
              <w:rPr>
                <w:rFonts w:eastAsia="맑은 고딕"/>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맑은 고딕"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바탕"/>
                <w:bCs/>
              </w:rPr>
              <w:t>d</w:t>
            </w:r>
            <w:r>
              <w:rPr>
                <w:rFonts w:eastAsia="바탕"/>
                <w:bCs/>
                <w:vertAlign w:val="subscript"/>
              </w:rPr>
              <w:t>1,1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proc,1</w:t>
            </w:r>
            <w:r>
              <w:rPr>
                <w:bCs/>
              </w:rPr>
              <w:t xml:space="preserve"> in PDSCH processing time) and </w:t>
            </w:r>
            <w:r>
              <w:rPr>
                <w:rFonts w:eastAsia="바탕"/>
                <w:bCs/>
              </w:rPr>
              <w:t>d</w:t>
            </w:r>
            <w:r>
              <w:rPr>
                <w:rFonts w:eastAsia="바탕"/>
                <w:bCs/>
                <w:vertAlign w:val="subscript"/>
              </w:rPr>
              <w:t>2,1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proc,2</w:t>
            </w:r>
            <w:r>
              <w:rPr>
                <w:rFonts w:eastAsia="바탕"/>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바탕"/>
                <w:lang w:eastAsia="ko-KR"/>
              </w:rPr>
            </w:pPr>
            <w:r>
              <w:rPr>
                <w:rFonts w:eastAsia="바탕"/>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바탕"/>
                <w:lang w:eastAsia="ko-KR"/>
              </w:rPr>
            </w:pPr>
            <w:r>
              <w:rPr>
                <w:rFonts w:eastAsia="바탕"/>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바탕"/>
                <w:lang w:eastAsia="ko-KR"/>
              </w:rPr>
            </w:pPr>
            <w:r>
              <w:rPr>
                <w:rFonts w:eastAsia="바탕"/>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바탕"/>
                <w:lang w:eastAsia="ko-KR"/>
              </w:rPr>
            </w:pPr>
            <w:r>
              <w:rPr>
                <w:rFonts w:eastAsia="바탕"/>
                <w:lang w:eastAsia="ko-KR"/>
              </w:rPr>
              <w:t>Proposal #19: The set of values for PDSCH-to-</w:t>
            </w:r>
            <w:proofErr w:type="spellStart"/>
            <w:r>
              <w:rPr>
                <w:rFonts w:eastAsia="바탕"/>
                <w:lang w:eastAsia="ko-KR"/>
              </w:rPr>
              <w:t>HARQ_feedback</w:t>
            </w:r>
            <w:proofErr w:type="spellEnd"/>
            <w:r>
              <w:rPr>
                <w:rFonts w:eastAsia="바탕"/>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바탕"/>
                <w:lang w:eastAsia="ko-KR"/>
              </w:rPr>
            </w:pPr>
            <w:r>
              <w:rPr>
                <w:rFonts w:eastAsia="바탕"/>
                <w:lang w:eastAsia="ko-KR"/>
              </w:rPr>
              <w:t>Proposal #20: Support the following set of values as PDSCH-to-</w:t>
            </w:r>
            <w:proofErr w:type="spellStart"/>
            <w:r>
              <w:rPr>
                <w:rFonts w:eastAsia="바탕"/>
                <w:lang w:eastAsia="ko-KR"/>
              </w:rPr>
              <w:t>HARQ_feedback</w:t>
            </w:r>
            <w:proofErr w:type="spellEnd"/>
            <w:r>
              <w:rPr>
                <w:rFonts w:eastAsia="바탕"/>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바탕"/>
                <w:lang w:eastAsia="ko-KR"/>
              </w:rPr>
            </w:pPr>
            <w:r>
              <w:rPr>
                <w:rFonts w:eastAsia="바탕"/>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바탕"/>
                <w:lang w:eastAsia="ko-KR"/>
              </w:rPr>
            </w:pPr>
            <w:r>
              <w:rPr>
                <w:rFonts w:eastAsia="바탕"/>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reportQuantity set to 'none' and CSI-RS-ResourceSet with higher layer parameter </w:t>
                  </w:r>
                  <w:proofErr w:type="spellStart"/>
                  <w:r>
                    <w:rPr>
                      <w:color w:val="000000" w:themeColor="text1"/>
                      <w:lang w:val="en-GB"/>
                    </w:rPr>
                    <w:t>trs</w:t>
                  </w:r>
                  <w:proofErr w:type="spellEnd"/>
                  <w:r>
                    <w:rPr>
                      <w:color w:val="000000" w:themeColor="text1"/>
                      <w:lang w:val="en-GB"/>
                    </w:rPr>
                    <w:t>-Info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맑은 고딕"/>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맑은 고딕"/>
                    </w:rPr>
                    <w:t>-</w:t>
                  </w:r>
                  <w:r>
                    <w:rPr>
                      <w:rFonts w:eastAsia="맑은 고딕"/>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044378DE" w14:textId="77777777" w:rsidR="00665C2B" w:rsidRDefault="00665C2B">
            <w:pPr>
              <w:pStyle w:val="0Maintext"/>
              <w:spacing w:after="0" w:afterAutospacing="0" w:line="240" w:lineRule="auto"/>
              <w:ind w:firstLine="0"/>
              <w:rPr>
                <w:rFonts w:eastAsia="바탕"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바탕"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바탕"/>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9C1001">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9C1001">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 xml:space="preserve">[1, Huawei], [2, </w:t>
      </w:r>
      <w:proofErr w:type="spellStart"/>
      <w:r>
        <w:rPr>
          <w:lang w:val="en-GB"/>
        </w:rPr>
        <w:t>Futurewei</w:t>
      </w:r>
      <w:proofErr w:type="spellEnd"/>
      <w:r>
        <w:rPr>
          <w:lang w:val="en-GB"/>
        </w:rPr>
        <w:t>],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Option 1: supported by Lenovo, Xiaomi, ZTE, Huawei, </w:t>
            </w:r>
            <w:proofErr w:type="spellStart"/>
            <w:r>
              <w:rPr>
                <w:rFonts w:ascii="Times New Roman" w:hAnsi="Times New Roman"/>
                <w:szCs w:val="20"/>
                <w:lang w:eastAsia="zh-CN"/>
              </w:rPr>
              <w:t>Futurewei</w:t>
            </w:r>
            <w:proofErr w:type="spellEnd"/>
            <w:r>
              <w:rPr>
                <w:rFonts w:ascii="Times New Roman" w:hAnsi="Times New Roman"/>
                <w:szCs w:val="20"/>
                <w:lang w:eastAsia="zh-CN"/>
              </w:rPr>
              <w:t>,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Option 3: supported by </w:t>
            </w:r>
            <w:proofErr w:type="spellStart"/>
            <w:r>
              <w:rPr>
                <w:rFonts w:ascii="Times New Roman" w:hAnsi="Times New Roman"/>
                <w:szCs w:val="20"/>
                <w:lang w:eastAsia="zh-CN"/>
              </w:rPr>
              <w:t>Futurewei</w:t>
            </w:r>
            <w:proofErr w:type="spellEnd"/>
            <w:r>
              <w:rPr>
                <w:rFonts w:ascii="Times New Roman" w:hAnsi="Times New Roman"/>
                <w:szCs w:val="20"/>
                <w:lang w:eastAsia="zh-CN"/>
              </w:rPr>
              <w:t>,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Option 4: supported by Qualcomm, Apple, </w:t>
            </w:r>
            <w:proofErr w:type="spellStart"/>
            <w:r>
              <w:rPr>
                <w:rFonts w:ascii="Times New Roman" w:hAnsi="Times New Roman"/>
                <w:szCs w:val="20"/>
                <w:lang w:eastAsia="zh-CN"/>
              </w:rPr>
              <w:t>Futurewei</w:t>
            </w:r>
            <w:proofErr w:type="spellEnd"/>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77777777" w:rsidR="00665C2B" w:rsidRDefault="00706918">
      <w:pPr>
        <w:pStyle w:val="Heading5"/>
        <w:rPr>
          <w:lang w:eastAsia="zh-CN"/>
        </w:rPr>
      </w:pPr>
      <w:r>
        <w:rPr>
          <w:highlight w:val="cyan"/>
          <w:lang w:eastAsia="zh-CN"/>
        </w:rPr>
        <w:t>Proposal 1-1a (high priority)</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hint="eastAsia"/>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77777777" w:rsidR="00665C2B" w:rsidRDefault="00706918">
      <w:pPr>
        <w:pStyle w:val="Heading5"/>
        <w:rPr>
          <w:lang w:eastAsia="zh-CN"/>
        </w:rPr>
      </w:pPr>
      <w:r>
        <w:rPr>
          <w:highlight w:val="cyan"/>
          <w:lang w:eastAsia="zh-CN"/>
        </w:rPr>
        <w:t>Discussion point 1-2</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It can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hint="eastAsia"/>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w:t>
      </w:r>
      <w:proofErr w:type="spellStart"/>
      <w:r>
        <w:rPr>
          <w:lang w:eastAsia="zh-CN"/>
        </w:rPr>
        <w:t>Futurewei</w:t>
      </w:r>
      <w:proofErr w:type="spellEnd"/>
      <w:r>
        <w:rPr>
          <w:lang w:eastAsia="zh-CN"/>
        </w:rPr>
        <w:t xml:space="preserve">],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lastRenderedPageBreak/>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바탕"/>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바탕"/>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w:t>
            </w:r>
            <w:proofErr w:type="spellStart"/>
            <w:r>
              <w:t>upies</w:t>
            </w:r>
            <w:proofErr w:type="spellEnd"/>
            <w:r>
              <w:t xml:space="preserve">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맑은 고딕"/>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맑은 고딕"/>
              </w:rPr>
              <w:t>-</w:t>
            </w:r>
            <w:r>
              <w:rPr>
                <w:rFonts w:eastAsia="맑은 고딕"/>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맑은 고딕"/>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lastRenderedPageBreak/>
        <w:t xml:space="preserve">For 480kHz and 960kHz, [1, Huawei], [3, vivo], [4, ZTE], [18, LG] and [21, MediaTek] all proposed that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77777777" w:rsidR="00665C2B" w:rsidRDefault="00706918">
      <w:pPr>
        <w:pStyle w:val="Heading5"/>
        <w:rPr>
          <w:lang w:eastAsia="zh-CN"/>
        </w:rPr>
      </w:pPr>
      <w:r>
        <w:rPr>
          <w:highlight w:val="cyan"/>
          <w:lang w:eastAsia="zh-CN"/>
        </w:rPr>
        <w:t>Proposal 1-5</w:t>
      </w:r>
    </w:p>
    <w:p w14:paraId="22F160AA" w14:textId="77777777" w:rsidR="00665C2B" w:rsidRDefault="00706918">
      <w:pPr>
        <w:pStyle w:val="Caption"/>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바탕"/>
                <w:i/>
                <w:lang w:eastAsia="ko-KR"/>
              </w:rPr>
              <w:t>d</w:t>
            </w:r>
            <w:r>
              <w:rPr>
                <w:rFonts w:eastAsia="바탕"/>
                <w:i/>
                <w:vertAlign w:val="subscript"/>
                <w:lang w:eastAsia="ko-KR"/>
              </w:rPr>
              <w:t>1,1</w:t>
            </w:r>
            <w:r>
              <w:rPr>
                <w:rFonts w:eastAsia="바탕"/>
                <w:lang w:eastAsia="ko-KR"/>
              </w:rPr>
              <w:t xml:space="preserv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should be kept small compared to N1.</w:t>
            </w:r>
          </w:p>
        </w:tc>
      </w:tr>
      <w:tr w:rsidR="00665C2B" w14:paraId="57C29A61" w14:textId="77777777">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바탕"/>
                <w:i/>
                <w:lang w:eastAsia="ko-KR"/>
              </w:rPr>
              <w:t>d</w:t>
            </w:r>
            <w:r>
              <w:rPr>
                <w:rFonts w:eastAsia="바탕"/>
                <w:i/>
                <w:vertAlign w:val="subscript"/>
                <w:lang w:eastAsia="ko-KR"/>
              </w:rPr>
              <w:t>1,1</w:t>
            </w:r>
            <w:r>
              <w:rPr>
                <w:rFonts w:eastAsia="바탕"/>
                <w:lang w:eastAsia="ko-KR"/>
              </w:rPr>
              <w:t xml:space="preserve"> , </w:t>
            </w:r>
            <w:r>
              <w:rPr>
                <w:rFonts w:eastAsia="바탕"/>
                <w:i/>
                <w:lang w:eastAsia="ko-KR"/>
              </w:rPr>
              <w:t>d</w:t>
            </w:r>
            <w:r>
              <w:rPr>
                <w:rFonts w:eastAsia="바탕"/>
                <w:i/>
                <w:vertAlign w:val="subscript"/>
                <w:lang w:eastAsia="ko-KR"/>
              </w:rPr>
              <w:t>2</w:t>
            </w:r>
            <w:r>
              <w:t xml:space="preserve"> ,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 xml:space="preserve">In this meeting, multiple companies expressed their views. [2, </w:t>
      </w:r>
      <w:proofErr w:type="spellStart"/>
      <w:r>
        <w:t>Futurewei</w:t>
      </w:r>
      <w:proofErr w:type="spellEnd"/>
      <w:r>
        <w:t>]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w:t>
      </w:r>
      <w:proofErr w:type="spellStart"/>
      <w:r>
        <w:rPr>
          <w:lang w:val="en-GB"/>
        </w:rPr>
        <w:t>ing</w:t>
      </w:r>
      <w:proofErr w:type="spellEnd"/>
      <w:r>
        <w:rPr>
          <w:lang w:val="en-GB"/>
        </w:rPr>
        <w:t xml:space="preserve">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w:t>
      </w:r>
      <w:r>
        <w:rPr>
          <w:rFonts w:ascii="Times New Roman" w:hAnsi="Times New Roman"/>
          <w:szCs w:val="22"/>
          <w:lang w:eastAsia="zh-CN"/>
        </w:rPr>
        <w:lastRenderedPageBreak/>
        <w:t xml:space="preserve">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lastRenderedPageBreak/>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lastRenderedPageBreak/>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If Option 2 or 3 will be the outcome of RAN1 discussion, there will be no mechanism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know what MCSs range is supported by UE from PN compensation capability perspective. As the result, scheduling of non-supported MCSs will lead to unnecessary retransmissions that degrade cell throughput.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constantly needs to adjust the MCS based on allocated RB, power dynamics of PDSCH, and other aspects. Not having information on what is feasible and not feasible will create additional complications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Default="00706918">
      <w:pPr>
        <w:pStyle w:val="Heading5"/>
      </w:pPr>
      <w:r>
        <w:rPr>
          <w:highlight w:val="cyan"/>
        </w:rPr>
        <w:t>Proposal 2-1a</w:t>
      </w:r>
      <w: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02D2CBAE" w:rsidR="00E1245E" w:rsidRDefault="00E1245E" w:rsidP="00E1245E">
            <w:pPr>
              <w:pStyle w:val="BodyText"/>
              <w:spacing w:line="240" w:lineRule="auto"/>
              <w:rPr>
                <w:rFonts w:ascii="Times New Roman" w:hAnsi="Times New Roman"/>
                <w:iCs/>
                <w:szCs w:val="20"/>
                <w:lang w:eastAsia="zh-CN"/>
              </w:rPr>
            </w:pPr>
            <w:r>
              <w:rPr>
                <w:rFonts w:ascii="Times New Roman" w:hAnsi="Times New Roman" w:hint="eastAsia"/>
                <w:iCs/>
                <w:szCs w:val="20"/>
                <w:lang w:eastAsia="zh-CN"/>
              </w:rPr>
              <w:lastRenderedPageBreak/>
              <w:t>v</w:t>
            </w:r>
            <w:r>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hint="eastAsia"/>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bl>
    <w:p w14:paraId="40D35C37" w14:textId="77777777" w:rsidR="00665C2B" w:rsidRDefault="00665C2B">
      <w:pPr>
        <w:pStyle w:val="NormalWeb"/>
        <w:rPr>
          <w:lang w:eastAsia="zh-CN"/>
        </w:rPr>
      </w:pPr>
    </w:p>
    <w:p w14:paraId="078577E9" w14:textId="77777777" w:rsidR="00665C2B" w:rsidRDefault="00706918">
      <w:pPr>
        <w:pStyle w:val="Heading3"/>
        <w:numPr>
          <w:ilvl w:val="2"/>
          <w:numId w:val="19"/>
        </w:numPr>
        <w:rPr>
          <w:lang w:eastAsia="zh-CN"/>
        </w:rPr>
      </w:pPr>
      <w:r>
        <w:rPr>
          <w:lang w:eastAsia="zh-CN"/>
        </w:rPr>
        <w:t>UE-assisted SCS adaptation</w:t>
      </w:r>
    </w:p>
    <w:p w14:paraId="2655D587" w14:textId="77777777" w:rsidR="00665C2B" w:rsidRDefault="00706918">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06B7F1E0"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5" w:name="_Hlk87801388"/>
      <w:r>
        <w:t>DMRS bundling across the multiple PUSCHs</w:t>
      </w:r>
    </w:p>
    <w:p w14:paraId="560CEFB9" w14:textId="77777777" w:rsidR="00665C2B" w:rsidRDefault="00706918">
      <w:r>
        <w:t xml:space="preserve">It is observed in [15, Samsung] that since the slot duration is smaller and the typical scenario is stationary scenario in 52.6~71GHz, coherent time may be longer compared with the slot duration. At least for multiple PDSCHs/PUSCHs with </w:t>
      </w:r>
      <w:r>
        <w:lastRenderedPageBreak/>
        <w:t>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Default="00706918">
      <w:pPr>
        <w:pStyle w:val="Heading5"/>
      </w:pPr>
      <w:r>
        <w:lastRenderedPageBreak/>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bl>
    <w:p w14:paraId="707D1464" w14:textId="77777777" w:rsidR="00665C2B" w:rsidRDefault="00665C2B"/>
    <w:p w14:paraId="0984361E" w14:textId="77777777" w:rsidR="00665C2B" w:rsidRDefault="00706918">
      <w:pPr>
        <w:pStyle w:val="Heading3"/>
        <w:numPr>
          <w:ilvl w:val="2"/>
          <w:numId w:val="19"/>
        </w:numPr>
        <w:rPr>
          <w:lang w:eastAsia="zh-CN"/>
        </w:rPr>
      </w:pPr>
      <w:r>
        <w:rPr>
          <w:lang w:eastAsia="zh-CN"/>
        </w:rPr>
        <w:lastRenderedPageBreak/>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hint="eastAsia"/>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bl>
    <w:p w14:paraId="4310D180" w14:textId="77777777" w:rsidR="00665C2B" w:rsidRDefault="00665C2B"/>
    <w:p w14:paraId="774203B9" w14:textId="77777777" w:rsidR="00665C2B" w:rsidRDefault="00665C2B"/>
    <w:p w14:paraId="3A95C373" w14:textId="77777777" w:rsidR="00665C2B" w:rsidRDefault="00706918">
      <w:pPr>
        <w:pStyle w:val="Heading1"/>
        <w:numPr>
          <w:ilvl w:val="0"/>
          <w:numId w:val="5"/>
        </w:numPr>
        <w:ind w:left="360"/>
        <w:rPr>
          <w:rFonts w:cs="Arial"/>
          <w:sz w:val="32"/>
          <w:szCs w:val="32"/>
        </w:rPr>
      </w:pPr>
      <w:r>
        <w:rPr>
          <w:rFonts w:cs="Arial"/>
          <w:sz w:val="32"/>
          <w:szCs w:val="32"/>
        </w:rPr>
        <w:t>Recommendation for GTW/email approval</w:t>
      </w:r>
    </w:p>
    <w:p w14:paraId="1E77D458" w14:textId="77777777" w:rsidR="00665C2B" w:rsidRDefault="00706918">
      <w:pPr>
        <w:rPr>
          <w:lang w:val="en-GB"/>
        </w:rPr>
      </w:pPr>
      <w:r>
        <w:rPr>
          <w:lang w:val="en-GB"/>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lastRenderedPageBreak/>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77777777" w:rsidR="00665C2B" w:rsidRDefault="00665C2B">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9C1001">
      <w:pPr>
        <w:pStyle w:val="ListParagraph"/>
        <w:numPr>
          <w:ilvl w:val="0"/>
          <w:numId w:val="29"/>
        </w:numPr>
        <w:ind w:left="360"/>
        <w:rPr>
          <w:rFonts w:ascii="Times New Roman" w:hAnsi="Times New Roman"/>
          <w:iCs/>
          <w:sz w:val="20"/>
          <w:szCs w:val="20"/>
          <w:lang w:eastAsia="zh-CN"/>
        </w:rPr>
      </w:pPr>
      <w:hyperlink r:id="rId1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9C1001">
      <w:pPr>
        <w:pStyle w:val="ListParagraph"/>
        <w:numPr>
          <w:ilvl w:val="0"/>
          <w:numId w:val="29"/>
        </w:numPr>
        <w:ind w:left="360"/>
        <w:rPr>
          <w:rFonts w:ascii="Times New Roman" w:hAnsi="Times New Roman"/>
          <w:iCs/>
          <w:sz w:val="20"/>
          <w:szCs w:val="20"/>
          <w:lang w:eastAsia="zh-CN"/>
        </w:rPr>
      </w:pPr>
      <w:hyperlink r:id="rId1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9C1001">
      <w:pPr>
        <w:pStyle w:val="ListParagraph"/>
        <w:numPr>
          <w:ilvl w:val="0"/>
          <w:numId w:val="29"/>
        </w:numPr>
        <w:ind w:left="360"/>
        <w:rPr>
          <w:rFonts w:ascii="Times New Roman" w:hAnsi="Times New Roman"/>
          <w:iCs/>
          <w:sz w:val="20"/>
          <w:szCs w:val="20"/>
          <w:lang w:eastAsia="zh-CN"/>
        </w:rPr>
      </w:pPr>
      <w:hyperlink r:id="rId1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9C1001">
      <w:pPr>
        <w:pStyle w:val="ListParagraph"/>
        <w:numPr>
          <w:ilvl w:val="0"/>
          <w:numId w:val="29"/>
        </w:numPr>
        <w:ind w:left="360"/>
        <w:rPr>
          <w:rFonts w:ascii="Times New Roman" w:hAnsi="Times New Roman"/>
          <w:iCs/>
          <w:sz w:val="20"/>
          <w:szCs w:val="20"/>
          <w:lang w:eastAsia="zh-CN"/>
        </w:rPr>
      </w:pPr>
      <w:hyperlink r:id="rId1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9C1001">
      <w:pPr>
        <w:pStyle w:val="ListParagraph"/>
        <w:numPr>
          <w:ilvl w:val="0"/>
          <w:numId w:val="29"/>
        </w:numPr>
        <w:ind w:left="360"/>
        <w:rPr>
          <w:rFonts w:ascii="Times New Roman" w:hAnsi="Times New Roman"/>
          <w:iCs/>
          <w:sz w:val="20"/>
          <w:szCs w:val="20"/>
          <w:lang w:eastAsia="zh-CN"/>
        </w:rPr>
      </w:pPr>
      <w:hyperlink r:id="rId1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9C1001">
      <w:pPr>
        <w:pStyle w:val="ListParagraph"/>
        <w:numPr>
          <w:ilvl w:val="0"/>
          <w:numId w:val="29"/>
        </w:numPr>
        <w:ind w:left="360"/>
        <w:rPr>
          <w:rFonts w:ascii="Times New Roman" w:hAnsi="Times New Roman"/>
          <w:iCs/>
          <w:sz w:val="20"/>
          <w:szCs w:val="20"/>
          <w:lang w:eastAsia="zh-CN"/>
        </w:rPr>
      </w:pPr>
      <w:hyperlink r:id="rId1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9C1001">
      <w:pPr>
        <w:pStyle w:val="ListParagraph"/>
        <w:numPr>
          <w:ilvl w:val="0"/>
          <w:numId w:val="29"/>
        </w:numPr>
        <w:ind w:left="360"/>
        <w:rPr>
          <w:rFonts w:ascii="Times New Roman" w:hAnsi="Times New Roman"/>
          <w:iCs/>
          <w:sz w:val="20"/>
          <w:szCs w:val="20"/>
          <w:lang w:eastAsia="zh-CN"/>
        </w:rPr>
      </w:pPr>
      <w:hyperlink r:id="rId2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9C1001">
      <w:pPr>
        <w:pStyle w:val="ListParagraph"/>
        <w:numPr>
          <w:ilvl w:val="0"/>
          <w:numId w:val="29"/>
        </w:numPr>
        <w:ind w:left="360"/>
        <w:rPr>
          <w:rFonts w:ascii="Times New Roman" w:hAnsi="Times New Roman"/>
          <w:iCs/>
          <w:sz w:val="20"/>
          <w:szCs w:val="20"/>
          <w:lang w:eastAsia="zh-CN"/>
        </w:rPr>
      </w:pPr>
      <w:hyperlink r:id="rId2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9C1001">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9C1001">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9C1001">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9C1001">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9C1001">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9C1001">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9C1001">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9C1001">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r>
      <w:proofErr w:type="spellStart"/>
      <w:r w:rsidR="00706918">
        <w:rPr>
          <w:rFonts w:ascii="Times New Roman" w:hAnsi="Times New Roman"/>
          <w:iCs/>
          <w:sz w:val="20"/>
          <w:szCs w:val="20"/>
          <w:lang w:eastAsia="zh-CN"/>
        </w:rPr>
        <w:t>InterDigital</w:t>
      </w:r>
      <w:proofErr w:type="spellEnd"/>
      <w:r w:rsidR="00706918">
        <w:rPr>
          <w:rFonts w:ascii="Times New Roman" w:hAnsi="Times New Roman"/>
          <w:iCs/>
          <w:sz w:val="20"/>
          <w:szCs w:val="20"/>
          <w:lang w:eastAsia="zh-CN"/>
        </w:rPr>
        <w:t>, Inc.</w:t>
      </w:r>
    </w:p>
    <w:p w14:paraId="61B7EE67" w14:textId="77777777" w:rsidR="00665C2B" w:rsidRDefault="009C1001">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9C1001">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9C1001">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9C1001">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9C1001">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9C1001">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F70E4" w14:textId="77777777" w:rsidR="009C1001" w:rsidRDefault="009C1001">
      <w:pPr>
        <w:spacing w:after="0" w:line="240" w:lineRule="auto"/>
      </w:pPr>
      <w:r>
        <w:separator/>
      </w:r>
    </w:p>
  </w:endnote>
  <w:endnote w:type="continuationSeparator" w:id="0">
    <w:p w14:paraId="64EA4E38" w14:textId="77777777" w:rsidR="009C1001" w:rsidRDefault="009C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panose1 w:val="020B0304040602060303"/>
    <w:charset w:val="00"/>
    <w:family w:val="swiss"/>
    <w:pitch w:val="variable"/>
    <w:sig w:usb0="A00002FF"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9F72" w14:textId="77777777" w:rsidR="00CC57B5" w:rsidRDefault="00CC57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CC57B5" w:rsidRDefault="00CC57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8E41" w14:textId="77777777" w:rsidR="00CC57B5" w:rsidRDefault="00CC57B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C5612" w14:textId="77777777" w:rsidR="009C1001" w:rsidRDefault="009C1001">
      <w:pPr>
        <w:spacing w:after="0" w:line="240" w:lineRule="auto"/>
      </w:pPr>
      <w:r>
        <w:separator/>
      </w:r>
    </w:p>
  </w:footnote>
  <w:footnote w:type="continuationSeparator" w:id="0">
    <w:p w14:paraId="5A383E59" w14:textId="77777777" w:rsidR="009C1001" w:rsidRDefault="009C1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20DD" w14:textId="77777777" w:rsidR="00CC57B5" w:rsidRDefault="00CC57B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1"/>
  </w:num>
  <w:num w:numId="7">
    <w:abstractNumId w:val="26"/>
  </w:num>
  <w:num w:numId="8">
    <w:abstractNumId w:val="14"/>
  </w:num>
  <w:num w:numId="9">
    <w:abstractNumId w:val="15"/>
  </w:num>
  <w:num w:numId="10">
    <w:abstractNumId w:val="0"/>
  </w:num>
  <w:num w:numId="11">
    <w:abstractNumId w:val="25"/>
  </w:num>
  <w:num w:numId="12">
    <w:abstractNumId w:val="2"/>
  </w:num>
  <w:num w:numId="13">
    <w:abstractNumId w:val="6"/>
  </w:num>
  <w:num w:numId="14">
    <w:abstractNumId w:val="24"/>
  </w:num>
  <w:num w:numId="15">
    <w:abstractNumId w:val="7"/>
  </w:num>
  <w:num w:numId="16">
    <w:abstractNumId w:val="12"/>
  </w:num>
  <w:num w:numId="17">
    <w:abstractNumId w:val="5"/>
  </w:num>
  <w:num w:numId="18">
    <w:abstractNumId w:val="13"/>
  </w:num>
  <w:num w:numId="19">
    <w:abstractNumId w:val="17"/>
  </w:num>
  <w:num w:numId="20">
    <w:abstractNumId w:val="28"/>
  </w:num>
  <w:num w:numId="21">
    <w:abstractNumId w:val="9"/>
  </w:num>
  <w:num w:numId="22">
    <w:abstractNumId w:val="10"/>
  </w:num>
  <w:num w:numId="23">
    <w:abstractNumId w:val="3"/>
  </w:num>
  <w:num w:numId="24">
    <w:abstractNumId w:val="8"/>
  </w:num>
  <w:num w:numId="25">
    <w:abstractNumId w:val="27"/>
  </w:num>
  <w:num w:numId="26">
    <w:abstractNumId w:val="19"/>
  </w:num>
  <w:num w:numId="27">
    <w:abstractNumId w:val="20"/>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qFormat/>
    <w:rPr>
      <w:rFonts w:ascii="Times New Roman" w:eastAsia="Times New Roman" w:hAnsi="Times New Roman" w:cs="바탕"/>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panose1 w:val="020B0304040602060303"/>
    <w:charset w:val="00"/>
    <w:family w:val="swiss"/>
    <w:pitch w:val="variable"/>
    <w:sig w:usb0="A00002FF"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5262"/>
    <w:rsid w:val="00CB6F16"/>
    <w:rsid w:val="00CC2784"/>
    <w:rsid w:val="00CD050A"/>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A279FE4-1991-41BF-9F8E-121C13EDA3C9}">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8D75DCB0-D23E-445A-9375-A0ED1912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30</Pages>
  <Words>11789</Words>
  <Characters>67201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78833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Yuk, Youngsoo (Nokia - KR/Seoul)</cp:lastModifiedBy>
  <cp:revision>3</cp:revision>
  <cp:lastPrinted>2011-11-09T07:49:00Z</cp:lastPrinted>
  <dcterms:created xsi:type="dcterms:W3CDTF">2021-11-15T11:33:00Z</dcterms:created>
  <dcterms:modified xsi:type="dcterms:W3CDTF">2021-11-15T11:42:00Z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1636958975</vt:lpwstr>
  </property>
</Properties>
</file>