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0E76" w14:textId="77777777" w:rsidR="00D85314" w:rsidRDefault="0005540E">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7D681DB" w14:textId="77777777" w:rsidR="00D85314" w:rsidRDefault="0005540E">
      <w:pPr>
        <w:pStyle w:val="Header"/>
        <w:widowControl w:val="0"/>
        <w:rPr>
          <w:rFonts w:ascii="Arial" w:hAnsi="Arial" w:cs="Arial"/>
          <w:b/>
          <w:bCs/>
          <w:lang w:val="en-GB"/>
        </w:rPr>
      </w:pPr>
      <w:r>
        <w:rPr>
          <w:rFonts w:ascii="Arial" w:hAnsi="Arial" w:cs="Arial"/>
          <w:b/>
          <w:bCs/>
          <w:lang w:val="en-GB"/>
        </w:rPr>
        <w:t>e-Meeting, November 11th – 19th, 2021</w:t>
      </w:r>
    </w:p>
    <w:p w14:paraId="0B407B3C" w14:textId="77777777" w:rsidR="00D85314" w:rsidRDefault="00D85314">
      <w:pPr>
        <w:pBdr>
          <w:top w:val="single" w:sz="4" w:space="2" w:color="auto"/>
        </w:pBdr>
        <w:spacing w:after="0"/>
        <w:rPr>
          <w:rFonts w:ascii="Arial" w:hAnsi="Arial" w:cs="Arial"/>
          <w:b/>
          <w:kern w:val="2"/>
          <w:sz w:val="24"/>
          <w:highlight w:val="yellow"/>
          <w:lang w:val="en-GB" w:eastAsia="zh-CN"/>
        </w:rPr>
      </w:pPr>
    </w:p>
    <w:p w14:paraId="43C45170"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D7508B5"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DDBEB7B"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28E5C4D2"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77777777" w:rsidR="00D85314" w:rsidRDefault="0005540E">
      <w:pPr>
        <w:rPr>
          <w:lang w:eastAsia="zh-CN"/>
        </w:rPr>
      </w:pPr>
      <w:r>
        <w:rPr>
          <w:lang w:eastAsia="zh-CN"/>
        </w:rPr>
        <w:t>Depending on the progress, new questions or proposal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Pr>
          <w:b/>
          <w:bCs/>
          <w:highlight w:val="yellow"/>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22E379B3" w14:textId="77777777" w:rsidR="00D85314" w:rsidRDefault="0005540E">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w:t>
            </w:r>
            <w:proofErr w:type="gramStart"/>
            <w:r>
              <w:rPr>
                <w:lang w:eastAsia="zh-CN"/>
              </w:rPr>
              <w:t>are</w:t>
            </w:r>
            <w:proofErr w:type="gramEnd"/>
            <w:r>
              <w:rPr>
                <w:lang w:eastAsia="zh-CN"/>
              </w:rPr>
              <w:t xml:space="preserv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CN"/>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7777777" w:rsidR="004E43C5" w:rsidRDefault="004E43C5" w:rsidP="00CA1055">
            <w:pPr>
              <w:rPr>
                <w:lang w:eastAsia="zh-CN"/>
              </w:rPr>
            </w:pPr>
            <w:r>
              <w:rPr>
                <w:lang w:eastAsia="zh-CN"/>
              </w:rPr>
              <w:t>We are fine with  the direction of the proposal but support YGroup2 = 1 which is not captured here.</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6BBE747C" w:rsidR="004E43C5" w:rsidRDefault="004E43C5" w:rsidP="00CA1055">
            <w:pPr>
              <w:rPr>
                <w:lang w:eastAsia="zh-CN"/>
              </w:rPr>
            </w:pPr>
            <w:r>
              <w:rPr>
                <w:lang w:eastAsia="zh-CN"/>
              </w:rPr>
              <w:t xml:space="preserve">A decision on the size of YGroup2 and the need for an update or not will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bl>
    <w:p w14:paraId="544B4DFB" w14:textId="77777777" w:rsidR="00D85314" w:rsidRDefault="00D85314">
      <w:pPr>
        <w:rPr>
          <w:b/>
          <w:bCs/>
          <w:highlight w:val="yellow"/>
          <w:lang w:eastAsia="zh-CN"/>
        </w:rPr>
      </w:pPr>
    </w:p>
    <w:p w14:paraId="67FB7BDC" w14:textId="77777777" w:rsidR="00D85314" w:rsidRDefault="0005540E">
      <w:pPr>
        <w:rPr>
          <w:b/>
          <w:bCs/>
          <w:lang w:val="en-GB" w:eastAsia="zh-CN"/>
        </w:rPr>
      </w:pPr>
      <w:r>
        <w:rPr>
          <w:b/>
          <w:bCs/>
          <w:highlight w:val="yellow"/>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lastRenderedPageBreak/>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Group</w:t>
            </w:r>
            <w:proofErr w:type="gramStart"/>
            <w:r>
              <w:rPr>
                <w:rFonts w:eastAsia="Times New Roman"/>
                <w:vertAlign w:val="subscript"/>
                <w:lang w:val="en-GB" w:eastAsia="en-GB"/>
              </w:rPr>
              <w:t xml:space="preserve">2 </w:t>
            </w:r>
            <w:r>
              <w:rPr>
                <w:rFonts w:eastAsia="Times New Roman"/>
                <w:lang w:val="en-GB" w:eastAsia="en-GB"/>
              </w:rPr>
              <w:t xml:space="preserve"> are</w:t>
            </w:r>
            <w:proofErr w:type="gramEnd"/>
            <w:r>
              <w:rPr>
                <w:rFonts w:eastAsia="Times New Roman"/>
                <w:lang w:val="en-GB" w:eastAsia="en-GB"/>
              </w:rPr>
              <w:t xml:space="preserv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Proposals 3 and 4: from our point of view, in order to balance the UE complexity and network scheduling flexibility, UE should be able 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rFonts w:hint="eastAsia"/>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Pr>
          <w:b/>
          <w:bCs/>
          <w:highlight w:val="yellow"/>
          <w:lang w:val="en-GB" w:eastAsia="zh-CN"/>
        </w:rPr>
        <w:t>V</w:t>
      </w:r>
      <w:r w:rsidR="0005540E">
        <w:rPr>
          <w:b/>
          <w:bCs/>
          <w:highlight w:val="yellow"/>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lastRenderedPageBreak/>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pPr>
              <w:rPr>
                <w:rFonts w:hint="eastAsia"/>
              </w:rPr>
            </w:pPr>
            <w:r>
              <w:t>Futurewei</w:t>
            </w:r>
          </w:p>
        </w:tc>
        <w:tc>
          <w:tcPr>
            <w:tcW w:w="12176" w:type="dxa"/>
          </w:tcPr>
          <w:p w14:paraId="54FB3306" w14:textId="77777777" w:rsidR="00021382" w:rsidRDefault="00021382" w:rsidP="00021382">
            <w:pPr>
              <w:rPr>
                <w:lang w:eastAsia="zh-CN"/>
              </w:rPr>
            </w:pPr>
            <w:r>
              <w:rPr>
                <w:lang w:eastAsia="zh-CN"/>
              </w:rPr>
              <w:t>We support option 2a</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Pr>
          <w:b/>
          <w:bCs/>
          <w:highlight w:val="yellow"/>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lastRenderedPageBreak/>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pPr>
              <w:rPr>
                <w:rFonts w:hint="eastAsia"/>
              </w:rPr>
            </w:pPr>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Pr>
          <w:b/>
          <w:bCs/>
          <w:highlight w:val="yellow"/>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lastRenderedPageBreak/>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pPr>
              <w:rPr>
                <w:rFonts w:hint="eastAsia"/>
              </w:rPr>
            </w:pPr>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Pr>
          <w:b/>
          <w:bCs/>
          <w:highlight w:val="yellow"/>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lastRenderedPageBreak/>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Pr>
          <w:b/>
          <w:bCs/>
          <w:highlight w:val="yellow"/>
          <w:lang w:val="en-GB" w:eastAsia="zh-CN"/>
        </w:rPr>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lastRenderedPageBreak/>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pPr>
              <w:rPr>
                <w:rFonts w:hint="eastAsia"/>
              </w:rPr>
            </w:pPr>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Pr>
          <w:b/>
          <w:bCs/>
          <w:highlight w:val="yellow"/>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 xml:space="preserve">s in a X-slot </w:t>
            </w:r>
            <w:r>
              <w:lastRenderedPageBreak/>
              <w:t>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Pr>
          <w:b/>
          <w:bCs/>
          <w:highlight w:val="yellow"/>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Pr>
          <w:b/>
          <w:bCs/>
          <w:highlight w:val="yellow"/>
          <w:lang w:val="en-GB" w:eastAsia="zh-CN"/>
        </w:rPr>
        <w:t>NTT DOCOMO (R1-2112097):</w:t>
      </w:r>
    </w:p>
    <w:p w14:paraId="772EB9EA" w14:textId="77777777" w:rsidR="00D85314" w:rsidRDefault="0005540E">
      <w:pPr>
        <w:rPr>
          <w:b/>
          <w:bCs/>
          <w:szCs w:val="18"/>
        </w:rPr>
      </w:pPr>
      <w:r>
        <w:rPr>
          <w:b/>
          <w:bCs/>
          <w:szCs w:val="18"/>
        </w:rPr>
        <w:lastRenderedPageBreak/>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lastRenderedPageBreak/>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pPr>
              <w:rPr>
                <w:rFonts w:hint="eastAsia"/>
              </w:rPr>
            </w:pPr>
            <w:r>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Pr>
          <w:b/>
          <w:bCs/>
          <w:highlight w:val="yellow"/>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lastRenderedPageBreak/>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lastRenderedPageBreak/>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Pr>
          <w:highlight w:val="yellow"/>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 xml:space="preserve">PDCCH monitoring capability is defined per UE and a UE can indicate a capability to monitor multi-slot PDCCH with exact supported </w:t>
            </w:r>
            <w:r>
              <w:rPr>
                <w:rFonts w:hint="eastAsia"/>
                <w:lang w:eastAsia="zh-CN"/>
              </w:rPr>
              <w:lastRenderedPageBreak/>
              <w:t>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lastRenderedPageBreak/>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pPr>
              <w:rPr>
                <w:rFonts w:hint="eastAsia"/>
              </w:rPr>
            </w:pPr>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Pr>
          <w:highlight w:val="yellow"/>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bl>
    <w:p w14:paraId="1FDDAED1" w14:textId="77777777" w:rsidR="00D85314" w:rsidRPr="00020207" w:rsidRDefault="00D85314"/>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Pr>
          <w:highlight w:val="yellow"/>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lastRenderedPageBreak/>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lastRenderedPageBreak/>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bl>
    <w:p w14:paraId="2D52EE74" w14:textId="77777777" w:rsidR="00D85314" w:rsidRDefault="00D85314">
      <w:pPr>
        <w:rPr>
          <w:lang w:eastAsia="zh-CN"/>
        </w:rPr>
      </w:pPr>
    </w:p>
    <w:p w14:paraId="6192A192" w14:textId="77777777" w:rsidR="00D85314" w:rsidRDefault="0005540E">
      <w:pPr>
        <w:rPr>
          <w:lang w:val="en-GB" w:eastAsia="zh-CN"/>
        </w:rPr>
      </w:pPr>
      <w:r>
        <w:rPr>
          <w:highlight w:val="yellow"/>
          <w:lang w:eastAsia="zh-CN"/>
        </w:rPr>
        <w:t xml:space="preserve">Additionally, </w:t>
      </w:r>
      <w:r>
        <w:rPr>
          <w:highlight w:val="yellow"/>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A2759A">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0" o:title=""/>
          </v:shape>
          <o:OLEObject Type="Embed" ProgID="Visio.Drawing.11" ShapeID="_x0000_i1025" DrawAspect="Content" ObjectID="_1698242495" r:id="rId11"/>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proofErr w:type="spellStart"/>
            <w:r w:rsidRPr="00D54C53">
              <w:rPr>
                <w:rFonts w:hint="eastAsia"/>
                <w:i/>
                <w:sz w:val="21"/>
                <w:lang w:eastAsia="zh-CN"/>
              </w:rPr>
              <w:t>monitoringSlotWithinMulti</w:t>
            </w:r>
            <w:proofErr w:type="spellEnd"/>
            <w:r w:rsidRPr="00D54C53">
              <w:rPr>
                <w:rFonts w:hint="eastAsia"/>
                <w:i/>
                <w:sz w:val="21"/>
                <w:lang w:eastAsia="zh-CN"/>
              </w:rPr>
              <w:t>-</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proofErr w:type="spellStart"/>
            <w:r w:rsidRPr="00DE4A09">
              <w:rPr>
                <w:i/>
                <w:color w:val="000000"/>
                <w:lang w:eastAsia="zh-CN"/>
              </w:rPr>
              <w:t>monitoringSymbolsWithinSlot</w:t>
            </w:r>
            <w:proofErr w:type="spellEnd"/>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bl>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Pr>
          <w:highlight w:val="yellow"/>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proofErr w:type="spellStart"/>
            <w:r>
              <w:rPr>
                <w:rFonts w:hint="eastAsia"/>
                <w:lang w:eastAsia="zh-CN"/>
              </w:rPr>
              <w:t>Transsion</w:t>
            </w:r>
            <w:proofErr w:type="spellEnd"/>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bl>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 xml:space="preserve">Without agreeing corresponding minimum switching times the switching feature would not be available for SCS greater than 60 kHz </w:t>
      </w:r>
      <w:proofErr w:type="spellStart"/>
      <w:r>
        <w:t>kHz</w:t>
      </w:r>
      <w:proofErr w:type="spellEnd"/>
      <w:r>
        <w:t>.</w:t>
      </w:r>
    </w:p>
    <w:p w14:paraId="30A77727" w14:textId="77777777" w:rsidR="00D85314" w:rsidRDefault="0005540E">
      <w:pPr>
        <w:rPr>
          <w:lang w:val="en-GB" w:eastAsia="zh-CN"/>
        </w:rPr>
      </w:pPr>
      <w:r>
        <w:rPr>
          <w:highlight w:val="yellow"/>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lastRenderedPageBreak/>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proofErr w:type="spellStart"/>
            <w:r>
              <w:rPr>
                <w:rFonts w:hint="eastAsia"/>
                <w:lang w:eastAsia="zh-CN"/>
              </w:rPr>
              <w:t>Transsion</w:t>
            </w:r>
            <w:proofErr w:type="spellEnd"/>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proofErr w:type="spellStart"/>
            <w:r>
              <w:rPr>
                <w:lang w:eastAsia="zh-CN"/>
              </w:rPr>
              <w:t>P</w:t>
            </w:r>
            <w:r w:rsidRPr="00F96B24">
              <w:rPr>
                <w:vertAlign w:val="subscript"/>
                <w:lang w:eastAsia="zh-CN"/>
              </w:rPr>
              <w:t>switch</w:t>
            </w:r>
            <w:proofErr w:type="spellEnd"/>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56461B">
            <w:r>
              <w:t>Futurewei</w:t>
            </w:r>
          </w:p>
        </w:tc>
        <w:tc>
          <w:tcPr>
            <w:tcW w:w="12176" w:type="dxa"/>
          </w:tcPr>
          <w:p w14:paraId="680C0D1E" w14:textId="77777777" w:rsidR="00E55DB1" w:rsidRDefault="00E55DB1" w:rsidP="0056461B">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bl>
    <w:p w14:paraId="3059C927" w14:textId="77777777" w:rsidR="00D85314" w:rsidRDefault="00D85314">
      <w:pPr>
        <w:rPr>
          <w:lang w:eastAsia="zh-CN"/>
        </w:rPr>
      </w:pPr>
    </w:p>
    <w:p w14:paraId="7F86A1E0" w14:textId="77777777" w:rsidR="00D85314" w:rsidRDefault="0005540E">
      <w:pPr>
        <w:pStyle w:val="Heading2"/>
      </w:pPr>
      <w:r>
        <w:lastRenderedPageBreak/>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Pr>
          <w:b/>
          <w:bCs/>
          <w:highlight w:val="yellow"/>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23F01CA8" w14:textId="77777777" w:rsidR="00D85314" w:rsidRDefault="00D85314">
      <w:pPr>
        <w:rPr>
          <w:lang w:val="en-GB" w:eastAsia="zh-CN"/>
        </w:rPr>
      </w:pP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77777777" w:rsidR="00D85314" w:rsidRDefault="0005540E">
      <w:pPr>
        <w:rPr>
          <w:lang w:val="en-GB" w:eastAsia="zh-CN"/>
        </w:rPr>
      </w:pPr>
      <w:r>
        <w:rPr>
          <w:lang w:val="en-GB" w:eastAsia="zh-CN"/>
        </w:rPr>
        <w:t>Previous discussion n RAN1#106bis-e and submitted document show a preference to agree on the following proposal (based on NTT DOCOMO, R1-2112097):</w:t>
      </w:r>
    </w:p>
    <w:p w14:paraId="6BA68FD5" w14:textId="77777777" w:rsidR="00D85314" w:rsidRDefault="0005540E">
      <w:pPr>
        <w:rPr>
          <w:b/>
          <w:bCs/>
          <w:szCs w:val="18"/>
        </w:rPr>
      </w:pPr>
      <w:r>
        <w:rPr>
          <w:b/>
          <w:bCs/>
          <w:szCs w:val="18"/>
          <w:highlight w:val="yellow"/>
        </w:rPr>
        <w:t>Proposal:</w:t>
      </w:r>
    </w:p>
    <w:p w14:paraId="6FE8D750" w14:textId="77777777" w:rsidR="00D85314" w:rsidRDefault="0005540E">
      <w:pPr>
        <w:pStyle w:val="ListParagraph"/>
        <w:numPr>
          <w:ilvl w:val="0"/>
          <w:numId w:val="30"/>
        </w:numPr>
        <w:rPr>
          <w:i/>
          <w:iCs/>
          <w:szCs w:val="18"/>
        </w:rPr>
      </w:pPr>
      <w:r>
        <w:rPr>
          <w:b/>
          <w:bCs/>
          <w:szCs w:val="18"/>
        </w:rPr>
        <w:lastRenderedPageBreak/>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proofErr w:type="spellStart"/>
            <w:r>
              <w:rPr>
                <w:rFonts w:hint="eastAsia"/>
                <w:lang w:eastAsia="zh-CN"/>
              </w:rPr>
              <w:t>Transsion</w:t>
            </w:r>
            <w:proofErr w:type="spellEnd"/>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lastRenderedPageBreak/>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56461B">
        <w:tc>
          <w:tcPr>
            <w:tcW w:w="2405" w:type="dxa"/>
          </w:tcPr>
          <w:p w14:paraId="600AB23D" w14:textId="77777777" w:rsidR="00E55DB1" w:rsidRDefault="00E55DB1" w:rsidP="0056461B">
            <w:r>
              <w:t>Futurewei</w:t>
            </w:r>
          </w:p>
        </w:tc>
        <w:tc>
          <w:tcPr>
            <w:tcW w:w="12176" w:type="dxa"/>
          </w:tcPr>
          <w:p w14:paraId="1564A741" w14:textId="4098D90D" w:rsidR="00E55DB1" w:rsidRDefault="00E55DB1" w:rsidP="0056461B">
            <w:pPr>
              <w:rPr>
                <w:lang w:eastAsia="zh-CN"/>
              </w:rPr>
            </w:pPr>
            <w:r>
              <w:rPr>
                <w:lang w:eastAsia="zh-CN"/>
              </w:rPr>
              <w:t xml:space="preserve">We agree </w:t>
            </w:r>
            <w:r>
              <w:rPr>
                <w:lang w:eastAsia="zh-CN"/>
              </w:rPr>
              <w:t xml:space="preserve">with </w:t>
            </w:r>
            <w:r>
              <w:rPr>
                <w:lang w:eastAsia="zh-CN"/>
              </w:rPr>
              <w:t xml:space="preserve">the </w:t>
            </w:r>
            <w:r>
              <w:rPr>
                <w:lang w:eastAsia="zh-CN"/>
              </w:rPr>
              <w:t>proposal</w:t>
            </w:r>
          </w:p>
        </w:tc>
      </w:tr>
    </w:tbl>
    <w:p w14:paraId="73D365C8" w14:textId="77777777" w:rsidR="00D85314" w:rsidRDefault="00D85314">
      <w:pPr>
        <w:rPr>
          <w:lang w:eastAsia="zh-CN"/>
        </w:rPr>
      </w:pPr>
    </w:p>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Default="0005540E">
      <w:pPr>
        <w:rPr>
          <w:lang w:val="en-GB" w:eastAsia="zh-CN"/>
        </w:rPr>
      </w:pPr>
      <w:r>
        <w:rPr>
          <w:highlight w:val="yellow"/>
          <w:lang w:val="en-GB" w:eastAsia="zh-CN"/>
        </w:rPr>
        <w:t>Please comment on the following proposal (Lenovo, R1-2111642).</w:t>
      </w:r>
    </w:p>
    <w:p w14:paraId="7C0D2B41" w14:textId="77777777" w:rsidR="00D85314" w:rsidRDefault="0005540E">
      <w:pPr>
        <w:rPr>
          <w:b/>
          <w:bCs/>
          <w:szCs w:val="18"/>
        </w:rPr>
      </w:pPr>
      <w:r>
        <w:rPr>
          <w:b/>
          <w:bCs/>
          <w:szCs w:val="18"/>
          <w:highlight w:val="yellow"/>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A2759A">
      <w:pPr>
        <w:pStyle w:val="ListParagraph"/>
        <w:spacing w:after="160"/>
        <w:ind w:left="0"/>
        <w:jc w:val="center"/>
      </w:pPr>
      <w:r>
        <w:rPr>
          <w:noProof/>
        </w:rPr>
        <w:object w:dxaOrig="10396" w:dyaOrig="3927" w14:anchorId="0C98362C">
          <v:shape id="_x0000_i1026" type="#_x0000_t75" alt="" style="width:519pt;height:197.25pt;mso-width-percent:0;mso-height-percent:0;mso-width-percent:0;mso-height-percent:0" o:ole="">
            <v:imagedata r:id="rId12" o:title=""/>
          </v:shape>
          <o:OLEObject Type="Embed" ProgID="Visio.Drawing.15" ShapeID="_x0000_i1026" DrawAspect="Content" ObjectID="_1698242496" r:id="rId13"/>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lastRenderedPageBreak/>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w:t>
            </w:r>
            <w:proofErr w:type="spellStart"/>
            <w:r>
              <w:rPr>
                <w:lang w:eastAsia="zh-CN"/>
              </w:rPr>
              <w:t>gnB</w:t>
            </w:r>
            <w:proofErr w:type="spellEnd"/>
            <w:r>
              <w:rPr>
                <w:lang w:eastAsia="zh-CN"/>
              </w:rPr>
              <w:t xml:space="preserve">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proofErr w:type="spellStart"/>
            <w:r>
              <w:rPr>
                <w:rFonts w:hint="eastAsia"/>
                <w:lang w:eastAsia="zh-CN"/>
              </w:rPr>
              <w:t>Transsion</w:t>
            </w:r>
            <w:proofErr w:type="spellEnd"/>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proofErr w:type="gramStart"/>
            <w:r w:rsidR="00BF6E52">
              <w:rPr>
                <w:lang w:eastAsia="zh-CN"/>
              </w:rPr>
              <w:t>S</w:t>
            </w:r>
            <w:r>
              <w:rPr>
                <w:lang w:eastAsia="zh-CN"/>
              </w:rPr>
              <w:t>o</w:t>
            </w:r>
            <w:proofErr w:type="gramEnd"/>
            <w:r>
              <w:rPr>
                <w:lang w:eastAsia="zh-CN"/>
              </w:rPr>
              <w:t xml:space="preserve">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bl>
    <w:p w14:paraId="5B1540D2" w14:textId="77777777" w:rsidR="00D85314" w:rsidRDefault="00D85314">
      <w:pPr>
        <w:rPr>
          <w:lang w:eastAsia="zh-CN"/>
        </w:rPr>
      </w:pP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Pr>
          <w:highlight w:val="yellow"/>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proofErr w:type="spellStart"/>
            <w:r>
              <w:rPr>
                <w:rFonts w:hint="eastAsia"/>
                <w:lang w:eastAsia="zh-CN"/>
              </w:rPr>
              <w:t>Transsion</w:t>
            </w:r>
            <w:proofErr w:type="spellEnd"/>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lastRenderedPageBreak/>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56461B">
        <w:tc>
          <w:tcPr>
            <w:tcW w:w="2405" w:type="dxa"/>
          </w:tcPr>
          <w:p w14:paraId="7C4EA83F" w14:textId="77777777" w:rsidR="006A457E" w:rsidRDefault="006A457E" w:rsidP="0056461B">
            <w:pPr>
              <w:rPr>
                <w:lang w:eastAsia="zh-CN"/>
              </w:rPr>
            </w:pPr>
            <w:r>
              <w:rPr>
                <w:lang w:eastAsia="zh-CN"/>
              </w:rPr>
              <w:t>Futurewei</w:t>
            </w:r>
          </w:p>
        </w:tc>
        <w:tc>
          <w:tcPr>
            <w:tcW w:w="12176" w:type="dxa"/>
          </w:tcPr>
          <w:p w14:paraId="70998107" w14:textId="77777777" w:rsidR="006A457E" w:rsidRDefault="006A457E" w:rsidP="0056461B">
            <w:pPr>
              <w:rPr>
                <w:lang w:eastAsia="zh-CN"/>
              </w:rPr>
            </w:pPr>
            <w:r>
              <w:rPr>
                <w:lang w:eastAsia="zh-CN"/>
              </w:rPr>
              <w:t>It is related to channel access, should be treated in that AI</w:t>
            </w:r>
          </w:p>
        </w:tc>
      </w:tr>
    </w:tbl>
    <w:p w14:paraId="04B1A119" w14:textId="77777777" w:rsidR="00D85314" w:rsidRPr="00020207" w:rsidRDefault="00D85314">
      <w:pPr>
        <w:rPr>
          <w:lang w:eastAsia="zh-CN"/>
        </w:rPr>
      </w:pPr>
    </w:p>
    <w:p w14:paraId="2D7DDEED" w14:textId="77777777" w:rsidR="00D85314" w:rsidRDefault="0005540E">
      <w:pPr>
        <w:pStyle w:val="Heading2"/>
      </w:pPr>
      <w:r>
        <w:t>Topic D: Multi-Cell Operation, Cross-carrier scheduling</w:t>
      </w:r>
    </w:p>
    <w:p w14:paraId="50DDEF55" w14:textId="77777777" w:rsidR="00D85314" w:rsidRDefault="0005540E">
      <w:pPr>
        <w:pStyle w:val="Heading3"/>
        <w:rPr>
          <w:lang w:val="en-GB" w:eastAsia="zh-CN"/>
        </w:rPr>
      </w:pPr>
      <w:r>
        <w:rPr>
          <w:lang w:val="en-GB" w:eastAsia="zh-CN"/>
        </w:rPr>
        <w:t>Issue D-1: Cross-carrier scheduling and multi-cell operation limitations</w:t>
      </w:r>
    </w:p>
    <w:p w14:paraId="6D33636C" w14:textId="77777777" w:rsidR="00D85314" w:rsidRDefault="0005540E">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52C87CFA" w14:textId="77777777" w:rsidR="00D85314" w:rsidRDefault="0005540E">
      <w:pPr>
        <w:rPr>
          <w:b/>
        </w:rPr>
      </w:pPr>
      <w:r>
        <w:rPr>
          <w:b/>
          <w:highlight w:val="yellow"/>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proofErr w:type="spellStart"/>
            <w:r>
              <w:rPr>
                <w:rFonts w:hint="eastAsia"/>
                <w:lang w:eastAsia="zh-CN"/>
              </w:rPr>
              <w:t>Transsion</w:t>
            </w:r>
            <w:proofErr w:type="spellEnd"/>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lastRenderedPageBreak/>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bl>
    <w:p w14:paraId="5239264D" w14:textId="77777777" w:rsidR="00D85314" w:rsidRDefault="00D85314"/>
    <w:p w14:paraId="757F43F1" w14:textId="77777777" w:rsidR="00D85314" w:rsidRDefault="00D85314">
      <w:pPr>
        <w:rPr>
          <w:lang w:val="en-GB"/>
        </w:rPr>
      </w:pPr>
    </w:p>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lastRenderedPageBreak/>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w:t>
            </w:r>
            <w:r>
              <w:lastRenderedPageBreak/>
              <w:t xml:space="preserve">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lastRenderedPageBreak/>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 w:name="_Ref86676032"/>
            <w:bookmarkStart w:id="2" w:name="_Ref86678118"/>
            <w:bookmarkStart w:id="3" w:name="_Hlk62233360"/>
            <w:r>
              <w:t xml:space="preserve">Proposal </w:t>
            </w:r>
            <w:fldSimple w:instr=" SEQ Proposal \* ARABIC ">
              <w:r>
                <w:t>1</w:t>
              </w:r>
            </w:fldSimple>
            <w:bookmarkEnd w:id="1"/>
            <w:r>
              <w:t>: Consider the following options for further design of multi-slot PDCCH monitoring capability:</w:t>
            </w:r>
            <w:bookmarkEnd w:id="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lastRenderedPageBreak/>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CN"/>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w:t>
            </w:r>
            <w:r>
              <w:rPr>
                <w:lang w:eastAsia="zh-CN"/>
              </w:rPr>
              <w:lastRenderedPageBreak/>
              <w:t>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CN"/>
              </w:rPr>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4" w:name="_Toc87014485"/>
            <w:bookmarkStart w:id="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lastRenderedPageBreak/>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CN"/>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w:t>
            </w:r>
            <w:r>
              <w:rPr>
                <w:lang w:val="en-GB" w:eastAsia="ja-JP"/>
              </w:rPr>
              <w:lastRenderedPageBreak/>
              <w:t xml:space="preserve">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8"/>
          </w:p>
          <w:bookmarkStart w:id="9" w:name="_Toc87014492"/>
          <w:p w14:paraId="57A66CC8"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1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1" w:name="_Toc87014210"/>
            <w:bookmarkStart w:id="12" w:name="_Toc87014494"/>
            <w:bookmarkEnd w:id="1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12"/>
          </w:p>
          <w:bookmarkStart w:id="13" w:name="_Toc87014495"/>
          <w:p w14:paraId="52817752"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1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6"/>
          </w:p>
          <w:p w14:paraId="4C699E41" w14:textId="77777777" w:rsidR="00D85314" w:rsidRDefault="0005540E">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1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w:t>
            </w:r>
            <w:r>
              <w:lastRenderedPageBreak/>
              <w:t xml:space="preserve">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18" w:name="_Hlk86949635"/>
            <w:r>
              <w:t xml:space="preserve">it can be easily configured in the Y consecutive slots for USS sets </w:t>
            </w:r>
            <w:bookmarkEnd w:id="1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lastRenderedPageBreak/>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lastRenderedPageBreak/>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A2759A">
            <w:pPr>
              <w:jc w:val="center"/>
            </w:pPr>
            <w:r>
              <w:rPr>
                <w:noProof/>
              </w:rPr>
              <w:object w:dxaOrig="9980" w:dyaOrig="2187" w14:anchorId="2ECEDDDF">
                <v:shape id="_x0000_i1027" type="#_x0000_t75" alt="" style="width:499.5pt;height:110.25pt;mso-width-percent:0;mso-height-percent:0;mso-width-percent:0;mso-height-percent:0" o:ole="">
                  <v:imagedata r:id="rId17" o:title=""/>
                </v:shape>
                <o:OLEObject Type="Embed" ProgID="Visio.Drawing.15" ShapeID="_x0000_i1027" DrawAspect="Content" ObjectID="_1698242497" r:id="rId18"/>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lastRenderedPageBreak/>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A2759A">
            <w:pPr>
              <w:jc w:val="center"/>
            </w:pPr>
            <w:r>
              <w:rPr>
                <w:noProof/>
              </w:rPr>
              <w:object w:dxaOrig="7231" w:dyaOrig="3404" w14:anchorId="0561AF66">
                <v:shape id="_x0000_i1028" type="#_x0000_t75" alt="" style="width:361.5pt;height:170.25pt;mso-width-percent:0;mso-height-percent:0;mso-width-percent:0;mso-height-percent:0" o:ole="">
                  <v:imagedata r:id="rId19" o:title=""/>
                </v:shape>
                <o:OLEObject Type="Embed" ProgID="Visio.Drawing.15" ShapeID="_x0000_i1028" DrawAspect="Content" ObjectID="_1698242498" r:id="rId20"/>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lastRenderedPageBreak/>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lastRenderedPageBreak/>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A2759A">
            <w:pPr>
              <w:pStyle w:val="ListParagraph"/>
              <w:spacing w:after="160"/>
              <w:ind w:left="0"/>
              <w:jc w:val="center"/>
              <w:rPr>
                <w:lang w:eastAsia="zh-CN"/>
              </w:rPr>
            </w:pPr>
            <w:r>
              <w:rPr>
                <w:noProof/>
              </w:rPr>
              <w:object w:dxaOrig="9395" w:dyaOrig="5005" w14:anchorId="72247AFA">
                <v:shape id="_x0000_i1029" type="#_x0000_t75" alt="" style="width:470.25pt;height:250.5pt;mso-width-percent:0;mso-height-percent:0;mso-width-percent:0;mso-height-percent:0" o:ole="">
                  <v:imagedata r:id="rId21" o:title=""/>
                </v:shape>
                <o:OLEObject Type="Embed" ProgID="Visio.Drawing.15" ShapeID="_x0000_i1029" DrawAspect="Content" ObjectID="_1698242499" r:id="rId22"/>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lastRenderedPageBreak/>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lastRenderedPageBreak/>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19" w:name="OLE_LINK7"/>
            <w:r>
              <w:rPr>
                <w:rFonts w:hint="eastAsia"/>
                <w:bCs/>
                <w:iCs/>
                <w:szCs w:val="20"/>
                <w:lang w:eastAsia="zh-CN"/>
              </w:rPr>
              <w:t>the PDCCH monitoring occasion of Group 1</w:t>
            </w:r>
            <w:bookmarkEnd w:id="19"/>
            <w:r>
              <w:rPr>
                <w:rFonts w:hint="eastAsia"/>
                <w:bCs/>
                <w:iCs/>
                <w:szCs w:val="20"/>
                <w:lang w:eastAsia="zh-CN"/>
              </w:rPr>
              <w:t xml:space="preserve"> overlaps with the PDCCH monitoring occasion of Group 2, then only one slot is used to locate the PDCCH within a slot group. In such case, the minimum of </w:t>
            </w:r>
            <w:bookmarkStart w:id="20" w:name="OLE_LINK9"/>
            <w:r>
              <w:rPr>
                <w:rFonts w:hint="eastAsia"/>
                <w:bCs/>
                <w:iCs/>
                <w:szCs w:val="20"/>
                <w:lang w:eastAsia="zh-CN"/>
              </w:rPr>
              <w:t>Y</w:t>
            </w:r>
            <w:bookmarkEnd w:id="2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2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CN"/>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fourth round discussion, to avoid the back-to-back overload issue, an extra window can be considered to </w:t>
            </w:r>
            <w:r>
              <w:rPr>
                <w:b/>
              </w:rPr>
              <w:lastRenderedPageBreak/>
              <w:t>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2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A2759A">
            <w:pPr>
              <w:pStyle w:val="BodyText"/>
              <w:rPr>
                <w:rFonts w:ascii="Times" w:hAnsi="Times"/>
                <w:szCs w:val="24"/>
              </w:rPr>
            </w:pPr>
            <w:r>
              <w:rPr>
                <w:noProof/>
              </w:rPr>
              <w:object w:dxaOrig="9633" w:dyaOrig="2249" w14:anchorId="66BE2FCB">
                <v:shape id="_x0000_i1030" type="#_x0000_t75" alt="" style="width:481.5pt;height:112.5pt;mso-width-percent:0;mso-height-percent:0;mso-width-percent:0;mso-height-percent:0" o:ole="">
                  <v:imagedata r:id="rId24" o:title=""/>
                </v:shape>
                <o:OLEObject Type="Embed" ProgID="Visio.Drawing.15" ShapeID="_x0000_i1030" DrawAspect="Content" ObjectID="_1698242500" r:id="rId25"/>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lastRenderedPageBreak/>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lastRenderedPageBreak/>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22" w:name="_Ref86702034"/>
            <w:r>
              <w:t xml:space="preserve">Observation </w:t>
            </w:r>
            <w:fldSimple w:instr=" SEQ Observation \* ARABIC ">
              <w:r>
                <w:t>1</w:t>
              </w:r>
            </w:fldSimple>
            <w:bookmarkEnd w:id="22"/>
            <w:r>
              <w:t>: PDCCH monitoring occasion dispersed over multiple slots within a slot group of X slots may adversely impact the power efficiency.</w:t>
            </w:r>
          </w:p>
          <w:p w14:paraId="061EFCFE" w14:textId="77777777" w:rsidR="00D85314" w:rsidRDefault="0005540E">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23"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24" w:name="_Ref86699493"/>
            <w:bookmarkStart w:id="25" w:name="P_3"/>
            <w:bookmarkEnd w:id="23"/>
            <w:r>
              <w:t xml:space="preserve">Proposal </w:t>
            </w:r>
            <w:fldSimple w:instr=" SEQ Proposal \* ARABIC ">
              <w:r>
                <w:t>3</w:t>
              </w:r>
            </w:fldSimple>
            <w:bookmarkEnd w:id="24"/>
            <w:r>
              <w:t>: Monitoring of all Group (2) SS sets are restricted within Y</w:t>
            </w:r>
            <w:r>
              <w:rPr>
                <w:vertAlign w:val="subscript"/>
              </w:rPr>
              <w:t>Group2</w:t>
            </w:r>
            <w:r>
              <w:t xml:space="preserve"> = 1 slot within a slot group of X slots.</w:t>
            </w:r>
          </w:p>
          <w:bookmarkEnd w:id="2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74A8A2E"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26"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2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2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2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t>Topic A2: Search Space Configuration/Enhancement</w:t>
      </w:r>
    </w:p>
    <w:p w14:paraId="30B43270"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047833E" w14:textId="77777777" w:rsidR="00D85314" w:rsidRDefault="0005540E">
            <w:pPr>
              <w:pStyle w:val="ListParagraph"/>
              <w:numPr>
                <w:ilvl w:val="0"/>
                <w:numId w:val="5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282AC61" w14:textId="77777777" w:rsidR="00D85314" w:rsidRDefault="0005540E">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CN"/>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CN"/>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2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2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CN"/>
              </w:rPr>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A2759A">
              <w:rPr>
                <w:noProof/>
              </w:rPr>
              <w:object w:dxaOrig="6753" w:dyaOrig="3103" w14:anchorId="6C59643D">
                <v:shape id="_x0000_i1031" type="#_x0000_t75" alt="" style="width:337.5pt;height:156pt;mso-width-percent:0;mso-height-percent:0;mso-width-percent:0;mso-height-percent:0" o:ole="">
                  <v:imagedata r:id="rId10" o:title=""/>
                </v:shape>
                <o:OLEObject Type="Embed" ProgID="Visio.Drawing.11" ShapeID="_x0000_i1031" DrawAspect="Content" ObjectID="_1698242501" r:id="rId29"/>
              </w:object>
            </w:r>
          </w:p>
          <w:p w14:paraId="1EA27984" w14:textId="77777777" w:rsidR="00D85314" w:rsidRDefault="0005540E">
            <w:pPr>
              <w:pStyle w:val="Caption"/>
              <w:rPr>
                <w:b w:val="0"/>
                <w:lang w:eastAsia="zh-CN"/>
              </w:rPr>
            </w:pPr>
            <w:bookmarkStart w:id="2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2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A2759A">
            <w:pPr>
              <w:pStyle w:val="BodyText"/>
              <w:keepNext/>
              <w:jc w:val="center"/>
            </w:pPr>
            <w:r>
              <w:rPr>
                <w:noProof/>
              </w:rPr>
              <w:object w:dxaOrig="6361" w:dyaOrig="1979" w14:anchorId="057FA397">
                <v:shape id="_x0000_i1032" type="#_x0000_t75" alt="" style="width:318pt;height:99.75pt;mso-width-percent:0;mso-height-percent:0;mso-width-percent:0;mso-height-percent:0" o:ole="">
                  <v:imagedata r:id="rId30" o:title=""/>
                </v:shape>
                <o:OLEObject Type="Embed" ProgID="Visio.Drawing.11" ShapeID="_x0000_i1032" DrawAspect="Content" ObjectID="_1698242502" r:id="rId31"/>
              </w:object>
            </w:r>
          </w:p>
          <w:p w14:paraId="14A155CF" w14:textId="77777777" w:rsidR="00D85314" w:rsidRDefault="0005540E">
            <w:pPr>
              <w:pStyle w:val="Caption"/>
              <w:rPr>
                <w:b w:val="0"/>
                <w:lang w:eastAsia="zh-CN"/>
              </w:rPr>
            </w:pPr>
            <w:bookmarkStart w:id="3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3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021382">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1" w:name="_Toc87014497"/>
            <w:r>
              <w:rPr>
                <w:rFonts w:cs="Arial"/>
                <w:szCs w:val="20"/>
                <w:lang w:eastAsia="zh-CN"/>
              </w:rPr>
              <w:t>For multi-slot PDCCH monitoring with 480/960 kHz SCS, the network configures a search space with at least</w:t>
            </w:r>
            <w:r>
              <w:rPr>
                <w:rFonts w:eastAsiaTheme="minorEastAsia"/>
              </w:rPr>
              <w:t>:</w:t>
            </w:r>
            <w:bookmarkEnd w:id="3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2" w:name="_Toc87014498"/>
            <w:r>
              <w:rPr>
                <w:rFonts w:eastAsia="Calibri" w:cs="Arial"/>
                <w:szCs w:val="20"/>
                <w:lang w:val="en-GB" w:eastAsia="ja-JP"/>
              </w:rPr>
              <w:t>periodicity in terms of X-slot groups,</w:t>
            </w:r>
            <w:bookmarkEnd w:id="3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9"/>
            <w:r>
              <w:rPr>
                <w:rFonts w:eastAsia="Calibri" w:cs="Arial"/>
                <w:szCs w:val="20"/>
                <w:lang w:val="en-GB" w:eastAsia="ja-JP"/>
              </w:rPr>
              <w:t>offset in terms of X-slot groups within the period,</w:t>
            </w:r>
            <w:bookmarkEnd w:id="3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500"/>
            <w:r>
              <w:rPr>
                <w:rFonts w:eastAsia="Calibri" w:cs="Arial"/>
                <w:szCs w:val="20"/>
                <w:lang w:val="en-GB" w:eastAsia="ja-JP"/>
              </w:rPr>
              <w:t>duration in terms of X-slot groups within the period, and</w:t>
            </w:r>
            <w:bookmarkEnd w:id="3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5" w:name="_Toc87014501"/>
            <w:proofErr w:type="spellStart"/>
            <w:r>
              <w:rPr>
                <w:rFonts w:eastAsia="Calibri" w:cs="Arial"/>
                <w:i/>
                <w:iCs/>
                <w:szCs w:val="20"/>
                <w:lang w:val="en-GB" w:eastAsia="ja-JP"/>
              </w:rPr>
              <w:t>monitoringSymbolsWithinSlot</w:t>
            </w:r>
            <w:proofErr w:type="spellEnd"/>
            <w:r>
              <w:rPr>
                <w:lang w:val="en-GB" w:eastAsia="ja-JP"/>
              </w:rPr>
              <w:t>.</w:t>
            </w:r>
            <w:bookmarkEnd w:id="3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3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7"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3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3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39"/>
          </w:p>
          <w:bookmarkStart w:id="40" w:name="_Toc87014506"/>
          <w:p w14:paraId="6D46516F"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021382">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2"/>
          </w:p>
          <w:bookmarkStart w:id="43" w:name="_Toc87014509"/>
          <w:p w14:paraId="63D6927C" w14:textId="77777777" w:rsidR="00D85314" w:rsidRDefault="0002138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5" w:name="_Toc87014511"/>
            <w:r>
              <w:t>In defining a solution for Rel-17 multi-slot PDCCH monitoring, both intra- and inter-slot monitoring aspects shall be addressed jointly</w:t>
            </w:r>
            <w:r>
              <w:rPr>
                <w:rFonts w:eastAsiaTheme="minorEastAsia"/>
              </w:rPr>
              <w:t>:</w:t>
            </w:r>
            <w:bookmarkEnd w:id="4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12"/>
            <w:r>
              <w:t>In which and in how many slot(s) of a multi-slot span shall PDCCH be monitored?</w:t>
            </w:r>
            <w:bookmarkEnd w:id="4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13"/>
            <w:r>
              <w:t>In which OFDM symbols of a monitored slot shall PDCCH be monitored?</w:t>
            </w:r>
            <w:bookmarkEnd w:id="4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4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4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23"/>
            <w:r>
              <w:rPr>
                <w:rFonts w:cs="Arial"/>
                <w:szCs w:val="20"/>
                <w:lang w:eastAsia="zh-CN"/>
              </w:rPr>
              <w:t>For multi-slot PDCCH monitoring with 480/960 kHz SCS, configuration of Group (2) search spaces follows Rel-16 specs</w:t>
            </w:r>
            <w:r>
              <w:rPr>
                <w:lang w:eastAsia="ja-JP"/>
              </w:rPr>
              <w:t>.</w:t>
            </w:r>
            <w:bookmarkEnd w:id="5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5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5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A2759A">
            <w:pPr>
              <w:jc w:val="center"/>
              <w:rPr>
                <w:lang w:val="en-GB" w:eastAsia="zh-CN"/>
              </w:rPr>
            </w:pPr>
            <w:r>
              <w:rPr>
                <w:noProof/>
              </w:rPr>
              <w:object w:dxaOrig="7608" w:dyaOrig="1979" w14:anchorId="1E799BBA">
                <v:shape id="_x0000_i1033" type="#_x0000_t75" alt="" style="width:380.25pt;height:99.75pt;mso-width-percent:0;mso-height-percent:0;mso-width-percent:0;mso-height-percent:0" o:ole="">
                  <v:imagedata r:id="rId32" o:title=""/>
                </v:shape>
                <o:OLEObject Type="Embed" ProgID="Visio.Drawing.15" ShapeID="_x0000_i1033" DrawAspect="Content" ObjectID="_1698242503" r:id="rId33"/>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53" w:name="_Hlk86953216"/>
            <w:r>
              <w:t>Type0/0A/1/2 CSS sets can be configured in different positions, e.g., symbol 0 and/or symbol 7 in a slot, which is similar to FG 3-1</w:t>
            </w:r>
            <w:bookmarkEnd w:id="5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4E7E2E07" w14:textId="77777777" w:rsidR="00D85314" w:rsidRDefault="0005540E">
            <w:pPr>
              <w:pStyle w:val="PL"/>
            </w:pPr>
            <w:proofErr w:type="spellStart"/>
            <w:r>
              <w:t>SearchSpace</w:t>
            </w:r>
            <w:proofErr w:type="spellEnd"/>
            <w:r>
              <w:t xml:space="preserve"> ::=                         </w:t>
            </w:r>
            <w:r>
              <w:rPr>
                <w:color w:val="993366"/>
              </w:rPr>
              <w:t>SEQUENCE</w:t>
            </w:r>
            <w:r>
              <w:t xml:space="preserve"> {</w:t>
            </w:r>
          </w:p>
          <w:p w14:paraId="59B8B448" w14:textId="77777777" w:rsidR="00D85314" w:rsidRDefault="0005540E">
            <w:pPr>
              <w:pStyle w:val="PL"/>
            </w:pPr>
            <w:r>
              <w:t xml:space="preserve">    </w:t>
            </w:r>
            <w:proofErr w:type="spellStart"/>
            <w:r>
              <w:t>searchSpaceId</w:t>
            </w:r>
            <w:proofErr w:type="spellEnd"/>
            <w:r>
              <w:t xml:space="preserve">                           </w:t>
            </w:r>
            <w:proofErr w:type="spellStart"/>
            <w:r>
              <w:t>SearchSpaceId</w:t>
            </w:r>
            <w:proofErr w:type="spellEnd"/>
            <w:r>
              <w:t>,</w:t>
            </w:r>
          </w:p>
          <w:p w14:paraId="1DE92405" w14:textId="77777777" w:rsidR="00D85314" w:rsidRDefault="0005540E">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1417A2F2" w14:textId="77777777" w:rsidR="00D85314" w:rsidRDefault="0005540E">
            <w:pPr>
              <w:pStyle w:val="PL"/>
            </w:pPr>
            <w:r>
              <w:t xml:space="preserve">    </w:t>
            </w:r>
            <w:proofErr w:type="spellStart"/>
            <w:r>
              <w:t>monitoringSlotPeriodicityAndOffset</w:t>
            </w:r>
            <w:proofErr w:type="spellEnd"/>
            <w:r>
              <w:t xml:space="preserve">      </w:t>
            </w:r>
            <w:r>
              <w:rPr>
                <w:color w:val="993366"/>
              </w:rPr>
              <w:t>CHOICE</w:t>
            </w:r>
            <w:r>
              <w:t xml:space="preserve"> {</w:t>
            </w:r>
          </w:p>
          <w:p w14:paraId="69D2CA32" w14:textId="77777777" w:rsidR="00D85314" w:rsidRDefault="0005540E">
            <w:pPr>
              <w:pStyle w:val="PL"/>
            </w:pPr>
            <w:r>
              <w:t xml:space="preserve">        sl1                                     </w:t>
            </w:r>
            <w:r>
              <w:rPr>
                <w:color w:val="993366"/>
              </w:rPr>
              <w:t>NULL</w:t>
            </w:r>
            <w:r>
              <w:t>,</w:t>
            </w:r>
          </w:p>
          <w:p w14:paraId="56A3C76A" w14:textId="77777777" w:rsidR="00D85314" w:rsidRDefault="0005540E">
            <w:pPr>
              <w:pStyle w:val="PL"/>
            </w:pPr>
            <w:r>
              <w:t xml:space="preserve">        sl2                                     </w:t>
            </w:r>
            <w:r>
              <w:rPr>
                <w:color w:val="993366"/>
              </w:rPr>
              <w:t>INTEGER</w:t>
            </w:r>
            <w:r>
              <w:t xml:space="preserve"> (0..1),</w:t>
            </w:r>
          </w:p>
          <w:p w14:paraId="642612E2" w14:textId="77777777" w:rsidR="00D85314" w:rsidRDefault="0005540E">
            <w:pPr>
              <w:pStyle w:val="PL"/>
              <w:rPr>
                <w:lang w:val="nl-NL"/>
              </w:rPr>
            </w:pPr>
            <w: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54" w:name="OLE_LINK2"/>
            <w:r>
              <w:rPr>
                <w:rFonts w:hint="eastAsia"/>
                <w:b/>
                <w:i/>
                <w:szCs w:val="20"/>
                <w:lang w:eastAsia="zh-CN"/>
              </w:rPr>
              <w:t>Search space set group</w:t>
            </w:r>
            <w:bookmarkEnd w:id="5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A2759A">
            <w:r>
              <w:rPr>
                <w:noProof/>
              </w:rPr>
              <w:object w:dxaOrig="9633" w:dyaOrig="2865" w14:anchorId="68FD881E">
                <v:shape id="_x0000_i1034" type="#_x0000_t75" alt="" style="width:481.5pt;height:143.25pt;mso-width-percent:0;mso-height-percent:0;mso-width-percent:0;mso-height-percent:0" o:ole="">
                  <v:imagedata r:id="rId34" o:title=""/>
                </v:shape>
                <o:OLEObject Type="Embed" ProgID="Visio.Drawing.15" ShapeID="_x0000_i1034" DrawAspect="Content" ObjectID="_1698242504" r:id="rId35"/>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CN"/>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55" w:name="_Ref68624864"/>
            <w:r>
              <w:t xml:space="preserve">Figure </w:t>
            </w:r>
            <w:fldSimple w:instr=" SEQ Figure \* ARABIC ">
              <w:r>
                <w:t>1</w:t>
              </w:r>
            </w:fldSimple>
            <w:bookmarkEnd w:id="5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56"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57" w:name="O_2"/>
            <w:bookmarkEnd w:id="56"/>
            <w:r>
              <w:t xml:space="preserve">Observation </w:t>
            </w:r>
            <w:fldSimple w:instr=" SEQ Observation \* ARABIC ">
              <w:r>
                <w:t>2</w:t>
              </w:r>
            </w:fldSimple>
            <w:r>
              <w:t>: Monitoring two consecutive slots for Group (2) SS sets within a slot group introduces lots of challenges in the UE implementation.</w:t>
            </w:r>
          </w:p>
          <w:bookmarkEnd w:id="57"/>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58" w:name="_Ref86684986"/>
            <w:bookmarkStart w:id="59" w:name="P_5"/>
            <w:r>
              <w:t xml:space="preserve">Proposal </w:t>
            </w:r>
            <w:fldSimple w:instr=" SEQ Proposal \* ARABIC ">
              <w:r>
                <w:t>5</w:t>
              </w:r>
            </w:fldSimple>
            <w:bookmarkEnd w:id="5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5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60" w:name="P_6"/>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6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A2759A">
            <w:pPr>
              <w:jc w:val="center"/>
            </w:pPr>
            <w:r>
              <w:rPr>
                <w:noProof/>
              </w:rPr>
              <w:object w:dxaOrig="5329" w:dyaOrig="1201" w14:anchorId="681A6A0A">
                <v:shape id="_x0000_i1035" type="#_x0000_t75" alt="" style="width:266.25pt;height:60pt;mso-width-percent:0;mso-height-percent:0;mso-width-percent:0;mso-height-percent:0" o:ole="">
                  <v:imagedata r:id="rId39" o:title=""/>
                </v:shape>
                <o:OLEObject Type="Embed" ProgID="Visio.Drawing.15" ShapeID="_x0000_i1035" DrawAspect="Content" ObjectID="_1698242505" r:id="rId40"/>
              </w:object>
            </w:r>
          </w:p>
          <w:p w14:paraId="38E3DB69" w14:textId="77777777" w:rsidR="00D85314" w:rsidRDefault="0005540E">
            <w:pPr>
              <w:jc w:val="center"/>
            </w:pPr>
            <w:r>
              <w:t>(a)</w:t>
            </w:r>
          </w:p>
          <w:p w14:paraId="18652FA0" w14:textId="77777777" w:rsidR="00D85314" w:rsidRDefault="00A2759A">
            <w:pPr>
              <w:jc w:val="center"/>
            </w:pPr>
            <w:r>
              <w:rPr>
                <w:noProof/>
              </w:rPr>
              <w:object w:dxaOrig="5329" w:dyaOrig="1201" w14:anchorId="7865F1D0">
                <v:shape id="_x0000_i1036" type="#_x0000_t75" alt="" style="width:266.25pt;height:60pt;mso-width-percent:0;mso-height-percent:0;mso-width-percent:0;mso-height-percent:0" o:ole="">
                  <v:imagedata r:id="rId41" o:title=""/>
                </v:shape>
                <o:OLEObject Type="Embed" ProgID="Visio.Drawing.15" ShapeID="_x0000_i1036" DrawAspect="Content" ObjectID="_1698242506" r:id="rId42"/>
              </w:object>
            </w:r>
          </w:p>
          <w:p w14:paraId="7CE0D6DA" w14:textId="77777777" w:rsidR="00D85314" w:rsidRDefault="0005540E">
            <w:pPr>
              <w:jc w:val="center"/>
            </w:pPr>
            <w:r>
              <w:t>(b)</w:t>
            </w:r>
          </w:p>
          <w:p w14:paraId="589F5F35" w14:textId="77777777" w:rsidR="00D85314" w:rsidRDefault="00A2759A">
            <w:pPr>
              <w:jc w:val="center"/>
            </w:pPr>
            <w:r>
              <w:rPr>
                <w:noProof/>
              </w:rPr>
              <w:object w:dxaOrig="5329" w:dyaOrig="1201" w14:anchorId="246370E5">
                <v:shape id="_x0000_i1037" type="#_x0000_t75" alt="" style="width:266.25pt;height:60pt;mso-width-percent:0;mso-height-percent:0;mso-width-percent:0;mso-height-percent:0" o:ole="">
                  <v:imagedata r:id="rId43" o:title=""/>
                </v:shape>
                <o:OLEObject Type="Embed" ProgID="Visio.Drawing.15" ShapeID="_x0000_i1037" DrawAspect="Content" ObjectID="_1698242507" r:id="rId44"/>
              </w:object>
            </w:r>
          </w:p>
          <w:p w14:paraId="75145163" w14:textId="77777777" w:rsidR="00D85314" w:rsidRDefault="0005540E">
            <w:pPr>
              <w:jc w:val="center"/>
            </w:pPr>
            <w:r>
              <w:t>(c)</w:t>
            </w:r>
          </w:p>
          <w:p w14:paraId="27833AB4" w14:textId="77777777" w:rsidR="00D85314" w:rsidRDefault="0005540E">
            <w:pPr>
              <w:pStyle w:val="Caption"/>
              <w:jc w:val="center"/>
            </w:pPr>
            <w:bookmarkStart w:id="61" w:name="_Ref86706230"/>
            <w:r>
              <w:t xml:space="preserve">Figure </w:t>
            </w:r>
            <w:fldSimple w:instr=" SEQ Figure \* ARABIC ">
              <w:r>
                <w:t>1</w:t>
              </w:r>
            </w:fldSimple>
            <w:bookmarkEnd w:id="6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6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6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6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6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A2759A">
              <w:rPr>
                <w:b/>
                <w:noProof/>
                <w:position w:val="-10"/>
              </w:rPr>
              <w:object w:dxaOrig="1571" w:dyaOrig="331" w14:anchorId="18987447">
                <v:shape id="_x0000_i1038" type="#_x0000_t75" alt="" style="width:79.5pt;height:16.5pt;mso-width-percent:0;mso-height-percent:0;mso-width-percent:0;mso-height-percent:0" o:ole="">
                  <v:imagedata r:id="rId46" o:title=""/>
                </v:shape>
                <o:OLEObject Type="Embed" ProgID="Equation.3" ShapeID="_x0000_i1038" DrawAspect="Content" ObjectID="_1698242508" r:id="rId47"/>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CN"/>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16"/>
            <w:r>
              <w:rPr>
                <w:rFonts w:cs="Arial"/>
                <w:szCs w:val="20"/>
                <w:lang w:eastAsia="zh-CN"/>
              </w:rPr>
              <w:t>For multi-slot PDCCH monitoring with 480/960 kHz SCS, the network ensures</w:t>
            </w:r>
            <w:r>
              <w:rPr>
                <w:rFonts w:eastAsiaTheme="minorEastAsia"/>
              </w:rPr>
              <w:t>:</w:t>
            </w:r>
            <w:bookmarkEnd w:id="6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5"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6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6"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6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7"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6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w:t>
            </w:r>
            <w:proofErr w:type="spellStart"/>
            <w:r>
              <w:rPr>
                <w:rFonts w:eastAsiaTheme="minorEastAsia"/>
                <w:lang w:val="en-GB" w:eastAsia="ja-JP"/>
              </w:rPr>
              <w:t>ing</w:t>
            </w:r>
            <w:proofErr w:type="spellEnd"/>
            <w:r>
              <w:rPr>
                <w:rFonts w:eastAsiaTheme="minorEastAsia"/>
                <w:lang w:val="en-GB" w:eastAsia="ja-JP"/>
              </w:rPr>
              <w:t xml:space="preserve">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6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6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7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1" w:name="_Toc87014528"/>
            <w:bookmarkStart w:id="72" w:name="_Ref79163691"/>
            <w:r>
              <w:rPr>
                <w:rFonts w:eastAsiaTheme="minorEastAsia"/>
              </w:rPr>
              <w:t>RAN1 agrees to the following m</w:t>
            </w:r>
            <w:r>
              <w:t>ulti-slot PDCCH processing capability values for 480/960 kHz SCS to progress the Rel-17 specification effort:</w:t>
            </w:r>
            <w:bookmarkEnd w:id="7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7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2BD8CC05" w14:textId="77777777" w:rsidR="00D85314" w:rsidRDefault="0005540E">
            <w:pPr>
              <w:pStyle w:val="B1"/>
              <w:numPr>
                <w:ilvl w:val="1"/>
                <w:numId w:val="6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A2759A">
            <w:pPr>
              <w:pStyle w:val="ListParagraph"/>
              <w:spacing w:after="160"/>
              <w:ind w:left="0"/>
              <w:jc w:val="center"/>
            </w:pPr>
            <w:r>
              <w:rPr>
                <w:noProof/>
              </w:rPr>
              <w:object w:dxaOrig="10396" w:dyaOrig="3927" w14:anchorId="56715BE1">
                <v:shape id="_x0000_i1039" type="#_x0000_t75" alt="" style="width:519pt;height:197.25pt;mso-width-percent:0;mso-height-percent:0;mso-width-percent:0;mso-height-percent:0" o:ole="">
                  <v:imagedata r:id="rId12" o:title=""/>
                </v:shape>
                <o:OLEObject Type="Embed" ProgID="Visio.Drawing.15" ShapeID="_x0000_i1039" DrawAspect="Content" ObjectID="_1698242509" r:id="rId51"/>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75" w:name="_Ref78227753"/>
            <w:r>
              <w:rPr>
                <w:b/>
                <w:bCs/>
              </w:rPr>
              <w:t xml:space="preserve">Table </w:t>
            </w:r>
            <w:bookmarkEnd w:id="7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A2759A">
              <w:rPr>
                <w:rFonts w:hint="eastAsia"/>
                <w:b/>
                <w:bCs/>
                <w:noProof/>
                <w:position w:val="-10"/>
                <w:lang w:eastAsia="zh-CN"/>
              </w:rPr>
              <w:object w:dxaOrig="901" w:dyaOrig="331" w14:anchorId="52BFD4AE">
                <v:shape id="_x0000_i1040" type="#_x0000_t75" alt="" style="width:45pt;height:16.5pt;mso-width-percent:0;mso-height-percent:0;mso-width-percent:0;mso-height-percent:0" o:ole="">
                  <v:imagedata r:id="rId52" o:title=""/>
                </v:shape>
                <o:OLEObject Type="Embed" ProgID="Equation.3" ShapeID="_x0000_i1040" DrawAspect="Content" ObjectID="_1698242510"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76" w:name="_Ref78227760"/>
            <w:r>
              <w:rPr>
                <w:b/>
                <w:bCs/>
              </w:rPr>
              <w:t xml:space="preserve">Table </w:t>
            </w:r>
            <w:bookmarkEnd w:id="7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A2759A">
              <w:rPr>
                <w:rFonts w:hint="eastAsia"/>
                <w:b/>
                <w:bCs/>
                <w:noProof/>
                <w:position w:val="-10"/>
                <w:lang w:eastAsia="zh-CN"/>
              </w:rPr>
              <w:object w:dxaOrig="901" w:dyaOrig="331" w14:anchorId="28023056">
                <v:shape id="_x0000_i1041" type="#_x0000_t75" alt="" style="width:45pt;height:16.5pt;mso-width-percent:0;mso-height-percent:0;mso-width-percent:0;mso-height-percent:0" o:ole="">
                  <v:imagedata r:id="rId52" o:title=""/>
                </v:shape>
                <o:OLEObject Type="Embed" ProgID="Equation.3" ShapeID="_x0000_i1041" DrawAspect="Content" ObjectID="_1698242511"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A2759A">
            <w:pPr>
              <w:jc w:val="center"/>
            </w:pPr>
            <w:r>
              <w:rPr>
                <w:noProof/>
              </w:rPr>
              <w:object w:dxaOrig="9664" w:dyaOrig="2218" w14:anchorId="3F235F78">
                <v:shape id="_x0000_i1042" type="#_x0000_t75" alt="" style="width:483.75pt;height:111pt;mso-width-percent:0;mso-height-percent:0;mso-width-percent:0;mso-height-percent:0" o:ole="">
                  <v:imagedata r:id="rId55" o:title=""/>
                </v:shape>
                <o:OLEObject Type="Embed" ProgID="Visio.Drawing.15" ShapeID="_x0000_i1042" DrawAspect="Content" ObjectID="_1698242512" r:id="rId56"/>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77"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77"/>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78" w:name="_Toc83573326"/>
            <w:bookmarkStart w:id="79" w:name="_Toc83587356"/>
            <w:bookmarkStart w:id="80"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78"/>
            <w:bookmarkEnd w:id="79"/>
            <w:bookmarkEnd w:id="8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A2759A">
            <w:pPr>
              <w:jc w:val="center"/>
            </w:pPr>
            <w:r>
              <w:rPr>
                <w:noProof/>
              </w:rPr>
              <w:object w:dxaOrig="5329" w:dyaOrig="1201" w14:anchorId="1BFBBB6F">
                <v:shape id="_x0000_i1043" type="#_x0000_t75" alt="" style="width:266.25pt;height:60pt;mso-width-percent:0;mso-height-percent:0;mso-width-percent:0;mso-height-percent:0" o:ole="">
                  <v:imagedata r:id="rId39" o:title=""/>
                </v:shape>
                <o:OLEObject Type="Embed" ProgID="Visio.Drawing.15" ShapeID="_x0000_i1043" DrawAspect="Content" ObjectID="_1698242513" r:id="rId57"/>
              </w:object>
            </w:r>
          </w:p>
          <w:p w14:paraId="19142FF6" w14:textId="77777777" w:rsidR="00D85314" w:rsidRDefault="0005540E">
            <w:pPr>
              <w:jc w:val="center"/>
            </w:pPr>
            <w:r>
              <w:t>(a)</w:t>
            </w:r>
          </w:p>
          <w:p w14:paraId="3680BEF8" w14:textId="77777777" w:rsidR="00D85314" w:rsidRDefault="00A2759A">
            <w:pPr>
              <w:jc w:val="center"/>
            </w:pPr>
            <w:r>
              <w:rPr>
                <w:noProof/>
              </w:rPr>
              <w:object w:dxaOrig="5329" w:dyaOrig="1201" w14:anchorId="28239C5C">
                <v:shape id="_x0000_i1044" type="#_x0000_t75" alt="" style="width:266.25pt;height:60pt;mso-width-percent:0;mso-height-percent:0;mso-width-percent:0;mso-height-percent:0" o:ole="">
                  <v:imagedata r:id="rId41" o:title=""/>
                </v:shape>
                <o:OLEObject Type="Embed" ProgID="Visio.Drawing.15" ShapeID="_x0000_i1044" DrawAspect="Content" ObjectID="_1698242514" r:id="rId58"/>
              </w:object>
            </w:r>
          </w:p>
          <w:p w14:paraId="042AF854" w14:textId="77777777" w:rsidR="00D85314" w:rsidRDefault="0005540E">
            <w:pPr>
              <w:jc w:val="center"/>
            </w:pPr>
            <w:r>
              <w:t>(b)</w:t>
            </w:r>
          </w:p>
          <w:p w14:paraId="7F8565E2" w14:textId="77777777" w:rsidR="00D85314" w:rsidRDefault="00A2759A">
            <w:pPr>
              <w:jc w:val="center"/>
            </w:pPr>
            <w:r>
              <w:rPr>
                <w:noProof/>
              </w:rPr>
              <w:object w:dxaOrig="5329" w:dyaOrig="1201" w14:anchorId="01AF2F06">
                <v:shape id="_x0000_i1045" type="#_x0000_t75" alt="" style="width:266.25pt;height:60pt;mso-width-percent:0;mso-height-percent:0;mso-width-percent:0;mso-height-percent:0" o:ole="">
                  <v:imagedata r:id="rId43" o:title=""/>
                </v:shape>
                <o:OLEObject Type="Embed" ProgID="Visio.Drawing.15" ShapeID="_x0000_i1045" DrawAspect="Content" ObjectID="_1698242515" r:id="rId59"/>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81" w:name="_Ref61441327"/>
            <w:bookmarkStart w:id="8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81"/>
            <w:r>
              <w:rPr>
                <w:b/>
              </w:rPr>
              <w:t>following alternatives could be considered:</w:t>
            </w:r>
            <w:bookmarkEnd w:id="8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8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A2759A">
              <w:rPr>
                <w:noProof/>
                <w:position w:val="-14"/>
              </w:rPr>
              <w:object w:dxaOrig="1517" w:dyaOrig="300" w14:anchorId="3247CF91">
                <v:shape id="_x0000_i1046" type="#_x0000_t75" alt="" style="width:76.5pt;height:14.25pt;mso-width-percent:0;mso-height-percent:0;mso-width-percent:0;mso-height-percent:0" o:ole="">
                  <v:imagedata r:id="rId60" o:title=""/>
                </v:shape>
                <o:OLEObject Type="Embed" ProgID="Equation.DSMT4" ShapeID="_x0000_i1046" DrawAspect="Content" ObjectID="_1698242516" r:id="rId61"/>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A2759A">
              <w:rPr>
                <w:noProof/>
                <w:position w:val="-14"/>
              </w:rPr>
              <w:object w:dxaOrig="1517" w:dyaOrig="300" w14:anchorId="0A3BD0BC">
                <v:shape id="_x0000_i1047" type="#_x0000_t75" alt="" style="width:76.5pt;height:14.25pt;mso-width-percent:0;mso-height-percent:0;mso-width-percent:0;mso-height-percent:0" o:ole="">
                  <v:imagedata r:id="rId60" o:title=""/>
                </v:shape>
                <o:OLEObject Type="Embed" ProgID="Equation.DSMT4" ShapeID="_x0000_i1047" DrawAspect="Content" ObjectID="_1698242517" r:id="rId62"/>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in order to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w:t>
            </w:r>
            <w:proofErr w:type="gramStart"/>
            <w:r>
              <w:rPr>
                <w:rFonts w:ascii="Times New Roman" w:hAnsi="Times New Roman"/>
                <w:b/>
                <w:lang w:val="en-GB" w:eastAsia="ko-KR"/>
              </w:rPr>
              <w:t>=[</w:t>
            </w:r>
            <w:proofErr w:type="gramEnd"/>
            <w:r>
              <w:rPr>
                <w:rFonts w:ascii="Times New Roman" w:hAnsi="Times New Roman"/>
                <w:b/>
                <w:lang w:val="en-GB" w:eastAsia="ko-KR"/>
              </w:rPr>
              <w:t>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84" w:name="_Ref78902377"/>
            <w:bookmarkStart w:id="85"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84"/>
          </w:p>
          <w:bookmarkEnd w:id="85"/>
          <w:p w14:paraId="58042365" w14:textId="77777777" w:rsidR="00D85314" w:rsidRDefault="00D85314">
            <w:pPr>
              <w:pStyle w:val="Caption"/>
            </w:pPr>
          </w:p>
          <w:p w14:paraId="31CEC37E" w14:textId="77777777" w:rsidR="00D85314" w:rsidRDefault="0005540E">
            <w:pPr>
              <w:keepNext/>
            </w:pPr>
            <w:r>
              <w:rPr>
                <w:noProof/>
                <w:lang w:eastAsia="zh-CN"/>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86" w:name="_Ref68527611"/>
            <w:r>
              <w:t xml:space="preserve">Figure </w:t>
            </w:r>
            <w:fldSimple w:instr=" SEQ Figure \* ARABIC ">
              <w:r>
                <w:t>1</w:t>
              </w:r>
            </w:fldSimple>
            <w:bookmarkEnd w:id="86"/>
            <w:r>
              <w:t xml:space="preserve"> Example of non-aligned monitoring pattern across CCs in Alt2</w:t>
            </w:r>
          </w:p>
          <w:p w14:paraId="66B9055D" w14:textId="77777777" w:rsidR="00D85314" w:rsidRDefault="00D85314"/>
          <w:p w14:paraId="630FB872" w14:textId="77777777" w:rsidR="00D85314" w:rsidRDefault="0005540E">
            <w:r>
              <w:t xml:space="preserve">Regarding the candidate values of (X,Y),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87"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87"/>
            <w:r>
              <w:t xml:space="preserve"> </w:t>
            </w:r>
          </w:p>
          <w:p w14:paraId="08CCF181" w14:textId="77777777" w:rsidR="00D85314" w:rsidRDefault="00D85314">
            <w:pPr>
              <w:pStyle w:val="ListParagraph"/>
              <w:numPr>
                <w:ilvl w:val="0"/>
                <w:numId w:val="84"/>
              </w:numPr>
              <w:snapToGrid/>
              <w:spacing w:line="240" w:lineRule="auto"/>
              <w:rPr>
                <w:lang w:val="en-GB"/>
              </w:rPr>
            </w:pPr>
            <w:bookmarkStart w:id="88" w:name="P_9"/>
          </w:p>
          <w:bookmarkEnd w:id="8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 xml:space="preserve">List of submitted </w:t>
      </w:r>
      <w:proofErr w:type="spellStart"/>
      <w:r>
        <w:t>TDocs</w:t>
      </w:r>
      <w:proofErr w:type="spellEnd"/>
    </w:p>
    <w:p w14:paraId="182DB255" w14:textId="77777777" w:rsidR="00D85314" w:rsidRDefault="0005540E">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98687" w14:textId="77777777" w:rsidR="00227C7A" w:rsidRDefault="00227C7A" w:rsidP="00596CEF">
      <w:pPr>
        <w:spacing w:after="0" w:line="240" w:lineRule="auto"/>
      </w:pPr>
      <w:r>
        <w:separator/>
      </w:r>
    </w:p>
  </w:endnote>
  <w:endnote w:type="continuationSeparator" w:id="0">
    <w:p w14:paraId="5E3079AA" w14:textId="77777777" w:rsidR="00227C7A" w:rsidRDefault="00227C7A" w:rsidP="0059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FangSong">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FDF68" w14:textId="77777777" w:rsidR="00227C7A" w:rsidRDefault="00227C7A" w:rsidP="00596CEF">
      <w:pPr>
        <w:spacing w:after="0" w:line="240" w:lineRule="auto"/>
      </w:pPr>
      <w:r>
        <w:separator/>
      </w:r>
    </w:p>
  </w:footnote>
  <w:footnote w:type="continuationSeparator" w:id="0">
    <w:p w14:paraId="50862A55" w14:textId="77777777" w:rsidR="00227C7A" w:rsidRDefault="00227C7A" w:rsidP="00596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4"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5"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7"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1"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5"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8"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1"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47"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1"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6"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8"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4"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8"/>
  </w:num>
  <w:num w:numId="3">
    <w:abstractNumId w:val="80"/>
  </w:num>
  <w:num w:numId="4">
    <w:abstractNumId w:val="73"/>
  </w:num>
  <w:num w:numId="5">
    <w:abstractNumId w:val="59"/>
  </w:num>
  <w:num w:numId="6">
    <w:abstractNumId w:val="48"/>
  </w:num>
  <w:num w:numId="7">
    <w:abstractNumId w:val="49"/>
  </w:num>
  <w:num w:numId="8">
    <w:abstractNumId w:val="86"/>
  </w:num>
  <w:num w:numId="9">
    <w:abstractNumId w:val="50"/>
  </w:num>
  <w:num w:numId="10">
    <w:abstractNumId w:val="76"/>
  </w:num>
  <w:num w:numId="11">
    <w:abstractNumId w:val="42"/>
  </w:num>
  <w:num w:numId="12">
    <w:abstractNumId w:val="28"/>
  </w:num>
  <w:num w:numId="13">
    <w:abstractNumId w:val="40"/>
  </w:num>
  <w:num w:numId="14">
    <w:abstractNumId w:val="57"/>
  </w:num>
  <w:num w:numId="15">
    <w:abstractNumId w:val="34"/>
  </w:num>
  <w:num w:numId="16">
    <w:abstractNumId w:val="81"/>
  </w:num>
  <w:num w:numId="17">
    <w:abstractNumId w:val="9"/>
  </w:num>
  <w:num w:numId="18">
    <w:abstractNumId w:val="83"/>
  </w:num>
  <w:num w:numId="19">
    <w:abstractNumId w:val="47"/>
  </w:num>
  <w:num w:numId="20">
    <w:abstractNumId w:val="13"/>
  </w:num>
  <w:num w:numId="21">
    <w:abstractNumId w:val="54"/>
  </w:num>
  <w:num w:numId="22">
    <w:abstractNumId w:val="77"/>
  </w:num>
  <w:num w:numId="23">
    <w:abstractNumId w:val="20"/>
  </w:num>
  <w:num w:numId="24">
    <w:abstractNumId w:val="24"/>
  </w:num>
  <w:num w:numId="25">
    <w:abstractNumId w:val="68"/>
  </w:num>
  <w:num w:numId="26">
    <w:abstractNumId w:val="61"/>
  </w:num>
  <w:num w:numId="27">
    <w:abstractNumId w:val="43"/>
  </w:num>
  <w:num w:numId="28">
    <w:abstractNumId w:val="21"/>
  </w:num>
  <w:num w:numId="29">
    <w:abstractNumId w:val="69"/>
  </w:num>
  <w:num w:numId="30">
    <w:abstractNumId w:val="66"/>
  </w:num>
  <w:num w:numId="31">
    <w:abstractNumId w:val="78"/>
  </w:num>
  <w:num w:numId="32">
    <w:abstractNumId w:val="25"/>
  </w:num>
  <w:num w:numId="33">
    <w:abstractNumId w:val="7"/>
  </w:num>
  <w:num w:numId="34">
    <w:abstractNumId w:val="58"/>
  </w:num>
  <w:num w:numId="35">
    <w:abstractNumId w:val="17"/>
  </w:num>
  <w:num w:numId="36">
    <w:abstractNumId w:val="46"/>
  </w:num>
  <w:num w:numId="37">
    <w:abstractNumId w:val="64"/>
  </w:num>
  <w:num w:numId="38">
    <w:abstractNumId w:val="6"/>
  </w:num>
  <w:num w:numId="39">
    <w:abstractNumId w:val="23"/>
  </w:num>
  <w:num w:numId="40">
    <w:abstractNumId w:val="4"/>
  </w:num>
  <w:num w:numId="41">
    <w:abstractNumId w:val="44"/>
  </w:num>
  <w:num w:numId="42">
    <w:abstractNumId w:val="71"/>
  </w:num>
  <w:num w:numId="43">
    <w:abstractNumId w:val="31"/>
  </w:num>
  <w:num w:numId="44">
    <w:abstractNumId w:val="56"/>
  </w:num>
  <w:num w:numId="45">
    <w:abstractNumId w:val="26"/>
  </w:num>
  <w:num w:numId="46">
    <w:abstractNumId w:val="1"/>
  </w:num>
  <w:num w:numId="47">
    <w:abstractNumId w:val="15"/>
  </w:num>
  <w:num w:numId="48">
    <w:abstractNumId w:val="37"/>
  </w:num>
  <w:num w:numId="49">
    <w:abstractNumId w:val="29"/>
  </w:num>
  <w:num w:numId="50">
    <w:abstractNumId w:val="19"/>
  </w:num>
  <w:num w:numId="51">
    <w:abstractNumId w:val="39"/>
  </w:num>
  <w:num w:numId="52">
    <w:abstractNumId w:val="33"/>
  </w:num>
  <w:num w:numId="53">
    <w:abstractNumId w:val="67"/>
  </w:num>
  <w:num w:numId="54">
    <w:abstractNumId w:val="8"/>
  </w:num>
  <w:num w:numId="55">
    <w:abstractNumId w:val="10"/>
  </w:num>
  <w:num w:numId="56">
    <w:abstractNumId w:val="5"/>
  </w:num>
  <w:num w:numId="57">
    <w:abstractNumId w:val="84"/>
  </w:num>
  <w:num w:numId="58">
    <w:abstractNumId w:val="0"/>
  </w:num>
  <w:num w:numId="59">
    <w:abstractNumId w:val="53"/>
  </w:num>
  <w:num w:numId="60">
    <w:abstractNumId w:val="22"/>
  </w:num>
  <w:num w:numId="61">
    <w:abstractNumId w:val="51"/>
  </w:num>
  <w:num w:numId="62">
    <w:abstractNumId w:val="3"/>
  </w:num>
  <w:num w:numId="63">
    <w:abstractNumId w:val="82"/>
  </w:num>
  <w:num w:numId="64">
    <w:abstractNumId w:val="85"/>
  </w:num>
  <w:num w:numId="65">
    <w:abstractNumId w:val="32"/>
  </w:num>
  <w:num w:numId="66">
    <w:abstractNumId w:val="55"/>
  </w:num>
  <w:num w:numId="67">
    <w:abstractNumId w:val="79"/>
  </w:num>
  <w:num w:numId="68">
    <w:abstractNumId w:val="14"/>
  </w:num>
  <w:num w:numId="69">
    <w:abstractNumId w:val="63"/>
  </w:num>
  <w:num w:numId="70">
    <w:abstractNumId w:val="18"/>
  </w:num>
  <w:num w:numId="71">
    <w:abstractNumId w:val="45"/>
  </w:num>
  <w:num w:numId="72">
    <w:abstractNumId w:val="62"/>
  </w:num>
  <w:num w:numId="73">
    <w:abstractNumId w:val="65"/>
  </w:num>
  <w:num w:numId="74">
    <w:abstractNumId w:val="41"/>
  </w:num>
  <w:num w:numId="75">
    <w:abstractNumId w:val="27"/>
  </w:num>
  <w:num w:numId="76">
    <w:abstractNumId w:val="36"/>
  </w:num>
  <w:num w:numId="77">
    <w:abstractNumId w:val="75"/>
  </w:num>
  <w:num w:numId="78">
    <w:abstractNumId w:val="30"/>
  </w:num>
  <w:num w:numId="79">
    <w:abstractNumId w:val="60"/>
  </w:num>
  <w:num w:numId="80">
    <w:abstractNumId w:val="74"/>
  </w:num>
  <w:num w:numId="81">
    <w:abstractNumId w:val="35"/>
  </w:num>
  <w:num w:numId="82">
    <w:abstractNumId w:val="2"/>
  </w:num>
  <w:num w:numId="83">
    <w:abstractNumId w:val="16"/>
  </w:num>
  <w:num w:numId="84">
    <w:abstractNumId w:val="52"/>
  </w:num>
  <w:num w:numId="85">
    <w:abstractNumId w:val="70"/>
  </w:num>
  <w:num w:numId="86">
    <w:abstractNumId w:val="12"/>
  </w:num>
  <w:num w:numId="87">
    <w:abstractNumId w:val="7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목록 단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package" Target="embeddings/Microsoft_Visio_Drawing8.vsdx"/><Relationship Id="rId47" Type="http://schemas.openxmlformats.org/officeDocument/2006/relationships/oleObject" Target="embeddings/oleObject1.bin"/><Relationship Id="rId50" Type="http://schemas.openxmlformats.org/officeDocument/2006/relationships/image" Target="media/image29.wmf"/><Relationship Id="rId55" Type="http://schemas.openxmlformats.org/officeDocument/2006/relationships/image" Target="media/image31.emf"/><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Microsoft_Visio_2003-2010_Drawing1.vsd"/><Relationship Id="rId11" Type="http://schemas.openxmlformats.org/officeDocument/2006/relationships/oleObject" Target="embeddings/Microsoft_Visio_2003-2010_Drawing.vsd"/><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package" Target="embeddings/Microsoft_Visio_Drawing7.vsdx"/><Relationship Id="rId45" Type="http://schemas.openxmlformats.org/officeDocument/2006/relationships/image" Target="media/image25.wmf"/><Relationship Id="rId53" Type="http://schemas.openxmlformats.org/officeDocument/2006/relationships/oleObject" Target="embeddings/oleObject2.bin"/><Relationship Id="rId58" Type="http://schemas.openxmlformats.org/officeDocument/2006/relationships/package" Target="embeddings/Microsoft_Visio_Drawing13.vsdx"/><Relationship Id="rId5" Type="http://schemas.openxmlformats.org/officeDocument/2006/relationships/webSettings" Target="webSettings.xml"/><Relationship Id="rId61" Type="http://schemas.openxmlformats.org/officeDocument/2006/relationships/oleObject" Target="embeddings/oleObject4.bin"/><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package" Target="embeddings/Microsoft_Visio_Drawing3.vsdx"/><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Visio_Drawing6.vsdx"/><Relationship Id="rId43" Type="http://schemas.openxmlformats.org/officeDocument/2006/relationships/image" Target="media/image24.emf"/><Relationship Id="rId48" Type="http://schemas.openxmlformats.org/officeDocument/2006/relationships/image" Target="media/image27.wmf"/><Relationship Id="rId56" Type="http://schemas.openxmlformats.org/officeDocument/2006/relationships/package" Target="embeddings/Microsoft_Visio_Drawing11.vsdx"/><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Visio_Drawing10.vs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package" Target="embeddings/Microsoft_Visio_Drawing4.vsdx"/><Relationship Id="rId33" Type="http://schemas.openxmlformats.org/officeDocument/2006/relationships/package" Target="embeddings/Microsoft_Visio_Drawing5.vsdx"/><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package" Target="embeddings/Microsoft_Visio_Drawing14.vsdx"/><Relationship Id="rId20" Type="http://schemas.openxmlformats.org/officeDocument/2006/relationships/package" Target="embeddings/Microsoft_Visio_Drawing2.vsdx"/><Relationship Id="rId41" Type="http://schemas.openxmlformats.org/officeDocument/2006/relationships/image" Target="media/image23.emf"/><Relationship Id="rId54" Type="http://schemas.openxmlformats.org/officeDocument/2006/relationships/oleObject" Target="embeddings/oleObject3.bin"/><Relationship Id="rId62"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Drawing12.vsdx"/><Relationship Id="rId10" Type="http://schemas.openxmlformats.org/officeDocument/2006/relationships/image" Target="media/image3.emf"/><Relationship Id="rId31" Type="http://schemas.openxmlformats.org/officeDocument/2006/relationships/oleObject" Target="embeddings/Microsoft_Visio_2003-2010_Drawing2.vsd"/><Relationship Id="rId44" Type="http://schemas.openxmlformats.org/officeDocument/2006/relationships/package" Target="embeddings/Microsoft_Visio_Drawing9.vsdx"/><Relationship Id="rId52" Type="http://schemas.openxmlformats.org/officeDocument/2006/relationships/image" Target="media/image30.wmf"/><Relationship Id="rId60" Type="http://schemas.openxmlformats.org/officeDocument/2006/relationships/image" Target="media/image32.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package" Target="embeddings/Microsoft_Visio_Drawing.vsdx"/><Relationship Id="rId18" Type="http://schemas.openxmlformats.org/officeDocument/2006/relationships/package" Target="embeddings/Microsoft_Visio_Drawing1.vsdx"/><Relationship Id="rId3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129</Pages>
  <Words>43320</Words>
  <Characters>246928</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289669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George Calcev</cp:lastModifiedBy>
  <cp:revision>4</cp:revision>
  <cp:lastPrinted>2016-08-13T07:06:00Z</cp:lastPrinted>
  <dcterms:created xsi:type="dcterms:W3CDTF">2021-11-12T20:59:00Z</dcterms:created>
  <dcterms:modified xsi:type="dcterms:W3CDTF">2021-11-12T21:05:00Z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1636724674</vt:lpwstr>
  </property>
</Properties>
</file>