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#107-e</w:t>
      </w:r>
      <w:r>
        <w:tab/>
      </w:r>
      <w:r>
        <w:tab/>
      </w:r>
      <w:r>
        <w:tab/>
      </w:r>
      <w:r>
        <w:tab/>
      </w:r>
      <w:r>
        <w:tab/>
      </w:r>
      <w:r>
        <w:tab/>
      </w:r>
      <w:r>
        <w:tab/>
      </w:r>
      <w:r>
        <w:rPr>
          <w:sz w:val="32"/>
          <w:szCs w:val="32"/>
        </w:rPr>
        <w:t>R1-21xxxxx</w:t>
      </w:r>
    </w:p>
    <w:p>
      <w:pPr>
        <w:pStyle w:val="64"/>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pPr>
        <w:pStyle w:val="64"/>
        <w:rPr>
          <w:sz w:val="22"/>
          <w:szCs w:val="20"/>
        </w:rPr>
      </w:pPr>
    </w:p>
    <w:p>
      <w:pPr>
        <w:pStyle w:val="64"/>
        <w:rPr>
          <w:sz w:val="20"/>
          <w:szCs w:val="20"/>
        </w:rPr>
      </w:pPr>
      <w:r>
        <w:rPr>
          <w:sz w:val="20"/>
          <w:szCs w:val="20"/>
        </w:rPr>
        <w:t>Agenda Item:</w:t>
      </w:r>
      <w:r>
        <w:rPr>
          <w:sz w:val="20"/>
          <w:szCs w:val="20"/>
        </w:rPr>
        <w:tab/>
      </w:r>
      <w:r>
        <w:rPr>
          <w:sz w:val="20"/>
          <w:szCs w:val="20"/>
        </w:rPr>
        <w:t>8.16.6</w:t>
      </w:r>
    </w:p>
    <w:p>
      <w:pPr>
        <w:pStyle w:val="64"/>
        <w:rPr>
          <w:sz w:val="20"/>
          <w:szCs w:val="20"/>
        </w:rPr>
      </w:pPr>
      <w:r>
        <w:rPr>
          <w:sz w:val="20"/>
          <w:szCs w:val="20"/>
        </w:rPr>
        <w:t>Title:</w:t>
      </w:r>
      <w:r>
        <w:rPr>
          <w:sz w:val="20"/>
          <w:szCs w:val="20"/>
        </w:rPr>
        <w:tab/>
      </w:r>
      <w:r>
        <w:rPr>
          <w:sz w:val="20"/>
          <w:szCs w:val="20"/>
        </w:rPr>
        <w:t>FL summary on LS on capability related RAN2 agreements for RedCap</w:t>
      </w:r>
    </w:p>
    <w:p>
      <w:pPr>
        <w:pStyle w:val="64"/>
        <w:rPr>
          <w:sz w:val="20"/>
          <w:szCs w:val="20"/>
        </w:rPr>
      </w:pPr>
      <w:r>
        <w:rPr>
          <w:sz w:val="20"/>
          <w:szCs w:val="20"/>
        </w:rPr>
        <w:t>Source:</w:t>
      </w:r>
      <w:r>
        <w:rPr>
          <w:sz w:val="20"/>
          <w:szCs w:val="20"/>
        </w:rPr>
        <w:tab/>
      </w:r>
      <w:r>
        <w:rPr>
          <w:sz w:val="20"/>
          <w:szCs w:val="20"/>
        </w:rPr>
        <w:t>Moderator (Ericsson)</w:t>
      </w:r>
    </w:p>
    <w:p>
      <w:pPr>
        <w:pStyle w:val="64"/>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[107-e-R17-UE-features-REDCAP-02] Discussion on RAN2 LS (in R1-2108714) on REDCAP UE capability – Johan (Ericsson)</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w:t>
            </w:r>
            <w:r>
              <w:rPr>
                <w:rFonts w:ascii="Times" w:hAnsi="Times" w:eastAsia="Batang" w:cs="Times New Roman"/>
                <w:szCs w:val="24"/>
                <w:highlight w:val="cyan"/>
                <w:vertAlign w:val="superscript"/>
                <w:lang w:val="en-GB" w:eastAsia="zh-CN"/>
              </w:rPr>
              <w:t>st</w:t>
            </w:r>
            <w:r>
              <w:rPr>
                <w:rFonts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rPr>
              <w:t>November 15</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 xml:space="preserve">Final check point: </w:t>
            </w:r>
            <w:r>
              <w:rPr>
                <w:rFonts w:ascii="Times" w:hAnsi="Times" w:eastAsia="Batang" w:cs="Times New Roman"/>
                <w:szCs w:val="24"/>
                <w:highlight w:val="cyan"/>
                <w:lang w:val="en-GB"/>
              </w:rPr>
              <w:t xml:space="preserve">November </w:t>
            </w:r>
            <w:r>
              <w:rPr>
                <w:rFonts w:ascii="Times" w:hAnsi="Times" w:eastAsia="Batang" w:cs="Times New Roman"/>
                <w:szCs w:val="24"/>
                <w:highlight w:val="cyan"/>
                <w:lang w:val="en-GB" w:eastAsia="zh-CN"/>
              </w:rPr>
              <w:t>19</w:t>
            </w:r>
          </w:p>
        </w:tc>
      </w:tr>
    </w:tbl>
    <w:p>
      <w:pPr>
        <w:jc w:val="both"/>
        <w:rPr>
          <w:rFonts w:ascii="Times New Roman" w:hAnsi="Times New Roman" w:cs="Times New Roman"/>
          <w:szCs w:val="20"/>
        </w:rPr>
      </w:pPr>
      <w:r>
        <w:rPr>
          <w:rFonts w:ascii="Times New Roman" w:hAnsi="Times New Roman" w:cs="Times New Roman"/>
        </w:rPr>
        <w:br w:type="textWrapping"/>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in focus in this round of the discussion in this meeting are tagged </w:t>
      </w:r>
      <w:r>
        <w:rPr>
          <w:rFonts w:ascii="Times New Roman" w:hAnsi="Times New Roman" w:eastAsia="Batang" w:cs="Times New Roman"/>
          <w:color w:val="FF0000"/>
          <w:szCs w:val="20"/>
        </w:rPr>
        <w:t>FL1</w:t>
      </w:r>
      <w:r>
        <w:rPr>
          <w:rFonts w:ascii="Times New Roman" w:hAnsi="Times New Roman" w:eastAsia="Batang" w:cs="Times New Roman"/>
          <w:szCs w:val="20"/>
        </w:rPr>
        <w:t>.</w:t>
      </w:r>
    </w:p>
    <w:p>
      <w:pPr>
        <w:jc w:val="both"/>
        <w:rPr>
          <w:rFonts w:ascii="Times New Roman" w:hAnsi="Times New Roman" w:eastAsia="Batang" w:cs="Times New Roman"/>
          <w:szCs w:val="20"/>
        </w:rPr>
      </w:pPr>
      <w:r>
        <w:rPr>
          <w:rFonts w:ascii="Times New Roman" w:hAnsi="Times New Roman" w:cs="Times New Roman"/>
          <w:szCs w:val="20"/>
        </w:rPr>
        <w:t>Follow the naming convention in this example:</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FLS-v000.docx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FLS-v001-CompanyA.docx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FLS-v002-CompanyA-CompanyB.docx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FLS-v002-CompanyA-CompanyB.docx</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"https://www.3gpp.org/ftp/TSG_RAN/WG1_RL1/TSGR1_107-e/Docs/R1-2110752.zip" </w:instrText>
      </w:r>
      <w:r>
        <w:fldChar w:fldCharType="separate"/>
      </w:r>
      <w:r>
        <w:rPr>
          <w:rStyle w:val="58"/>
          <w:rFonts w:ascii="Times New Roman" w:hAnsi="Times New Roman" w:cs="Times New Roman"/>
          <w:szCs w:val="20"/>
        </w:rPr>
        <w:t>R1-2110752</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pStyle w:val="15"/>
        <w:rPr>
          <w:rFonts w:ascii="Times" w:hAnsi="Times" w:eastAsia="Batang" w:cs="Times New Roman"/>
          <w:b/>
          <w:szCs w:val="24"/>
        </w:rPr>
      </w:pPr>
      <w:r>
        <w:rPr>
          <w:rFonts w:ascii="Times" w:hAnsi="Times" w:eastAsia="Batang" w:cs="Times New Roman"/>
          <w:b/>
          <w:szCs w:val="24"/>
        </w:rPr>
        <w:t>FL1 Question 1-1a: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Company</w:t>
            </w:r>
          </w:p>
        </w:tc>
        <w:tc>
          <w:tcPr>
            <w:tcW w:w="3119"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Point of contact</w:t>
            </w:r>
          </w:p>
        </w:tc>
        <w:tc>
          <w:tcPr>
            <w:tcW w:w="4252"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Intel Corporation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Debdeep Chatterjee</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eastAsia="zh-CN"/>
              </w:rPr>
            </w:pPr>
            <w:r>
              <w:rPr>
                <w:rFonts w:ascii="Times New Roman" w:hAnsi="Times New Roman" w:eastAsia="宋体" w:cs="Times New Roman"/>
                <w:szCs w:val="20"/>
                <w:lang w:eastAsia="zh-CN"/>
              </w:rPr>
              <w:t>Qualcomm</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eastAsia="zh-CN"/>
              </w:rPr>
            </w:pPr>
            <w:r>
              <w:rPr>
                <w:rFonts w:ascii="Times New Roman" w:hAnsi="Times New Roman" w:eastAsia="宋体" w:cs="Times New Roman"/>
                <w:szCs w:val="20"/>
                <w:lang w:eastAsia="zh-CN"/>
              </w:rPr>
              <w:t>Jing Lei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r>
              <w:rPr>
                <w:rFonts w:ascii="Times New Roman" w:hAnsi="Times New Roman" w:eastAsia="等线" w:cs="Times New Roman"/>
                <w:szCs w:val="20"/>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Yu Mincho" w:cs="Times New Roman"/>
                <w:szCs w:val="20"/>
                <w:lang w:eastAsia="ja-JP"/>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Yu Mincho" w:cs="Times New Roman"/>
                <w:szCs w:val="20"/>
                <w:lang w:eastAsia="ja-JP"/>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eastAsia="ja-JP"/>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eastAsia="ja-JP"/>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rPr>
            </w:pPr>
          </w:p>
        </w:tc>
      </w:tr>
    </w:tbl>
    <w:p>
      <w:pPr>
        <w:pStyle w:val="15"/>
        <w:rPr>
          <w:rFonts w:cs="Arial"/>
        </w:rPr>
      </w:pPr>
    </w:p>
    <w:p>
      <w:pPr>
        <w:pStyle w:val="2"/>
      </w:pPr>
      <w:r>
        <w:t>2</w:t>
      </w:r>
      <w:r>
        <w:tab/>
      </w:r>
      <w:r>
        <w:t>Feedback on RAN2 agreements</w:t>
      </w:r>
    </w:p>
    <w:p>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RAN2#114-e: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r>
            <w:r>
              <w:rPr>
                <w:rFonts w:eastAsia="Calibri" w:cs="Arial"/>
                <w:szCs w:val="20"/>
                <w:lang w:eastAsia="en-GB"/>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br w:type="textWrapping"/>
      </w:r>
      <w:r>
        <w:rPr>
          <w:rFonts w:ascii="Times New Roman" w:hAnsi="Times New Roman" w:eastAsia="Calibri" w:cs="Times New Roman"/>
          <w:szCs w:val="20"/>
          <w:lang w:eastAsia="en-GB"/>
        </w:rPr>
        <w:t>RAN2#115-e: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spacing w:line="252" w:lineRule="auto"/>
              <w:contextualSpacing/>
              <w:rPr>
                <w:rFonts w:eastAsia="Times New Roman" w:cs="Arial"/>
                <w:szCs w:val="20"/>
                <w:lang w:eastAsia="en-GB"/>
              </w:rPr>
            </w:pPr>
            <w:r>
              <w:rPr>
                <w:rFonts w:eastAsia="Times New Roman" w:cs="Arial"/>
                <w:szCs w:val="20"/>
                <w:lang w:eastAsia="en-GB"/>
              </w:rPr>
              <w:t>Agreements:</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r>
            <w:r>
              <w:rPr>
                <w:rFonts w:eastAsia="Calibri" w:cs="Arial"/>
                <w:szCs w:val="20"/>
                <w:lang w:eastAsia="en-GB"/>
              </w:rPr>
              <w:t>The number of DRBs supported by RedCap UEs is less than legacy value (which is 16). There will be a single mandatory value (FFS if 4 or 8). FFS if it will be possible to have an optional capability</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r>
            <w:r>
              <w:rPr>
                <w:rFonts w:eastAsia="Calibri" w:cs="Arial"/>
                <w:szCs w:val="20"/>
                <w:lang w:eastAsia="en-GB"/>
              </w:rPr>
              <w:t>“RRC processing delay” is not relaxed for RedCap UE</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r>
            <w:r>
              <w:rPr>
                <w:rFonts w:eastAsia="Calibri" w:cs="Arial"/>
                <w:szCs w:val="20"/>
                <w:lang w:eastAsia="en-GB"/>
              </w:rPr>
              <w:t>PDCP/RLC AM 12 bits SN is mandatory for RedCap UE, and PDCP/RLC AM 18bits SN is optional supported by RedCap UE; FFS on how to capture this in specification</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r>
            <w:r>
              <w:rPr>
                <w:rFonts w:eastAsia="Calibri" w:cs="Arial"/>
                <w:szCs w:val="20"/>
                <w:lang w:eastAsia="en-GB"/>
              </w:rPr>
              <w:t>NE-DC, and (NG)EN-DC are not supported by RedCap UE; FFS on how to capture it in the specification</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r>
            <w:r>
              <w:rPr>
                <w:rFonts w:eastAsia="Calibri" w:cs="Arial"/>
                <w:szCs w:val="20"/>
                <w:lang w:eastAsia="en-GB"/>
              </w:rPr>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pPr>
              <w:spacing w:line="252" w:lineRule="auto"/>
              <w:contextualSpacing/>
              <w:rPr>
                <w:rFonts w:ascii="Segoe UI" w:hAnsi="Segoe UI" w:eastAsia="Times New Roman" w:cs="Segoe UI"/>
                <w:szCs w:val="20"/>
                <w:lang w:eastAsia="en-GB"/>
              </w:rPr>
            </w:pPr>
          </w:p>
          <w:p>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r>
            <w:r>
              <w:rPr>
                <w:rFonts w:eastAsia="Calibri" w:cs="Arial"/>
                <w:szCs w:val="20"/>
                <w:lang w:eastAsia="en-GB"/>
              </w:rPr>
              <w:t>Maximum 8 DRBs is mandatory supported by RedCap UEs.</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r>
            <w:r>
              <w:rPr>
                <w:rFonts w:eastAsia="Calibri" w:cs="Arial"/>
                <w:szCs w:val="20"/>
                <w:lang w:eastAsia="en-GB"/>
              </w:rPr>
              <w:t>From RAN2 perspective, inter RAT mobility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r>
            <w:r>
              <w:rPr>
                <w:rFonts w:eastAsia="Calibri" w:cs="Arial"/>
                <w:szCs w:val="20"/>
                <w:lang w:eastAsia="en-GB"/>
              </w:rPr>
              <w:t>From RAN2 perspective, measurement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r>
            <w:r>
              <w:rPr>
                <w:rFonts w:eastAsia="Calibri" w:cs="Arial"/>
                <w:szCs w:val="20"/>
                <w:lang w:eastAsia="en-GB"/>
              </w:rPr>
              <w:t>From RAN2 perspective, URLLC related capabilities are applicable for RedCap UE except those affected by CA/DC</w:t>
            </w:r>
          </w:p>
          <w:p>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r>
            <w:r>
              <w:rPr>
                <w:rFonts w:eastAsia="Calibri" w:cs="Arial"/>
                <w:szCs w:val="20"/>
                <w:lang w:eastAsia="en-GB"/>
              </w:rPr>
              <w:t>From RAN2 perspective, IAB related capabilities are not applicable for RedCap UE, i.e., the RedCap UE is not expected to act as IAB node</w:t>
            </w:r>
          </w:p>
          <w:p>
            <w:pPr>
              <w:overflowPunct w:val="0"/>
              <w:autoSpaceDE w:val="0"/>
              <w:autoSpaceDN w:val="0"/>
              <w:adjustRightInd w:val="0"/>
              <w:spacing w:after="0" w:line="240" w:lineRule="auto"/>
              <w:ind w:left="589" w:hanging="589"/>
              <w:textAlignment w:val="baseline"/>
              <w:rPr>
                <w:rFonts w:ascii="Segoe UI" w:hAnsi="Segoe UI" w:eastAsia="Times New Roman" w:cs="Segoe UI"/>
                <w:szCs w:val="20"/>
                <w:lang w:eastAsia="en-GB"/>
              </w:rPr>
            </w:pPr>
            <w:r>
              <w:rPr>
                <w:rFonts w:eastAsia="Calibri" w:cs="Arial"/>
                <w:szCs w:val="20"/>
                <w:lang w:eastAsia="en-GB"/>
              </w:rPr>
              <w:t>6.</w:t>
            </w:r>
            <w:r>
              <w:rPr>
                <w:rFonts w:eastAsia="Calibri" w:cs="Arial"/>
                <w:szCs w:val="20"/>
                <w:lang w:eastAsia="en-GB"/>
              </w:rPr>
              <w:tab/>
            </w:r>
            <w:r>
              <w:rPr>
                <w:rFonts w:eastAsia="Calibri" w:cs="Arial"/>
                <w:szCs w:val="20"/>
                <w:lang w:eastAsia="en-GB"/>
              </w:rPr>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pPr>
        <w:pStyle w:val="15"/>
        <w:rPr>
          <w:rFonts w:ascii="Times New Roman" w:hAnsi="Times New Roman" w:cs="Times New Roman"/>
        </w:rPr>
      </w:pPr>
    </w:p>
    <w:p>
      <w:pPr>
        <w:pStyle w:val="15"/>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pPr>
        <w:pStyle w:val="15"/>
        <w:rPr>
          <w:rFonts w:ascii="Times New Roman" w:hAnsi="Times New Roman" w:cs="Times New Roman"/>
        </w:rPr>
      </w:pPr>
      <w:r>
        <w:rPr>
          <w:rFonts w:ascii="Times New Roman" w:hAnsi="Times New Roman" w:eastAsia="Batang" w:cs="Times New Roman"/>
          <w:b/>
          <w:szCs w:val="20"/>
          <w:highlight w:val="yellow"/>
          <w:lang w:val="en-GB"/>
        </w:rPr>
        <w:t>FL1 High Priority Question 2-1a</w:t>
      </w:r>
      <w:r>
        <w:rPr>
          <w:rFonts w:ascii="Times New Roman" w:hAnsi="Times New Roman" w:eastAsia="Batang" w:cs="Times New Roman"/>
          <w:b/>
          <w:szCs w:val="20"/>
          <w:lang w:val="en-GB"/>
        </w:rPr>
        <w:t>: Is there a need for RAN1 to provide feedback on the above RAN2 agreements?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3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678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372"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N</w:t>
            </w:r>
          </w:p>
        </w:tc>
        <w:tc>
          <w:tcPr>
            <w:tcW w:w="6780" w:type="dxa"/>
          </w:tcPr>
          <w:p>
            <w:pPr>
              <w:spacing w:after="1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Qualcomm</w:t>
            </w:r>
          </w:p>
        </w:tc>
        <w:tc>
          <w:tcPr>
            <w:tcW w:w="1372" w:type="dxa"/>
          </w:tcPr>
          <w:p>
            <w:pPr>
              <w:tabs>
                <w:tab w:val="left" w:pos="551"/>
              </w:tabs>
              <w:spacing w:after="180"/>
              <w:rPr>
                <w:rFonts w:ascii="Times New Roman" w:hAnsi="Times New Roman" w:eastAsia="宋体" w:cs="Times New Roman"/>
                <w:szCs w:val="20"/>
                <w:lang w:eastAsia="zh-CN"/>
              </w:rPr>
            </w:pPr>
          </w:p>
        </w:tc>
        <w:tc>
          <w:tcPr>
            <w:tcW w:w="678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For RedCap UE capability signaling regarding the supported RX number, it should be reported as “per band”, considering the potential UE testing differentiation among licensed, unlicensed and NTN bands.</w:t>
            </w:r>
          </w:p>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If the existing UE capability signaling for </w:t>
            </w:r>
            <w:r>
              <w:rPr>
                <w:rFonts w:ascii="Times New Roman" w:hAnsi="Times New Roman" w:eastAsia="宋体" w:cs="Times New Roman"/>
                <w:i/>
                <w:iCs/>
                <w:szCs w:val="20"/>
                <w:lang w:eastAsia="zh-CN"/>
              </w:rPr>
              <w:t>maxNumberMIMO-LayersPDSCH</w:t>
            </w:r>
            <w:r>
              <w:rPr>
                <w:rFonts w:ascii="Times New Roman" w:hAnsi="Times New Roman" w:eastAsia="宋体" w:cs="Times New Roman"/>
                <w:szCs w:val="20"/>
                <w:lang w:eastAsia="zh-CN"/>
              </w:rPr>
              <w:t xml:space="preserve"> is not consistent with “per band”, a new FG for RedCap UE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p>
        </w:tc>
        <w:tc>
          <w:tcPr>
            <w:tcW w:w="1372" w:type="dxa"/>
          </w:tcPr>
          <w:p>
            <w:pPr>
              <w:tabs>
                <w:tab w:val="left" w:pos="551"/>
              </w:tabs>
              <w:spacing w:after="180"/>
              <w:rPr>
                <w:rFonts w:ascii="Times New Roman" w:hAnsi="Times New Roman" w:eastAsia="宋体" w:cs="Times New Roman"/>
                <w:szCs w:val="20"/>
                <w:lang w:eastAsia="zh-CN"/>
              </w:rPr>
            </w:pPr>
          </w:p>
        </w:tc>
        <w:tc>
          <w:tcPr>
            <w:tcW w:w="6780" w:type="dxa"/>
          </w:tcPr>
          <w:p>
            <w:pPr>
              <w:spacing w:after="180"/>
              <w:rPr>
                <w:rFonts w:ascii="Times New Roman" w:hAnsi="Times New Roman" w:eastAsia="宋体" w:cs="Times New Roman"/>
                <w:szCs w:val="20"/>
                <w:lang w:eastAsia="zh-CN"/>
              </w:rPr>
            </w:pPr>
          </w:p>
        </w:tc>
      </w:tr>
    </w:tbl>
    <w:p>
      <w:pPr>
        <w:pStyle w:val="15"/>
        <w:rPr>
          <w:rFonts w:ascii="Times New Roman" w:hAnsi="Times New Roman" w:cs="Times New Roman"/>
          <w:szCs w:val="20"/>
        </w:rPr>
      </w:pPr>
      <w:bookmarkStart w:id="0" w:name="_In-sequence_SDU_delivery"/>
      <w:bookmarkEnd w:id="0"/>
    </w:p>
    <w:p>
      <w:pPr>
        <w:pStyle w:val="2"/>
      </w:pPr>
      <w:r>
        <w:t>3</w:t>
      </w:r>
      <w:r>
        <w:tab/>
      </w:r>
      <w:r>
        <w:t>Applicability of Rel-15/16 features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pPr>
        <w:pStyle w:val="15"/>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pPr>
        <w:spacing w:line="252" w:lineRule="auto"/>
        <w:rPr>
          <w:rFonts w:ascii="Times New Roman" w:hAnsi="Times New Roman" w:eastAsia="Batang" w:cs="Times New Roman"/>
          <w:szCs w:val="20"/>
          <w:lang w:val="en-GB"/>
        </w:rPr>
      </w:pPr>
      <w:r>
        <w:rPr>
          <w:rFonts w:ascii="Times New Roman" w:hAnsi="Times New Roman" w:eastAsia="Batang" w:cs="Times New Roman"/>
          <w:szCs w:val="20"/>
          <w:lang w:val="en-GB"/>
        </w:rPr>
        <w:t xml:space="preserve">RAN1#106-e made the following agreement </w:t>
      </w:r>
      <w:r>
        <w:rPr>
          <w:rFonts w:ascii="Times New Roman" w:hAnsi="Times New Roman" w:eastAsia="Batang" w:cs="Times New Roman"/>
          <w:szCs w:val="20"/>
          <w:lang w:val="en-GB"/>
        </w:rPr>
        <w:fldChar w:fldCharType="begin"/>
      </w:r>
      <w:r>
        <w:rPr>
          <w:rFonts w:ascii="Times New Roman" w:hAnsi="Times New Roman" w:eastAsia="Batang" w:cs="Times New Roman"/>
          <w:szCs w:val="20"/>
          <w:lang w:val="en-GB"/>
        </w:rPr>
        <w:instrText xml:space="preserve"> REF _Ref83717123 \r \h </w:instrText>
      </w:r>
      <w:r>
        <w:rPr>
          <w:rFonts w:ascii="Times New Roman" w:hAnsi="Times New Roman" w:eastAsia="Batang" w:cs="Times New Roman"/>
          <w:szCs w:val="20"/>
          <w:lang w:val="en-GB"/>
        </w:rPr>
        <w:fldChar w:fldCharType="separate"/>
      </w:r>
      <w:r>
        <w:rPr>
          <w:rFonts w:ascii="Times New Roman" w:hAnsi="Times New Roman" w:eastAsia="Batang" w:cs="Times New Roman"/>
          <w:szCs w:val="20"/>
          <w:lang w:val="en-GB"/>
        </w:rPr>
        <w:t>[2]</w:t>
      </w:r>
      <w:r>
        <w:rPr>
          <w:rFonts w:ascii="Times New Roman" w:hAnsi="Times New Roman" w:eastAsia="Batang" w:cs="Times New Roman"/>
          <w:szCs w:val="20"/>
          <w:lang w:val="en-GB"/>
        </w:rPr>
        <w:fldChar w:fldCharType="end"/>
      </w:r>
      <w:r>
        <w:rPr>
          <w:rFonts w:ascii="Times New Roman" w:hAnsi="Times New Roman" w:eastAsia="Batang" w:cs="Times New Roman"/>
          <w:szCs w:val="20"/>
          <w:lang w:val="en-GB"/>
        </w:rPr>
        <w:t>:</w:t>
      </w:r>
    </w:p>
    <w:p>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pPr>
        <w:pStyle w:val="133"/>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pPr>
        <w:pStyle w:val="15"/>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pPr>
        <w:pStyle w:val="15"/>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pPr>
        <w:spacing w:after="180" w:line="252" w:lineRule="auto"/>
        <w:contextualSpacing/>
        <w:jc w:val="both"/>
        <w:rPr>
          <w:rFonts w:ascii="Times New Roman" w:hAnsi="Times New Roman" w:cs="Times New Roman"/>
          <w:szCs w:val="20"/>
        </w:rPr>
      </w:pPr>
    </w:p>
    <w:p>
      <w:pPr>
        <w:pStyle w:val="3"/>
      </w:pPr>
      <w:r>
        <w:t>3.1</w:t>
      </w:r>
      <w:r>
        <w:tab/>
      </w:r>
      <w:r>
        <w:t>Capabilities related to CA, DC, NE-DC, (NG)EN-DC, DAPS, CPC, or wider UE bandwidths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3.1-1a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We prefer to focus on L1 features in RAN1.</w:t>
            </w:r>
          </w:p>
          <w:p>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EN-DC support</w:t>
            </w:r>
          </w:p>
          <w:p>
            <w:pPr>
              <w:spacing w:after="1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Qualcomm</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For DAPS HO, the UE capabilities belonging to 21-x are not expected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840" w:type="dxa"/>
          </w:tcPr>
          <w:p>
            <w:pPr>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CA/DC related FGs includes</w:t>
            </w:r>
          </w:p>
          <w:p>
            <w:pPr>
              <w:numPr>
                <w:ilvl w:val="0"/>
                <w:numId w:val="21"/>
              </w:numPr>
              <w:spacing w:after="180"/>
              <w:ind w:left="420" w:leftChars="0" w:hanging="420" w:firstLineChars="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1-10,1-11, 4-25, 4-26, 6-5a to 6-13, 6-21 to 6-25a, 8-1, 8-2</w:t>
            </w:r>
          </w:p>
          <w:p>
            <w:pPr>
              <w:numPr>
                <w:ilvl w:val="0"/>
                <w:numId w:val="21"/>
              </w:numPr>
              <w:spacing w:after="180"/>
              <w:ind w:left="420" w:leftChars="0" w:hanging="420" w:firstLineChars="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FG 9-3</w:t>
            </w:r>
          </w:p>
          <w:p>
            <w:pPr>
              <w:numPr>
                <w:ilvl w:val="0"/>
                <w:numId w:val="21"/>
              </w:numPr>
              <w:spacing w:after="180"/>
              <w:ind w:left="420" w:leftChars="0" w:hanging="420" w:firstLineChars="0"/>
              <w:rPr>
                <w:rFonts w:hint="default" w:ascii="Times New Roman" w:hAnsi="Times New Roman" w:eastAsia="宋体" w:cs="Times New Roman"/>
                <w:szCs w:val="20"/>
                <w:lang w:val="en-US" w:eastAsia="ko"/>
              </w:rPr>
            </w:pPr>
            <w:r>
              <w:rPr>
                <w:rFonts w:hint="eastAsia" w:ascii="Times New Roman" w:hAnsi="Times New Roman" w:eastAsia="宋体" w:cs="Times New Roman"/>
                <w:szCs w:val="20"/>
                <w:lang w:val="en-US" w:eastAsia="zh-CN"/>
              </w:rPr>
              <w:t>FG 10-9c</w:t>
            </w:r>
          </w:p>
          <w:p>
            <w:pPr>
              <w:numPr>
                <w:ilvl w:val="0"/>
                <w:numId w:val="21"/>
              </w:numPr>
              <w:spacing w:after="180"/>
              <w:ind w:left="420" w:leftChars="0" w:hanging="420" w:firstLineChars="0"/>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ko"/>
              </w:rPr>
              <w:t>11-2a to 11-2g, 11-7a, 11-7b</w:t>
            </w:r>
          </w:p>
          <w:p>
            <w:pPr>
              <w:numPr>
                <w:ilvl w:val="0"/>
                <w:numId w:val="21"/>
              </w:numPr>
              <w:spacing w:after="180"/>
              <w:ind w:left="420" w:leftChars="0" w:hanging="420" w:firstLineChars="0"/>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FGs 13-15a, 13-19 and 13-19a</w:t>
            </w:r>
          </w:p>
          <w:p>
            <w:pPr>
              <w:numPr>
                <w:ilvl w:val="0"/>
                <w:numId w:val="21"/>
              </w:numPr>
              <w:spacing w:after="180"/>
              <w:ind w:left="420" w:leftChars="0" w:hanging="420" w:firstLineChars="0"/>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FGs 15-16, 15-24 and 15-25</w:t>
            </w:r>
          </w:p>
          <w:p>
            <w:pPr>
              <w:numPr>
                <w:ilvl w:val="0"/>
                <w:numId w:val="21"/>
              </w:numPr>
              <w:spacing w:after="180"/>
              <w:ind w:left="420" w:leftChars="0" w:hanging="420" w:firstLineChars="0"/>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 xml:space="preserve">16-1b-1, 16-1b-2, 16-1f, 16-x RAN2, 16-z RAN2 </w:t>
            </w:r>
          </w:p>
          <w:p>
            <w:pPr>
              <w:numPr>
                <w:ilvl w:val="0"/>
                <w:numId w:val="21"/>
              </w:numPr>
              <w:spacing w:after="180"/>
              <w:ind w:left="420" w:leftChars="0" w:hanging="420" w:firstLineChars="0"/>
              <w:rPr>
                <w:b/>
                <w:bCs w:val="0"/>
                <w:i/>
                <w:iCs w:val="0"/>
                <w:lang w:val="en-US"/>
              </w:rPr>
            </w:pPr>
            <w:r>
              <w:rPr>
                <w:rFonts w:hint="default" w:ascii="Times New Roman" w:hAnsi="Times New Roman" w:eastAsia="宋体" w:cs="Times New Roman"/>
                <w:szCs w:val="20"/>
                <w:lang w:val="en-US" w:eastAsia="zh-CN"/>
              </w:rPr>
              <w:t>FGs 22-5a~22-7c</w:t>
            </w:r>
          </w:p>
          <w:p>
            <w:pPr>
              <w:numPr>
                <w:ilvl w:val="0"/>
                <w:numId w:val="21"/>
              </w:numPr>
              <w:spacing w:after="180"/>
              <w:ind w:left="420" w:leftChars="0" w:hanging="420" w:firstLineChars="0"/>
              <w:rPr>
                <w:b/>
                <w:bCs w:val="0"/>
                <w:i w:val="0"/>
                <w:iCs/>
                <w:lang w:val="en-US"/>
              </w:rPr>
            </w:pPr>
            <w:r>
              <w:rPr>
                <w:rFonts w:hint="default" w:ascii="Times New Roman" w:hAnsi="Times New Roman" w:eastAsia="MS Mincho" w:cs="Times New Roman"/>
                <w:b/>
                <w:bCs w:val="0"/>
                <w:i w:val="0"/>
                <w:iCs/>
                <w:kern w:val="0"/>
                <w:sz w:val="20"/>
                <w:szCs w:val="20"/>
                <w:lang w:val="en-US" w:eastAsia="zh-CN" w:bidi="ar"/>
              </w:rPr>
              <w:t xml:space="preserve">Rel-16 </w:t>
            </w:r>
            <w:r>
              <w:rPr>
                <w:rFonts w:hint="eastAsia" w:ascii="Times New Roman" w:hAnsi="Times New Roman" w:eastAsia="MS Mincho" w:cs="Times New Roman"/>
                <w:b/>
                <w:bCs w:val="0"/>
                <w:i w:val="0"/>
                <w:iCs/>
                <w:kern w:val="0"/>
                <w:sz w:val="20"/>
                <w:szCs w:val="20"/>
                <w:lang w:val="en-US" w:eastAsia="zh-CN" w:bidi="ar"/>
              </w:rPr>
              <w:t xml:space="preserve">feature 18 </w:t>
            </w:r>
            <w:r>
              <w:rPr>
                <w:rFonts w:hint="default" w:ascii="Times New Roman" w:hAnsi="Times New Roman" w:eastAsia="MS Mincho" w:cs="Times New Roman"/>
                <w:b/>
                <w:bCs w:val="0"/>
                <w:i w:val="0"/>
                <w:iCs/>
                <w:kern w:val="0"/>
                <w:sz w:val="20"/>
                <w:szCs w:val="20"/>
                <w:lang w:val="en-US" w:eastAsia="zh-CN" w:bidi="ar"/>
              </w:rPr>
              <w:t>MR-DC/CA enhancement is not supported.</w:t>
            </w:r>
          </w:p>
          <w:p>
            <w:pPr>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DAPS Related</w:t>
            </w:r>
          </w:p>
          <w:p>
            <w:pPr>
              <w:numPr>
                <w:ilvl w:val="0"/>
                <w:numId w:val="21"/>
              </w:numPr>
              <w:spacing w:after="180"/>
              <w:ind w:left="420" w:leftChars="0" w:hanging="420" w:firstLineChars="0"/>
              <w:rPr>
                <w:b w:val="0"/>
                <w:bCs/>
                <w:i w:val="0"/>
                <w:iCs/>
                <w:lang w:val="en-US"/>
              </w:rPr>
            </w:pPr>
            <w:r>
              <w:rPr>
                <w:rFonts w:hint="default" w:ascii="Times New Roman" w:hAnsi="Times New Roman" w:eastAsia="MS Mincho" w:cs="Times New Roman"/>
                <w:b w:val="0"/>
                <w:bCs/>
                <w:i w:val="0"/>
                <w:iCs/>
                <w:kern w:val="0"/>
                <w:sz w:val="20"/>
                <w:szCs w:val="20"/>
                <w:lang w:val="en-US" w:eastAsia="zh-CN" w:bidi="ar"/>
              </w:rPr>
              <w:t xml:space="preserve">Rel-16 </w:t>
            </w:r>
            <w:r>
              <w:rPr>
                <w:rFonts w:hint="eastAsia" w:ascii="Times New Roman" w:hAnsi="Times New Roman" w:eastAsia="MS Mincho" w:cs="Times New Roman"/>
                <w:b w:val="0"/>
                <w:bCs/>
                <w:i w:val="0"/>
                <w:iCs/>
                <w:kern w:val="0"/>
                <w:sz w:val="20"/>
                <w:szCs w:val="20"/>
                <w:lang w:val="en-US" w:eastAsia="zh-CN" w:bidi="ar"/>
              </w:rPr>
              <w:t>feature 21</w:t>
            </w:r>
            <w:r>
              <w:rPr>
                <w:rFonts w:cs="Arial"/>
                <w:b w:val="0"/>
                <w:bCs/>
                <w:i w:val="0"/>
                <w:iCs/>
                <w:szCs w:val="18"/>
              </w:rPr>
              <w:t xml:space="preserve"> </w:t>
            </w:r>
            <w:r>
              <w:rPr>
                <w:rFonts w:hint="default" w:ascii="Times New Roman" w:hAnsi="Times New Roman" w:eastAsia="MS Mincho" w:cs="Times New Roman"/>
                <w:b w:val="0"/>
                <w:bCs/>
                <w:i w:val="0"/>
                <w:iCs/>
                <w:kern w:val="0"/>
                <w:sz w:val="20"/>
                <w:szCs w:val="20"/>
                <w:lang w:val="en-US" w:eastAsia="zh-CN" w:bidi="ar"/>
              </w:rPr>
              <w:t>Mobility Enhancement</w:t>
            </w:r>
            <w:r>
              <w:rPr>
                <w:rFonts w:hint="eastAsia" w:ascii="Times New Roman" w:hAnsi="Times New Roman" w:eastAsia="MS Mincho" w:cs="Times New Roman"/>
                <w:b w:val="0"/>
                <w:bCs/>
                <w:i w:val="0"/>
                <w:iCs/>
                <w:kern w:val="0"/>
                <w:sz w:val="20"/>
                <w:szCs w:val="20"/>
                <w:lang w:val="en-US" w:eastAsia="zh-CN" w:bidi="ar"/>
              </w:rPr>
              <w:t xml:space="preserve"> including all the FGs</w:t>
            </w:r>
            <w:r>
              <w:rPr>
                <w:rFonts w:hint="default" w:ascii="Times New Roman" w:hAnsi="Times New Roman" w:eastAsia="MS Mincho" w:cs="Times New Roman"/>
                <w:b w:val="0"/>
                <w:bCs/>
                <w:i w:val="0"/>
                <w:iCs/>
                <w:kern w:val="0"/>
                <w:sz w:val="20"/>
                <w:szCs w:val="20"/>
                <w:lang w:val="en-US" w:eastAsia="zh-CN" w:bidi="ar"/>
              </w:rPr>
              <w:t xml:space="preserve"> is not supported.</w:t>
            </w:r>
          </w:p>
          <w:p>
            <w:pPr>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Exceeding the Bandwidth:</w:t>
            </w:r>
          </w:p>
          <w:p>
            <w:pPr>
              <w:numPr>
                <w:ilvl w:val="0"/>
                <w:numId w:val="21"/>
              </w:numPr>
              <w:spacing w:after="180"/>
              <w:ind w:left="420" w:leftChars="0" w:hanging="420" w:firstLineChars="0"/>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FG 10-20, FG 10-20a, and FG 10-29</w:t>
            </w:r>
          </w:p>
        </w:tc>
      </w:tr>
    </w:tbl>
    <w:p>
      <w:pPr>
        <w:spacing w:after="180" w:line="252" w:lineRule="auto"/>
        <w:contextualSpacing/>
        <w:jc w:val="both"/>
        <w:rPr>
          <w:rFonts w:ascii="Times New Roman" w:hAnsi="Times New Roman" w:cs="Times New Roman"/>
          <w:szCs w:val="20"/>
        </w:rPr>
      </w:pPr>
    </w:p>
    <w:p>
      <w:pPr>
        <w:pStyle w:val="3"/>
      </w:pPr>
      <w:r>
        <w:t>3.2</w:t>
      </w:r>
      <w:r>
        <w:tab/>
      </w:r>
      <w:r>
        <w:t>Capabilities related to more than 2 UE Rx branches or more than 2 DL MIMO layers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3.2-1a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None, since FG #4-12 (HARQ-ACK spatial bundling for PUCCH or PUSCH per PUCCH group) is already defined as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840" w:type="dxa"/>
          </w:tcPr>
          <w:p>
            <w:pPr>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4-12 is not applicable for RedCap UE.</w:t>
            </w:r>
          </w:p>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Additionally, for the 2Tx support and related capabilities, it should be discussed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bookmarkStart w:id="19" w:name="_GoBack"/>
            <w:bookmarkEnd w:id="19"/>
          </w:p>
        </w:tc>
      </w:tr>
    </w:tbl>
    <w:p>
      <w:pPr>
        <w:spacing w:after="180" w:line="252" w:lineRule="auto"/>
        <w:contextualSpacing/>
        <w:jc w:val="both"/>
        <w:rPr>
          <w:rFonts w:ascii="Times New Roman" w:hAnsi="Times New Roman" w:cs="Times New Roman"/>
          <w:szCs w:val="20"/>
        </w:rPr>
      </w:pPr>
    </w:p>
    <w:p>
      <w:pPr>
        <w:pStyle w:val="3"/>
      </w:pPr>
      <w:r>
        <w:t>3.3</w:t>
      </w:r>
      <w:r>
        <w:tab/>
      </w:r>
      <w:r>
        <w:t>Capabilities related to IAB</w:t>
      </w:r>
    </w:p>
    <w:p>
      <w:pPr>
        <w:pStyle w:val="15"/>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3.3-1a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840"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Feature 20 NR_IAB including all the FGs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bl>
    <w:p>
      <w:pPr>
        <w:spacing w:after="180" w:line="252" w:lineRule="auto"/>
        <w:contextualSpacing/>
        <w:jc w:val="both"/>
        <w:rPr>
          <w:rFonts w:ascii="Times New Roman" w:hAnsi="Times New Roman" w:cs="Times New Roman"/>
          <w:szCs w:val="20"/>
        </w:rPr>
      </w:pPr>
    </w:p>
    <w:p>
      <w:pPr>
        <w:pStyle w:val="3"/>
      </w:pPr>
      <w:r>
        <w:t>3.4</w:t>
      </w:r>
      <w:r>
        <w:tab/>
      </w:r>
      <w:r>
        <w:t>Mandatory features for non-RedCap UEs that are not applicable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3.4-1a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The following should not be applicable or at least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pPr>
              <w:pStyle w:val="133"/>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84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Similar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bl>
    <w:p>
      <w:pPr>
        <w:rPr>
          <w:lang w:val="en-GB" w:eastAsia="ja-JP"/>
        </w:rPr>
      </w:pPr>
    </w:p>
    <w:p>
      <w:pPr>
        <w:pStyle w:val="3"/>
      </w:pPr>
      <w:r>
        <w:t>3.5</w:t>
      </w:r>
      <w:r>
        <w:tab/>
      </w:r>
      <w:r>
        <w:t>Mandatory features for non-RedCap UEs that are optional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3.5-1a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The following should at least be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pPr>
              <w:pStyle w:val="133"/>
              <w:numPr>
                <w:ilvl w:val="2"/>
                <w:numId w:val="20"/>
              </w:numPr>
              <w:autoSpaceDE w:val="0"/>
              <w:autoSpaceDN w:val="0"/>
              <w:adjustRightInd w:val="0"/>
              <w:snapToGrid w:val="0"/>
              <w:spacing w:after="120" w:line="240" w:lineRule="auto"/>
              <w:contextualSpacing/>
              <w:jc w:val="both"/>
              <w:rPr>
                <w:i/>
                <w:iCs/>
                <w:lang w:val="en-US"/>
              </w:rPr>
            </w:pPr>
            <w:r>
              <w:rPr>
                <w:i/>
                <w:iCs/>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84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eastAsia="zh-CN"/>
              </w:rPr>
              <w:t>RF and RRM features</w:t>
            </w:r>
            <w:r>
              <w:rPr>
                <w:rFonts w:hint="eastAsia" w:ascii="Times New Roman" w:hAnsi="Times New Roman" w:eastAsia="宋体" w:cs="Times New Roman"/>
                <w:szCs w:val="20"/>
                <w:lang w:val="en-US" w:eastAsia="zh-CN"/>
              </w:rPr>
              <w:t xml:space="preserve"> 1-4 256QAM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bl>
    <w:p>
      <w:pPr>
        <w:rPr>
          <w:lang w:val="en-GB" w:eastAsia="ja-JP"/>
        </w:rPr>
      </w:pPr>
    </w:p>
    <w:p>
      <w:pPr>
        <w:pStyle w:val="3"/>
      </w:pPr>
      <w:r>
        <w:t>3.6</w:t>
      </w:r>
      <w:r>
        <w:tab/>
      </w:r>
      <w:r>
        <w:t>Mandatory features for non-RedCap UEs that are supported for RedCap UEs but with different value</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3.6-1a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Intel</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At least FG # 6-1 should be adapted for RedCap UEs such that operation without CORESET #0 within the active DL BWP is mandated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Qualcomm</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bl>
    <w:p>
      <w:pPr>
        <w:rPr>
          <w:lang w:val="en-GB" w:eastAsia="ja-JP"/>
        </w:rPr>
      </w:pPr>
    </w:p>
    <w:p>
      <w:pPr>
        <w:pStyle w:val="3"/>
      </w:pPr>
      <w:r>
        <w:t>3.7</w:t>
      </w:r>
      <w:r>
        <w:tab/>
      </w:r>
      <w:r>
        <w:t>Optional features for non-RedCap UE that are not applicable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3.7-1a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bl>
    <w:p>
      <w:pPr>
        <w:rPr>
          <w:lang w:val="en-GB" w:eastAsia="ja-JP"/>
        </w:rPr>
      </w:pPr>
    </w:p>
    <w:p>
      <w:pPr>
        <w:pStyle w:val="3"/>
      </w:pPr>
      <w:r>
        <w:t>3.8</w:t>
      </w:r>
      <w:r>
        <w:tab/>
      </w:r>
      <w:r>
        <w:t>Optional features for non-RedCap UE that are mandatorily supported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3.8-1a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840"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FL (v003)</w:t>
            </w:r>
          </w:p>
        </w:tc>
        <w:tc>
          <w:tcPr>
            <w:tcW w:w="12840"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The body text between the heading and the question in this subsection was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2840"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6-1a could be considered, which is related to the discussion of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p>
        </w:tc>
        <w:tc>
          <w:tcPr>
            <w:tcW w:w="12840" w:type="dxa"/>
          </w:tcPr>
          <w:p>
            <w:pPr>
              <w:spacing w:after="180"/>
              <w:rPr>
                <w:rFonts w:ascii="Times New Roman" w:hAnsi="Times New Roman" w:eastAsia="宋体" w:cs="Times New Roman"/>
                <w:szCs w:val="20"/>
                <w:lang w:eastAsia="zh-CN"/>
              </w:rPr>
            </w:pPr>
          </w:p>
        </w:tc>
      </w:tr>
    </w:tbl>
    <w:p>
      <w:pPr>
        <w:pStyle w:val="15"/>
        <w:rPr>
          <w:rFonts w:ascii="Times New Roman" w:hAnsi="Times New Roman" w:cs="Times New Roman"/>
          <w:szCs w:val="20"/>
        </w:rPr>
      </w:pPr>
    </w:p>
    <w:p>
      <w:pPr>
        <w:pStyle w:val="2"/>
      </w:pPr>
      <w:r>
        <w:t>4</w:t>
      </w:r>
      <w:r>
        <w:tab/>
      </w:r>
      <w:r>
        <w:t>Applicability of Rel-17 features</w:t>
      </w:r>
    </w:p>
    <w:p>
      <w:pPr>
        <w:pStyle w:val="15"/>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pPr>
        <w:pStyle w:val="133"/>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FL1 Medium Priority Question 4-1a</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1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Company</w:t>
            </w:r>
          </w:p>
        </w:tc>
        <w:tc>
          <w:tcPr>
            <w:tcW w:w="1276"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Y/N</w:t>
            </w:r>
          </w:p>
        </w:tc>
        <w:tc>
          <w:tcPr>
            <w:tcW w:w="11623" w:type="dxa"/>
            <w:shd w:val="clear" w:color="auto" w:fill="D9D9D9"/>
          </w:tcPr>
          <w:p>
            <w:pPr>
              <w:spacing w:after="180"/>
              <w:rPr>
                <w:rFonts w:ascii="Times New Roman" w:hAnsi="Times New Roman" w:eastAsia="Batang" w:cs="Times New Roman"/>
                <w:b/>
                <w:bCs/>
                <w:szCs w:val="20"/>
              </w:rPr>
            </w:pPr>
            <w:r>
              <w:rPr>
                <w:rFonts w:ascii="Times New Roman" w:hAnsi="Times New Roman" w:eastAsia="Batang" w:cs="Times New Roman"/>
                <w:b/>
                <w:bCs/>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Template</w:t>
            </w:r>
          </w:p>
        </w:tc>
        <w:tc>
          <w:tcPr>
            <w:tcW w:w="1276" w:type="dxa"/>
          </w:tcPr>
          <w:p>
            <w:pPr>
              <w:tabs>
                <w:tab w:val="left" w:pos="551"/>
              </w:tabs>
              <w:spacing w:after="180"/>
              <w:rPr>
                <w:rFonts w:ascii="Times New Roman" w:hAnsi="Times New Roman" w:eastAsia="Batang" w:cs="Times New Roman"/>
                <w:szCs w:val="20"/>
                <w:lang w:eastAsia="ko-KR"/>
              </w:rPr>
            </w:pPr>
            <w:r>
              <w:rPr>
                <w:rFonts w:ascii="Times New Roman" w:hAnsi="Times New Roman" w:eastAsia="Batang" w:cs="Times New Roman"/>
                <w:szCs w:val="20"/>
                <w:lang w:eastAsia="ko-KR"/>
              </w:rPr>
              <w:t>&lt;Y or N&gt;</w:t>
            </w:r>
          </w:p>
        </w:tc>
        <w:tc>
          <w:tcPr>
            <w:tcW w:w="11623" w:type="dxa"/>
          </w:tcPr>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Mandatory features for non-RedCap UEs that are not applicable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Mandatory features for non-RedCap UEs that are optional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Mandatory features for non-RedCap UEs that are supported for RedCap UEs but with different value: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Optional features for non-RedCap UE that are not applicable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eastAsia="zh-CN"/>
              </w:rPr>
            </w:pPr>
            <w:r>
              <w:rPr>
                <w:rFonts w:ascii="Times New Roman" w:hAnsi="Times New Roman" w:eastAsia="等线" w:cs="Times New Roman"/>
                <w:szCs w:val="20"/>
                <w:lang w:eastAsia="zh-CN"/>
              </w:rPr>
              <w:t>Optional features for non-RedCap UE that are mandatorily supported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cs="Times New Roman" w:eastAsiaTheme="minorEastAsia"/>
                <w:szCs w:val="20"/>
                <w:lang w:eastAsia="ja-JP"/>
              </w:rPr>
            </w:pPr>
            <w:r>
              <w:rPr>
                <w:rFonts w:ascii="Times New Roman" w:hAnsi="Times New Roman" w:cs="Times New Roman" w:eastAsiaTheme="minorEastAsia"/>
                <w:szCs w:val="20"/>
                <w:lang w:eastAsia="ja-JP"/>
              </w:rPr>
              <w:t>Intel</w:t>
            </w:r>
          </w:p>
        </w:tc>
        <w:tc>
          <w:tcPr>
            <w:tcW w:w="1276" w:type="dxa"/>
          </w:tcPr>
          <w:p>
            <w:pPr>
              <w:tabs>
                <w:tab w:val="left" w:pos="551"/>
              </w:tabs>
              <w:spacing w:after="180"/>
              <w:rPr>
                <w:rFonts w:ascii="Times New Roman" w:hAnsi="Times New Roman" w:cs="Times New Roman" w:eastAsiaTheme="minorEastAsia"/>
                <w:szCs w:val="20"/>
                <w:lang w:eastAsia="ja-JP"/>
              </w:rPr>
            </w:pPr>
          </w:p>
        </w:tc>
        <w:tc>
          <w:tcPr>
            <w:tcW w:w="1162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FL (v002)</w:t>
            </w:r>
          </w:p>
        </w:tc>
        <w:tc>
          <w:tcPr>
            <w:tcW w:w="1276" w:type="dxa"/>
          </w:tcPr>
          <w:p>
            <w:pPr>
              <w:tabs>
                <w:tab w:val="left" w:pos="551"/>
              </w:tabs>
              <w:spacing w:after="180"/>
              <w:rPr>
                <w:rFonts w:ascii="Times New Roman" w:hAnsi="Times New Roman" w:eastAsia="宋体" w:cs="Times New Roman"/>
                <w:szCs w:val="20"/>
                <w:lang w:eastAsia="zh-CN"/>
              </w:rPr>
            </w:pPr>
          </w:p>
        </w:tc>
        <w:tc>
          <w:tcPr>
            <w:tcW w:w="1162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Regarding Intel’s comment above, feel free to only copy the headings from the template above that you think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Qualcomm</w:t>
            </w:r>
          </w:p>
        </w:tc>
        <w:tc>
          <w:tcPr>
            <w:tcW w:w="1276" w:type="dxa"/>
          </w:tcPr>
          <w:p>
            <w:pPr>
              <w:tabs>
                <w:tab w:val="left" w:pos="551"/>
              </w:tabs>
              <w:spacing w:after="180"/>
              <w:rPr>
                <w:rFonts w:ascii="Times New Roman" w:hAnsi="Times New Roman" w:eastAsia="宋体" w:cs="Times New Roman"/>
                <w:szCs w:val="20"/>
                <w:lang w:eastAsia="zh-CN"/>
              </w:rPr>
            </w:pPr>
          </w:p>
        </w:tc>
        <w:tc>
          <w:tcPr>
            <w:tcW w:w="1162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UE features of NR R17 UL coverage enhancement, power saving enhancement, SDT, ePOS and MBS can be optionally supported by R17 RedCap UE </w:t>
            </w:r>
          </w:p>
        </w:tc>
      </w:tr>
    </w:tbl>
    <w:p>
      <w:pPr>
        <w:pStyle w:val="15"/>
        <w:rPr>
          <w:rFonts w:ascii="Times New Roman" w:hAnsi="Times New Roman" w:cs="Times New Roman"/>
          <w:szCs w:val="20"/>
        </w:rPr>
      </w:pPr>
    </w:p>
    <w:p>
      <w:pPr>
        <w:pStyle w:val="2"/>
      </w:pPr>
      <w:r>
        <w:t>References</w:t>
      </w:r>
    </w:p>
    <w:p>
      <w:pPr>
        <w:pStyle w:val="68"/>
        <w:jc w:val="left"/>
        <w:rPr>
          <w:rFonts w:ascii="Times New Roman" w:hAnsi="Times New Roman" w:cs="Times New Roman"/>
        </w:rPr>
      </w:pPr>
      <w:bookmarkStart w:id="1" w:name="_Ref71040330"/>
      <w:bookmarkStart w:id="2" w:name="_Ref65143491"/>
      <w:bookmarkStart w:id="3" w:name="_Ref189809556"/>
      <w:bookmarkStart w:id="4" w:name="_Ref174151459"/>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8"/>
        <w:jc w:val="left"/>
        <w:rPr>
          <w:rFonts w:ascii="Times New Roman" w:hAnsi="Times New Roman" w:cs="Times New Roman"/>
        </w:rPr>
      </w:pPr>
      <w:bookmarkStart w:id="5" w:name="_Ref83717123"/>
      <w:bookmarkStart w:id="6"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End w:id="3"/>
    <w:bookmarkEnd w:id="4"/>
    <w:p>
      <w:pPr>
        <w:pStyle w:val="68"/>
        <w:rPr>
          <w:rFonts w:ascii="Times New Roman" w:hAnsi="Times New Roman" w:cs="Times New Roman"/>
        </w:rPr>
      </w:pPr>
      <w:bookmarkStart w:id="7" w:name="_Ref83116980"/>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"https://www.3gpp.org/ftp/tsg_ran/WG1_RL1/TSGR1_106b-e/Docs/R1-2108714.zip"</w:instrText>
      </w:r>
      <w:r>
        <w:rPr>
          <w:rFonts w:ascii="Times New Roman" w:hAnsi="Times New Roman" w:cs="Times New Roman"/>
        </w:rPr>
        <w:fldChar w:fldCharType="separate"/>
      </w:r>
      <w:r>
        <w:rPr>
          <w:rStyle w:val="58"/>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p>
      <w:pPr>
        <w:pStyle w:val="68"/>
        <w:rPr>
          <w:rFonts w:ascii="Times New Roman" w:hAnsi="Times New Roman" w:cs="Times New Roman"/>
        </w:rPr>
      </w:pPr>
      <w:bookmarkStart w:id="8" w:name="_Ref87284964"/>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58"/>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8"/>
    </w:p>
    <w:p>
      <w:pPr>
        <w:pStyle w:val="68"/>
        <w:rPr>
          <w:rFonts w:ascii="Times New Roman" w:hAnsi="Times New Roman" w:cs="Times New Roman"/>
        </w:rPr>
      </w:pPr>
      <w:bookmarkStart w:id="9" w:name="_Ref87284998"/>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58"/>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p>
      <w:pPr>
        <w:pStyle w:val="68"/>
        <w:rPr>
          <w:rFonts w:ascii="Times New Roman" w:hAnsi="Times New Roman" w:cs="Times New Roman"/>
        </w:rPr>
      </w:pPr>
      <w:bookmarkStart w:id="10" w:name="_Ref84801260"/>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58"/>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p>
      <w:pPr>
        <w:pStyle w:val="68"/>
        <w:rPr>
          <w:rFonts w:ascii="Times New Roman" w:hAnsi="Times New Roman" w:cs="Times New Roman"/>
        </w:rPr>
      </w:pPr>
      <w:bookmarkStart w:id="11" w:name="_Ref84806663"/>
      <w:r>
        <w:fldChar w:fldCharType="begin"/>
      </w:r>
      <w:r>
        <w:instrText xml:space="preserve"> HYPERLINK "https://www.3gpp.org/ftp/Specs/archive/38_series/38.875/38875-h00.zip" </w:instrText>
      </w:r>
      <w:r>
        <w:fldChar w:fldCharType="separate"/>
      </w:r>
      <w:r>
        <w:rPr>
          <w:rStyle w:val="58"/>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p>
      <w:pPr>
        <w:pStyle w:val="68"/>
        <w:rPr>
          <w:rFonts w:ascii="Times New Roman" w:hAnsi="Times New Roman" w:cs="Times New Roman"/>
        </w:rPr>
      </w:pPr>
      <w:bookmarkStart w:id="12" w:name="_Ref87290632"/>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58"/>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2"/>
    </w:p>
    <w:p>
      <w:pPr>
        <w:pStyle w:val="68"/>
        <w:rPr>
          <w:rFonts w:ascii="Times New Roman" w:hAnsi="Times New Roman" w:cs="Times New Roman"/>
        </w:rPr>
      </w:pPr>
      <w:bookmarkStart w:id="13" w:name="_Ref87286191"/>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58"/>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3"/>
    </w:p>
    <w:p>
      <w:pPr>
        <w:pStyle w:val="68"/>
        <w:rPr>
          <w:rFonts w:ascii="Times New Roman" w:hAnsi="Times New Roman" w:cs="Times New Roman"/>
        </w:rPr>
      </w:pPr>
      <w:r>
        <w:fldChar w:fldCharType="begin"/>
      </w:r>
      <w:r>
        <w:instrText xml:space="preserve"> HYPERLINK "https://www.3gpp.org/ftp/TSG_RAN/WG1_RL1/TSGR1_107-e/Docs/R1-2110803.zip" </w:instrText>
      </w:r>
      <w:r>
        <w:fldChar w:fldCharType="separate"/>
      </w:r>
      <w:r>
        <w:rPr>
          <w:rStyle w:val="58"/>
          <w:rFonts w:ascii="Times New Roman" w:hAnsi="Times New Roman" w:cs="Times New Roman"/>
        </w:rPr>
        <w:t>R1-2110803</w:t>
      </w:r>
      <w:r>
        <w:rPr>
          <w:rStyle w:val="58"/>
          <w:rFonts w:ascii="Times New Roman" w:hAnsi="Times New Roman" w:cs="Times New Roman"/>
        </w:rPr>
        <w:fldChar w:fldCharType="end"/>
      </w:r>
      <w:r>
        <w:rPr>
          <w:rFonts w:ascii="Times New Roman" w:hAnsi="Times New Roman" w:cs="Times New Roman"/>
        </w:rPr>
        <w:t>, “Rel-17 UE features for RedCap”, Huawei, HiSilicon</w:t>
      </w:r>
    </w:p>
    <w:p>
      <w:pPr>
        <w:pStyle w:val="68"/>
        <w:rPr>
          <w:rFonts w:ascii="Times New Roman" w:hAnsi="Times New Roman" w:cs="Times New Roman"/>
        </w:rPr>
      </w:pPr>
      <w:bookmarkStart w:id="14" w:name="_Ref87286320"/>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"https://www.3gpp.org/ftp/TSG_RAN/WG1_RL1/TSGR1_107-e/Docs/R1-2110893.zip"</w:instrText>
      </w:r>
      <w:r>
        <w:rPr>
          <w:rFonts w:ascii="Times New Roman" w:hAnsi="Times New Roman" w:cs="Times New Roman"/>
        </w:rPr>
        <w:fldChar w:fldCharType="separate"/>
      </w:r>
      <w:r>
        <w:rPr>
          <w:rStyle w:val="58"/>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4"/>
    </w:p>
    <w:p>
      <w:pPr>
        <w:pStyle w:val="68"/>
        <w:rPr>
          <w:rFonts w:ascii="Times New Roman" w:hAnsi="Times New Roman" w:cs="Times New Roman"/>
        </w:rPr>
      </w:pPr>
      <w:bookmarkStart w:id="15" w:name="_Ref87286322"/>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"https://www.3gpp.org/ftp/TSG_RAN/WG1_RL1/TSGR1_107-e/Docs/R1-2111072.zip"</w:instrText>
      </w:r>
      <w:r>
        <w:rPr>
          <w:rFonts w:ascii="Times New Roman" w:hAnsi="Times New Roman" w:cs="Times New Roman"/>
        </w:rPr>
        <w:fldChar w:fldCharType="separate"/>
      </w:r>
      <w:r>
        <w:rPr>
          <w:rStyle w:val="58"/>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5"/>
    </w:p>
    <w:p>
      <w:pPr>
        <w:pStyle w:val="68"/>
        <w:rPr>
          <w:rFonts w:ascii="Times New Roman" w:hAnsi="Times New Roman" w:cs="Times New Roman"/>
        </w:rPr>
      </w:pPr>
      <w:r>
        <w:fldChar w:fldCharType="begin"/>
      </w:r>
      <w:r>
        <w:instrText xml:space="preserve"> HYPERLINK "https://www.3gpp.org/ftp/TSG_RAN/WG1_RL1/TSGR1_107-e/Docs/R1-2111157.zip" </w:instrText>
      </w:r>
      <w:r>
        <w:fldChar w:fldCharType="separate"/>
      </w:r>
      <w:r>
        <w:rPr>
          <w:rStyle w:val="58"/>
          <w:rFonts w:ascii="Times New Roman" w:hAnsi="Times New Roman" w:cs="Times New Roman"/>
        </w:rPr>
        <w:t>R1-2111157</w:t>
      </w:r>
      <w:r>
        <w:rPr>
          <w:rStyle w:val="58"/>
          <w:rFonts w:ascii="Times New Roman" w:hAnsi="Times New Roman" w:cs="Times New Roman"/>
        </w:rPr>
        <w:fldChar w:fldCharType="end"/>
      </w:r>
      <w:r>
        <w:rPr>
          <w:rFonts w:ascii="Times New Roman" w:hAnsi="Times New Roman" w:cs="Times New Roman"/>
        </w:rPr>
        <w:t>, “On UE features for REDCAP”, Nokia, Nokia Shanghai Bell</w:t>
      </w:r>
    </w:p>
    <w:p>
      <w:pPr>
        <w:pStyle w:val="68"/>
        <w:rPr>
          <w:rFonts w:ascii="Times New Roman" w:hAnsi="Times New Roman" w:cs="Times New Roman"/>
        </w:rPr>
      </w:pPr>
      <w:r>
        <w:fldChar w:fldCharType="begin"/>
      </w:r>
      <w:r>
        <w:instrText xml:space="preserve"> HYPERLINK "https://www.3gpp.org/ftp/TSG_RAN/WG1_RL1/TSGR1_107-e/Docs/R1-2111530.zip" </w:instrText>
      </w:r>
      <w:r>
        <w:fldChar w:fldCharType="separate"/>
      </w:r>
      <w:r>
        <w:rPr>
          <w:rStyle w:val="58"/>
          <w:rFonts w:ascii="Times New Roman" w:hAnsi="Times New Roman" w:cs="Times New Roman"/>
        </w:rPr>
        <w:t>R1-2111530</w:t>
      </w:r>
      <w:r>
        <w:rPr>
          <w:rStyle w:val="58"/>
          <w:rFonts w:ascii="Times New Roman" w:hAnsi="Times New Roman" w:cs="Times New Roman"/>
        </w:rPr>
        <w:fldChar w:fldCharType="end"/>
      </w:r>
      <w:r>
        <w:rPr>
          <w:rFonts w:ascii="Times New Roman" w:hAnsi="Times New Roman" w:cs="Times New Roman"/>
        </w:rPr>
        <w:t>, “On UE features for RedCap”, Intel Corporation</w:t>
      </w:r>
    </w:p>
    <w:p>
      <w:pPr>
        <w:pStyle w:val="68"/>
        <w:rPr>
          <w:rFonts w:ascii="Times New Roman" w:hAnsi="Times New Roman" w:cs="Times New Roman"/>
        </w:rPr>
      </w:pPr>
      <w:bookmarkStart w:id="16" w:name="_Ref87286324"/>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"https://www.3gpp.org/ftp/TSG_RAN/WG1_RL1/TSGR1_107-e/Docs/R1-2111774.zip"</w:instrText>
      </w:r>
      <w:r>
        <w:rPr>
          <w:rFonts w:ascii="Times New Roman" w:hAnsi="Times New Roman" w:cs="Times New Roman"/>
        </w:rPr>
        <w:fldChar w:fldCharType="separate"/>
      </w:r>
      <w:r>
        <w:rPr>
          <w:rStyle w:val="58"/>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6"/>
    </w:p>
    <w:p>
      <w:pPr>
        <w:pStyle w:val="68"/>
        <w:rPr>
          <w:rFonts w:ascii="Times New Roman" w:hAnsi="Times New Roman" w:cs="Times New Roman"/>
        </w:rPr>
      </w:pPr>
      <w:r>
        <w:fldChar w:fldCharType="begin"/>
      </w:r>
      <w:r>
        <w:instrText xml:space="preserve"> HYPERLINK "https://www.3gpp.org/ftp/TSG_RAN/WG1_RL1/TSGR1_107-e/Docs/R1-2111910.zip" </w:instrText>
      </w:r>
      <w:r>
        <w:fldChar w:fldCharType="separate"/>
      </w:r>
      <w:r>
        <w:rPr>
          <w:rStyle w:val="58"/>
          <w:rFonts w:ascii="Times New Roman" w:hAnsi="Times New Roman" w:cs="Times New Roman"/>
        </w:rPr>
        <w:t>R1-2111910</w:t>
      </w:r>
      <w:r>
        <w:rPr>
          <w:rStyle w:val="58"/>
          <w:rFonts w:ascii="Times New Roman" w:hAnsi="Times New Roman" w:cs="Times New Roman"/>
        </w:rPr>
        <w:fldChar w:fldCharType="end"/>
      </w:r>
      <w:r>
        <w:rPr>
          <w:rFonts w:ascii="Times New Roman" w:hAnsi="Times New Roman" w:cs="Times New Roman"/>
        </w:rPr>
        <w:t>, “UE features for RedCap”, Apple</w:t>
      </w:r>
    </w:p>
    <w:p>
      <w:pPr>
        <w:pStyle w:val="68"/>
        <w:rPr>
          <w:rFonts w:ascii="Times New Roman" w:hAnsi="Times New Roman" w:cs="Times New Roman"/>
        </w:rPr>
      </w:pPr>
      <w:r>
        <w:fldChar w:fldCharType="begin"/>
      </w:r>
      <w:r>
        <w:instrText xml:space="preserve"> HYPERLINK "https://www.3gpp.org/ftp/TSG_RAN/WG1_RL1/TSGR1_107-e/Docs/R1-2112136.zip" </w:instrText>
      </w:r>
      <w:r>
        <w:fldChar w:fldCharType="separate"/>
      </w:r>
      <w:r>
        <w:rPr>
          <w:rStyle w:val="58"/>
          <w:rFonts w:ascii="Times New Roman" w:hAnsi="Times New Roman" w:cs="Times New Roman"/>
        </w:rPr>
        <w:t>R1-2112136</w:t>
      </w:r>
      <w:r>
        <w:rPr>
          <w:rStyle w:val="58"/>
          <w:rFonts w:ascii="Times New Roman" w:hAnsi="Times New Roman" w:cs="Times New Roman"/>
        </w:rPr>
        <w:fldChar w:fldCharType="end"/>
      </w:r>
      <w:r>
        <w:rPr>
          <w:rFonts w:ascii="Times New Roman" w:hAnsi="Times New Roman" w:cs="Times New Roman"/>
        </w:rPr>
        <w:t>, “Discussion on UE features for RedCap”, NTT DOCOMO, INC.</w:t>
      </w:r>
    </w:p>
    <w:p>
      <w:pPr>
        <w:pStyle w:val="68"/>
        <w:rPr>
          <w:rFonts w:ascii="Times New Roman" w:hAnsi="Times New Roman" w:cs="Times New Roman"/>
        </w:rPr>
      </w:pPr>
      <w:r>
        <w:fldChar w:fldCharType="begin"/>
      </w:r>
      <w:r>
        <w:instrText xml:space="preserve"> HYPERLINK "https://www.3gpp.org/ftp/TSG_RAN/WG1_RL1/TSGR1_107-e/Docs/R1-2112251.zip" </w:instrText>
      </w:r>
      <w:r>
        <w:fldChar w:fldCharType="separate"/>
      </w:r>
      <w:r>
        <w:rPr>
          <w:rStyle w:val="58"/>
          <w:rFonts w:ascii="Times New Roman" w:hAnsi="Times New Roman" w:cs="Times New Roman"/>
        </w:rPr>
        <w:t>R1-2112251</w:t>
      </w:r>
      <w:r>
        <w:rPr>
          <w:rStyle w:val="58"/>
          <w:rFonts w:ascii="Times New Roman" w:hAnsi="Times New Roman" w:cs="Times New Roman"/>
        </w:rPr>
        <w:fldChar w:fldCharType="end"/>
      </w:r>
      <w:r>
        <w:rPr>
          <w:rFonts w:ascii="Times New Roman" w:hAnsi="Times New Roman" w:cs="Times New Roman"/>
        </w:rPr>
        <w:t>, “UE features for RedCap”, Qualcomm Incorporated</w:t>
      </w:r>
    </w:p>
    <w:p>
      <w:pPr>
        <w:pStyle w:val="68"/>
        <w:rPr>
          <w:rFonts w:ascii="Times New Roman" w:hAnsi="Times New Roman" w:cs="Times New Roman"/>
        </w:rPr>
      </w:pPr>
      <w:bookmarkStart w:id="17" w:name="_Ref87286325"/>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"https://www.3gpp.org/ftp/TSG_RAN/WG1_RL1/TSGR1_107-e/Docs/R1-2112289.zip"</w:instrText>
      </w:r>
      <w:r>
        <w:rPr>
          <w:rFonts w:ascii="Times New Roman" w:hAnsi="Times New Roman" w:cs="Times New Roman"/>
        </w:rPr>
        <w:fldChar w:fldCharType="separate"/>
      </w:r>
      <w:r>
        <w:rPr>
          <w:rStyle w:val="58"/>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7"/>
    </w:p>
    <w:p>
      <w:pPr>
        <w:pStyle w:val="68"/>
        <w:rPr>
          <w:rFonts w:ascii="Times New Roman" w:hAnsi="Times New Roman" w:cs="Times New Roman"/>
        </w:rPr>
      </w:pPr>
      <w:bookmarkStart w:id="18" w:name="_Ref87286197"/>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"https://www.3gpp.org/ftp/TSG_RAN/WG1_RL1/TSGR1_107-e/Docs/R1-2111022.zip"</w:instrText>
      </w:r>
      <w:r>
        <w:rPr>
          <w:rFonts w:ascii="Times New Roman" w:hAnsi="Times New Roman" w:cs="Times New Roman"/>
        </w:rPr>
        <w:fldChar w:fldCharType="separate"/>
      </w:r>
      <w:r>
        <w:rPr>
          <w:rStyle w:val="58"/>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8"/>
    </w:p>
    <w:p>
      <w:pPr>
        <w:pStyle w:val="68"/>
        <w:numPr>
          <w:ilvl w:val="0"/>
          <w:numId w:val="0"/>
        </w:numPr>
        <w:rPr>
          <w:rFonts w:ascii="Times New Roman" w:hAnsi="Times New Roman" w:cs="Times New Roman"/>
        </w:rPr>
      </w:pPr>
    </w:p>
    <w:sectPr>
      <w:footerReference r:id="rId4" w:type="default"/>
      <w:headerReference r:id="rId3" w:type="even"/>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 w:name="@MS Mincho">
    <w:panose1 w:val="02020609040205080304"/>
    <w:charset w:val="80"/>
    <w:family w:val="auto"/>
    <w:pitch w:val="fixed"/>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游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9</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60D3FFB"/>
    <w:multiLevelType w:val="multilevel"/>
    <w:tmpl w:val="060D3FFB"/>
    <w:lvl w:ilvl="0" w:tentative="0">
      <w:start w:val="1"/>
      <w:numFmt w:val="bullet"/>
      <w:pStyle w:val="17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754AE0"/>
    <w:multiLevelType w:val="multilevel"/>
    <w:tmpl w:val="0A754A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10DF546"/>
    <w:multiLevelType w:val="singleLevel"/>
    <w:tmpl w:val="310DF546"/>
    <w:lvl w:ilvl="0" w:tentative="0">
      <w:start w:val="1"/>
      <w:numFmt w:val="bullet"/>
      <w:lvlText w:val=""/>
      <w:lvlJc w:val="left"/>
      <w:pPr>
        <w:ind w:left="420" w:leftChars="0" w:hanging="420" w:firstLineChars="0"/>
      </w:pPr>
      <w:rPr>
        <w:rFonts w:hint="default" w:ascii="Symbol" w:hAnsi="Symbol" w:cs="Symbol"/>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3BA65FC"/>
    <w:multiLevelType w:val="multilevel"/>
    <w:tmpl w:val="43BA65F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1">
    <w:nsid w:val="7A764571"/>
    <w:multiLevelType w:val="multilevel"/>
    <w:tmpl w:val="7A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9"/>
  </w:num>
  <w:num w:numId="2">
    <w:abstractNumId w:val="10"/>
  </w:num>
  <w:num w:numId="3">
    <w:abstractNumId w:val="3"/>
  </w:num>
  <w:num w:numId="4">
    <w:abstractNumId w:val="7"/>
  </w:num>
  <w:num w:numId="5">
    <w:abstractNumId w:val="5"/>
  </w:num>
  <w:num w:numId="6">
    <w:abstractNumId w:val="17"/>
  </w:num>
  <w:num w:numId="7">
    <w:abstractNumId w:val="0"/>
  </w:num>
  <w:num w:numId="8">
    <w:abstractNumId w:val="20"/>
  </w:num>
  <w:num w:numId="9">
    <w:abstractNumId w:val="14"/>
  </w:num>
  <w:num w:numId="10">
    <w:abstractNumId w:val="11"/>
  </w:num>
  <w:num w:numId="11">
    <w:abstractNumId w:val="15"/>
  </w:num>
  <w:num w:numId="12">
    <w:abstractNumId w:val="16"/>
  </w:num>
  <w:num w:numId="13">
    <w:abstractNumId w:val="8"/>
  </w:num>
  <w:num w:numId="14">
    <w:abstractNumId w:val="1"/>
  </w:num>
  <w:num w:numId="15">
    <w:abstractNumId w:val="13"/>
  </w:num>
  <w:num w:numId="16">
    <w:abstractNumId w:val="6"/>
  </w:num>
  <w:num w:numId="17">
    <w:abstractNumId w:val="18"/>
  </w:num>
  <w:num w:numId="18">
    <w:abstractNumId w:val="4"/>
  </w:num>
  <w:num w:numId="19">
    <w:abstractNumId w:val="2"/>
  </w:num>
  <w:num w:numId="20">
    <w:abstractNumId w:val="21"/>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A37"/>
    <w:rsid w:val="00003308"/>
    <w:rsid w:val="0000564C"/>
    <w:rsid w:val="00006446"/>
    <w:rsid w:val="00006896"/>
    <w:rsid w:val="0000782F"/>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7548"/>
    <w:rsid w:val="000A0A37"/>
    <w:rsid w:val="000A1232"/>
    <w:rsid w:val="000A1B7B"/>
    <w:rsid w:val="000A21A5"/>
    <w:rsid w:val="000A3181"/>
    <w:rsid w:val="000A3C0C"/>
    <w:rsid w:val="000A3EF4"/>
    <w:rsid w:val="000A3FA0"/>
    <w:rsid w:val="000A56F2"/>
    <w:rsid w:val="000B0145"/>
    <w:rsid w:val="000B0AF7"/>
    <w:rsid w:val="000B0BE9"/>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2E5C"/>
    <w:rsid w:val="002E3398"/>
    <w:rsid w:val="002E3A37"/>
    <w:rsid w:val="002E3D7C"/>
    <w:rsid w:val="002E60D2"/>
    <w:rsid w:val="002E6267"/>
    <w:rsid w:val="002E7CAE"/>
    <w:rsid w:val="002F078A"/>
    <w:rsid w:val="002F13E4"/>
    <w:rsid w:val="002F2771"/>
    <w:rsid w:val="002F37A9"/>
    <w:rsid w:val="002F6A3E"/>
    <w:rsid w:val="002F762F"/>
    <w:rsid w:val="002F7D0C"/>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D1D"/>
    <w:rsid w:val="003B4FAF"/>
    <w:rsid w:val="003B55D3"/>
    <w:rsid w:val="003B64BB"/>
    <w:rsid w:val="003B68E8"/>
    <w:rsid w:val="003B7676"/>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1103"/>
    <w:rsid w:val="004F1F69"/>
    <w:rsid w:val="004F1F89"/>
    <w:rsid w:val="004F2078"/>
    <w:rsid w:val="004F2296"/>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6BC"/>
    <w:rsid w:val="0060283C"/>
    <w:rsid w:val="00602FCB"/>
    <w:rsid w:val="0060340C"/>
    <w:rsid w:val="00604D8C"/>
    <w:rsid w:val="00604F14"/>
    <w:rsid w:val="00605B4D"/>
    <w:rsid w:val="00607334"/>
    <w:rsid w:val="00607847"/>
    <w:rsid w:val="0060784E"/>
    <w:rsid w:val="00607CB3"/>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41D"/>
    <w:rsid w:val="006F3549"/>
    <w:rsid w:val="006F3CDE"/>
    <w:rsid w:val="006F5419"/>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2418"/>
    <w:rsid w:val="007239BD"/>
    <w:rsid w:val="007240A3"/>
    <w:rsid w:val="007257D0"/>
    <w:rsid w:val="00726EA6"/>
    <w:rsid w:val="00727208"/>
    <w:rsid w:val="007275E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09BE"/>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403E"/>
    <w:rsid w:val="009C457A"/>
    <w:rsid w:val="009C4BD1"/>
    <w:rsid w:val="009C50F2"/>
    <w:rsid w:val="009C596A"/>
    <w:rsid w:val="009C629E"/>
    <w:rsid w:val="009D121C"/>
    <w:rsid w:val="009D3308"/>
    <w:rsid w:val="009D34C2"/>
    <w:rsid w:val="009D43B2"/>
    <w:rsid w:val="009D4FF0"/>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7DC"/>
    <w:rsid w:val="00C30BB1"/>
    <w:rsid w:val="00C31EC8"/>
    <w:rsid w:val="00C321A2"/>
    <w:rsid w:val="00C32CA1"/>
    <w:rsid w:val="00C3366D"/>
    <w:rsid w:val="00C3406F"/>
    <w:rsid w:val="00C343D0"/>
    <w:rsid w:val="00C34B00"/>
    <w:rsid w:val="00C363EE"/>
    <w:rsid w:val="00C366BD"/>
    <w:rsid w:val="00C36718"/>
    <w:rsid w:val="00C3677E"/>
    <w:rsid w:val="00C3719D"/>
    <w:rsid w:val="00C373DC"/>
    <w:rsid w:val="00C37CB2"/>
    <w:rsid w:val="00C4019D"/>
    <w:rsid w:val="00C40616"/>
    <w:rsid w:val="00C42007"/>
    <w:rsid w:val="00C42E92"/>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37F79"/>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E2E"/>
    <w:rsid w:val="00E35EFD"/>
    <w:rsid w:val="00E35FC3"/>
    <w:rsid w:val="00E3629E"/>
    <w:rsid w:val="00E36C0A"/>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596"/>
    <w:rsid w:val="00F666A8"/>
    <w:rsid w:val="00F669DF"/>
    <w:rsid w:val="00F67AB4"/>
    <w:rsid w:val="00F67F53"/>
    <w:rsid w:val="00F703BE"/>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F58"/>
    <w:rsid w:val="00FD311A"/>
    <w:rsid w:val="00FD36A6"/>
    <w:rsid w:val="00FD47ED"/>
    <w:rsid w:val="00FD4FC7"/>
    <w:rsid w:val="00FD69C1"/>
    <w:rsid w:val="00FD74DB"/>
    <w:rsid w:val="00FD7660"/>
    <w:rsid w:val="00FD77C7"/>
    <w:rsid w:val="00FE0655"/>
    <w:rsid w:val="00FE09B0"/>
    <w:rsid w:val="00FE2365"/>
    <w:rsid w:val="00FE2CDE"/>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60"/>
    <w:qFormat/>
    <w:uiPriority w:val="0"/>
    <w:pPr>
      <w:numPr>
        <w:ilvl w:val="0"/>
        <w:numId w:val="10"/>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62"/>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link w:val="151"/>
    <w:qFormat/>
    <w:uiPriority w:val="0"/>
    <w:pPr>
      <w:numPr>
        <w:ilvl w:val="0"/>
        <w:numId w:val="11"/>
      </w:numPr>
      <w:tabs>
        <w:tab w:val="clear" w:pos="1701"/>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8"/>
    <w:qFormat/>
    <w:uiPriority w:val="0"/>
    <w:rPr>
      <w:rFonts w:ascii="Arial" w:hAnsi="Arial" w:eastAsiaTheme="minorHAnsi" w:cstheme="minorBidi"/>
      <w:b/>
      <w:bCs/>
      <w:szCs w:val="22"/>
      <w:lang w:val="en-US" w:eastAsia="ja-JP"/>
    </w:rPr>
  </w:style>
  <w:style w:type="character" w:customStyle="1" w:styleId="152">
    <w:name w:val="Caption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Unresolved Mention1"/>
    <w:basedOn w:val="53"/>
    <w:unhideWhenUsed/>
    <w:qFormat/>
    <w:uiPriority w:val="99"/>
    <w:rPr>
      <w:color w:val="605E5C"/>
      <w:shd w:val="clear" w:color="auto" w:fill="E1DFDD"/>
    </w:rPr>
  </w:style>
  <w:style w:type="character" w:customStyle="1" w:styleId="158">
    <w:name w:val="Mention1"/>
    <w:basedOn w:val="53"/>
    <w:unhideWhenUsed/>
    <w:qFormat/>
    <w:uiPriority w:val="99"/>
    <w:rPr>
      <w:color w:val="2B579A"/>
      <w:shd w:val="clear" w:color="auto" w:fill="E1DFDD"/>
    </w:rPr>
  </w:style>
  <w:style w:type="paragraph" w:customStyle="1" w:styleId="159">
    <w:name w:val="Revision1"/>
    <w:hidden/>
    <w:semiHidden/>
    <w:qFormat/>
    <w:uiPriority w:val="99"/>
    <w:pPr>
      <w:spacing w:after="160" w:line="259" w:lineRule="auto"/>
    </w:pPr>
    <w:rPr>
      <w:rFonts w:ascii="Arial" w:hAnsi="Arial" w:eastAsiaTheme="minorHAnsi" w:cstheme="minorBidi"/>
      <w:szCs w:val="22"/>
      <w:lang w:val="en-US" w:eastAsia="en-US" w:bidi="ar-SA"/>
    </w:rPr>
  </w:style>
  <w:style w:type="character" w:customStyle="1" w:styleId="160">
    <w:name w:val="Proposal Char"/>
    <w:basedOn w:val="75"/>
    <w:link w:val="74"/>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80"/>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line="256" w:lineRule="auto"/>
    </w:pPr>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3"/>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4"/>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5"/>
    <w:basedOn w:val="51"/>
    <w:qFormat/>
    <w:uiPriority w:val="0"/>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Unresolved Mention"/>
    <w:basedOn w:val="53"/>
    <w:semiHidden/>
    <w:unhideWhenUsed/>
    <w:qFormat/>
    <w:uiPriority w:val="99"/>
    <w:rPr>
      <w:color w:val="605E5C"/>
      <w:shd w:val="clear" w:color="auto" w:fill="E1DFDD"/>
    </w:rPr>
  </w:style>
  <w:style w:type="paragraph" w:customStyle="1" w:styleId="174">
    <w:name w:val="tablecell"/>
    <w:basedOn w:val="1"/>
    <w:qFormat/>
    <w:uiPriority w:val="0"/>
    <w:pPr>
      <w:overflowPunct w:val="0"/>
      <w:autoSpaceDE w:val="0"/>
      <w:autoSpaceDN w:val="0"/>
      <w:adjustRightInd w:val="0"/>
      <w:spacing w:before="20" w:after="20" w:line="240" w:lineRule="auto"/>
    </w:pPr>
    <w:rPr>
      <w:rFonts w:ascii="Times New Roman" w:hAnsi="Times New Roman" w:eastAsia="Malgun Gothic" w:cs="Times New Roman"/>
      <w:szCs w:val="20"/>
      <w:lang w:eastAsia="en-GB"/>
    </w:rPr>
  </w:style>
  <w:style w:type="paragraph" w:customStyle="1" w:styleId="175">
    <w:name w:val="RAN1 bullet1"/>
    <w:basedOn w:val="1"/>
    <w:qFormat/>
    <w:uiPriority w:val="0"/>
    <w:pPr>
      <w:numPr>
        <w:ilvl w:val="0"/>
        <w:numId w:val="14"/>
      </w:numPr>
      <w:overflowPunct w:val="0"/>
      <w:spacing w:after="0" w:line="240" w:lineRule="auto"/>
      <w:jc w:val="both"/>
    </w:pPr>
    <w:rPr>
      <w:rFonts w:ascii="Times" w:hAnsi="Times" w:eastAsia="Batang" w:cs="Times New Roman"/>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696CD596-B927-47BB-BCB9-CA5A9AD91EEA}">
  <ds:schemaRefs/>
</ds:datastoreItem>
</file>

<file path=customXml/itemProps4.xml><?xml version="1.0" encoding="utf-8"?>
<ds:datastoreItem xmlns:ds="http://schemas.openxmlformats.org/officeDocument/2006/customXml" ds:itemID="{9744CBD9-10EA-431E-84F3-30CD53C8A2B5}">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11</Pages>
  <Words>3221</Words>
  <Characters>18366</Characters>
  <Lines>153</Lines>
  <Paragraphs>43</Paragraphs>
  <TotalTime>6</TotalTime>
  <ScaleCrop>false</ScaleCrop>
  <LinksUpToDate>false</LinksUpToDate>
  <CharactersWithSpaces>21544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2021-11-12T05:36:00Z</dcterms:created>
  <dc:creator>Asbjörn Grövlen</dc:creator>
  <cp:keywords>3GPP; Ericsson; TDoc</cp:keywords>
  <cp:lastModifiedBy>ZTE</cp:lastModifiedBy>
  <cp:lastPrinted>2008-01-31T16:09:00Z</cp:lastPrinted>
  <dcterms:modified xsi:type="dcterms:W3CDTF">2021-11-12T09:10:41Z</dcterms:modified>
  <dc:title>Ericsson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