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6.5pt" o:ole="">
                  <v:imagedata r:id="rId8" o:title=""/>
                </v:shape>
                <o:OLEObject Type="Embed" ProgID="Equation.3" ShapeID="_x0000_i1025" DrawAspect="Content" ObjectID="_1698228693"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5pt;height:19.5pt" o:ole="">
            <v:imagedata r:id="rId10" o:title=""/>
          </v:shape>
          <o:OLEObject Type="Embed" ProgID="Equation.3" ShapeID="_x0000_i1026" DrawAspect="Content" ObjectID="_1698228694"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75pt;height:15pt" o:ole="">
            <v:imagedata r:id="rId12" o:title=""/>
          </v:shape>
          <o:OLEObject Type="Embed" ProgID="Equation.3" ShapeID="_x0000_i1027" DrawAspect="Content" ObjectID="_1698228695"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F22E76">
        <w:tc>
          <w:tcPr>
            <w:tcW w:w="1650" w:type="dxa"/>
          </w:tcPr>
          <w:p w14:paraId="38F09BF9" w14:textId="77777777" w:rsidR="00C57EB5" w:rsidRDefault="00C57EB5" w:rsidP="00F22E76">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F22E76">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F22E76">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F22E76">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F22E76">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F22E76">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F22E76">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C92961">
        <w:tc>
          <w:tcPr>
            <w:tcW w:w="1650" w:type="dxa"/>
          </w:tcPr>
          <w:p w14:paraId="1BEE227E" w14:textId="77777777" w:rsidR="00C130D6" w:rsidRDefault="00C130D6" w:rsidP="00C92961">
            <w:pPr>
              <w:rPr>
                <w:lang w:eastAsia="ko-KR"/>
              </w:rPr>
            </w:pPr>
            <w:r>
              <w:rPr>
                <w:lang w:eastAsia="ko-KR"/>
              </w:rPr>
              <w:t>vivo</w:t>
            </w:r>
          </w:p>
        </w:tc>
        <w:tc>
          <w:tcPr>
            <w:tcW w:w="7979" w:type="dxa"/>
          </w:tcPr>
          <w:p w14:paraId="19AE0F65" w14:textId="77777777" w:rsidR="00C130D6" w:rsidRDefault="00C130D6" w:rsidP="00C92961">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C92961">
            <w:pPr>
              <w:pStyle w:val="Heading4"/>
            </w:pPr>
            <w:r>
              <w:t>Question</w:t>
            </w:r>
            <w:r w:rsidRPr="00CC348B">
              <w:t xml:space="preserve"> 2.</w:t>
            </w:r>
            <w:r>
              <w:t>1</w:t>
            </w:r>
            <w:r w:rsidRPr="00CC348B">
              <w:t>-</w:t>
            </w:r>
            <w:r>
              <w:t>6</w:t>
            </w:r>
          </w:p>
          <w:p w14:paraId="75C71937" w14:textId="77777777" w:rsidR="00C130D6" w:rsidRPr="006C67EF" w:rsidRDefault="00C130D6" w:rsidP="00C92961">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C92961">
            <w:pPr>
              <w:pStyle w:val="Heading4"/>
            </w:pPr>
            <w:r>
              <w:t>Question</w:t>
            </w:r>
            <w:r w:rsidRPr="00CC348B">
              <w:t xml:space="preserve"> 2.</w:t>
            </w:r>
            <w:r>
              <w:t>1</w:t>
            </w:r>
            <w:r w:rsidRPr="00CC348B">
              <w:t>-</w:t>
            </w:r>
            <w:r>
              <w:t>8</w:t>
            </w:r>
          </w:p>
          <w:p w14:paraId="36204B53" w14:textId="77777777" w:rsidR="00C130D6" w:rsidRPr="006C67EF" w:rsidRDefault="00C130D6" w:rsidP="00C92961">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C92961">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C92961">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C92961">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C92961">
        <w:tc>
          <w:tcPr>
            <w:tcW w:w="1650" w:type="dxa"/>
          </w:tcPr>
          <w:p w14:paraId="71577305" w14:textId="4B69509A" w:rsidR="00843074" w:rsidRDefault="00843074" w:rsidP="008F3CC6">
            <w:pPr>
              <w:rPr>
                <w:rFonts w:eastAsia="DengXian" w:hint="eastAsia"/>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F22E76">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C92961">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hint="eastAsia"/>
                <w:lang w:eastAsia="zh-CN"/>
              </w:rPr>
            </w:pPr>
            <w:r>
              <w:rPr>
                <w:rFonts w:eastAsia="DengXian"/>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Toggling is important to increase the robustness.</w:t>
            </w:r>
            <w:r>
              <w:rPr>
                <w:b w:val="0"/>
                <w:bCs/>
              </w:rPr>
              <w:t xml:space="preserve">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lastRenderedPageBreak/>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lastRenderedPageBreak/>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w:t>
      </w:r>
      <w:r>
        <w:lastRenderedPageBreak/>
        <w:t>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F22E76">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hint="eastAsia"/>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lastRenderedPageBreak/>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F22E76">
            <w:pPr>
              <w:rPr>
                <w:rFonts w:eastAsia="DengXian"/>
                <w:lang w:eastAsia="zh-CN"/>
              </w:rPr>
            </w:pPr>
            <w:r>
              <w:rPr>
                <w:rFonts w:eastAsia="DengXian" w:hint="eastAsia"/>
                <w:lang w:eastAsia="zh-CN"/>
              </w:rPr>
              <w:t>CATT</w:t>
            </w:r>
          </w:p>
        </w:tc>
        <w:tc>
          <w:tcPr>
            <w:tcW w:w="8520" w:type="dxa"/>
          </w:tcPr>
          <w:p w14:paraId="5ED07177" w14:textId="77777777" w:rsidR="003333C6" w:rsidRPr="006C4F70" w:rsidRDefault="003333C6" w:rsidP="00F22E76">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F22E76">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5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5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8520" w:type="dxa"/>
          </w:tcPr>
          <w:p w14:paraId="57592B52" w14:textId="77777777" w:rsidR="00C130D6" w:rsidRDefault="00C130D6" w:rsidP="00C92961">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DengXian"/>
                <w:lang w:eastAsia="zh-CN"/>
              </w:rPr>
            </w:pPr>
            <w:r>
              <w:rPr>
                <w:rFonts w:eastAsia="DengXian"/>
                <w:lang w:eastAsia="zh-CN"/>
              </w:rPr>
              <w:t>MediaTek</w:t>
            </w:r>
          </w:p>
        </w:tc>
        <w:tc>
          <w:tcPr>
            <w:tcW w:w="85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5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DengXian" w:hint="eastAsia"/>
                <w:lang w:eastAsia="zh-CN"/>
              </w:rPr>
            </w:pPr>
            <w:r>
              <w:rPr>
                <w:rFonts w:eastAsia="DengXian"/>
                <w:lang w:eastAsia="zh-CN"/>
              </w:rPr>
              <w:t>Ericsson</w:t>
            </w:r>
          </w:p>
        </w:tc>
        <w:tc>
          <w:tcPr>
            <w:tcW w:w="85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5"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lastRenderedPageBreak/>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 xml:space="preserve">Proposal 3A: Group common transmissions for different G-RNTIs with different traffic patterns or even for different SFN areas can be scheduled in different transmission windows. Different </w:t>
      </w:r>
      <w:r>
        <w:lastRenderedPageBreak/>
        <w:t>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F22E76">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C92961">
            <w:pPr>
              <w:pStyle w:val="Heading4"/>
            </w:pPr>
            <w:r w:rsidRPr="002A3A4A">
              <w:t>Question 2.5-1</w:t>
            </w:r>
            <w:r>
              <w:t xml:space="preserve">: </w:t>
            </w:r>
            <w:r w:rsidRPr="00E30388">
              <w:rPr>
                <w:b w:val="0"/>
              </w:rPr>
              <w:t>option 2</w:t>
            </w:r>
          </w:p>
          <w:p w14:paraId="187DB156" w14:textId="77777777" w:rsidR="00C130D6" w:rsidRDefault="00C130D6" w:rsidP="00C92961">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C92961">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C92961"/>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hint="eastAsia"/>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hint="eastAsia"/>
                <w:lang w:eastAsia="zh-CN"/>
              </w:rPr>
            </w:pPr>
            <w:r w:rsidRPr="00BD69F1">
              <w:t>Question 2.5-3</w:t>
            </w:r>
            <w:r>
              <w:rPr>
                <w:b/>
              </w:rPr>
              <w:t>:</w:t>
            </w:r>
            <w:r w:rsidRPr="00AC3122">
              <w:rPr>
                <w:bCs/>
              </w:rPr>
              <w:t xml:space="preserve"> Support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lastRenderedPageBreak/>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lastRenderedPageBreak/>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lastRenderedPageBreak/>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lastRenderedPageBreak/>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F22E76">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DengXian"/>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DengXian" w:hint="eastAsia"/>
                <w:lang w:eastAsia="zh-CN"/>
              </w:rPr>
              <w:lastRenderedPageBreak/>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C92961">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w:t>
            </w:r>
            <w:r>
              <w:lastRenderedPageBreak/>
              <w:t xml:space="preserve">by </w:t>
            </w:r>
            <w:proofErr w:type="spellStart"/>
            <w:r>
              <w:t>SIBx</w:t>
            </w:r>
            <w:proofErr w:type="spellEnd"/>
            <w:r>
              <w:t>”,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DD5C49">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w:t>
            </w:r>
            <w:proofErr w:type="spellStart"/>
            <w:r>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hint="eastAsia"/>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F22E76">
        <w:tc>
          <w:tcPr>
            <w:tcW w:w="1644" w:type="dxa"/>
          </w:tcPr>
          <w:p w14:paraId="7C2798B9" w14:textId="77777777" w:rsidR="00C5549B" w:rsidRDefault="00C5549B" w:rsidP="00F22E76">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F22E76">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F22E76">
            <w:pPr>
              <w:pStyle w:val="Heading4"/>
            </w:pPr>
          </w:p>
        </w:tc>
      </w:tr>
      <w:tr w:rsidR="00C5549B" w14:paraId="47D19E01" w14:textId="77777777" w:rsidTr="00F22E76">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enough, and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C92961">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C92961">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C92961">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hint="eastAsia"/>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DengXian" w:hint="eastAsia"/>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bl>
    <w:p w14:paraId="21E2AC1A" w14:textId="77777777" w:rsidR="00187589" w:rsidRDefault="00187589" w:rsidP="00187589"/>
    <w:p w14:paraId="6E6B69F2" w14:textId="22F3FB82" w:rsidR="00A57C1A" w:rsidRPr="009505E4" w:rsidRDefault="00A57C1A" w:rsidP="00A57C1A">
      <w:pPr>
        <w:pStyle w:val="Heading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w:t>
      </w:r>
      <w:r w:rsidR="00D10999" w:rsidRPr="00D10999">
        <w:lastRenderedPageBreak/>
        <w:t>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lastRenderedPageBreak/>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lastRenderedPageBreak/>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C92961">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C92961">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C92961">
            <w:pPr>
              <w:rPr>
                <w:rFonts w:eastAsia="DengXian" w:hint="eastAsia"/>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xml:space="preserve">], companies discussed multiplexing of MCCH/MTCH and other PDCCH/PDSCH for RRC idle/inactive UE states. In the two figures below show the changes </w:t>
      </w:r>
      <w:r>
        <w:lastRenderedPageBreak/>
        <w:t>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lastRenderedPageBreak/>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lastRenderedPageBreak/>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C7AC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C7AC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C7AC3"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C7AC3"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C7AC3"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C7AC3"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0" w:name="OLE_LINK57"/>
            <w:bookmarkStart w:id="1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 w:name="OLE_LINK61"/>
            <w:bookmarkStart w:id="13" w:name="OLE_LINK60"/>
            <w:bookmarkStart w:id="14" w:name="OLE_LINK59"/>
            <w:bookmarkEnd w:id="10"/>
            <w:bookmarkEnd w:id="1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72045" w14:textId="77777777" w:rsidR="003C7AC3" w:rsidRDefault="003C7AC3">
      <w:pPr>
        <w:spacing w:after="0"/>
      </w:pPr>
      <w:r>
        <w:separator/>
      </w:r>
    </w:p>
  </w:endnote>
  <w:endnote w:type="continuationSeparator" w:id="0">
    <w:p w14:paraId="5F33BA20" w14:textId="77777777" w:rsidR="003C7AC3" w:rsidRDefault="003C7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981739F" w:rsidR="004D1B77" w:rsidRDefault="004D1B77">
    <w:pPr>
      <w:pStyle w:val="Footer"/>
    </w:pPr>
    <w:r>
      <w:rPr>
        <w:noProof w:val="0"/>
      </w:rPr>
      <w:fldChar w:fldCharType="begin"/>
    </w:r>
    <w:r>
      <w:instrText xml:space="preserve"> PAGE   \* MERGEFORMAT </w:instrText>
    </w:r>
    <w:r>
      <w:rPr>
        <w:noProof w:val="0"/>
      </w:rPr>
      <w:fldChar w:fldCharType="separate"/>
    </w:r>
    <w:r w:rsidR="008C52F7">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DFF0B" w14:textId="77777777" w:rsidR="003C7AC3" w:rsidRDefault="003C7AC3">
      <w:pPr>
        <w:spacing w:after="0"/>
      </w:pPr>
      <w:r>
        <w:separator/>
      </w:r>
    </w:p>
  </w:footnote>
  <w:footnote w:type="continuationSeparator" w:id="0">
    <w:p w14:paraId="39A73947" w14:textId="77777777" w:rsidR="003C7AC3" w:rsidRDefault="003C7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8521-85EE-4497-A1BC-2DA7A6B4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80</Pages>
  <Words>37444</Words>
  <Characters>198454</Characters>
  <Application>Microsoft Office Word</Application>
  <DocSecurity>0</DocSecurity>
  <Lines>1653</Lines>
  <Paragraphs>470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14</cp:revision>
  <cp:lastPrinted>2019-08-16T08:11:00Z</cp:lastPrinted>
  <dcterms:created xsi:type="dcterms:W3CDTF">2021-11-12T09:22:00Z</dcterms:created>
  <dcterms:modified xsi:type="dcterms:W3CDTF">2021-11-12T12:19:00Z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