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0"/>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0"/>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0"/>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w:t>
            </w:r>
            <w:proofErr w:type="spellStart"/>
            <w:r>
              <w:rPr>
                <w:rFonts w:eastAsia="微软雅黑"/>
                <w:sz w:val="20"/>
                <w:szCs w:val="20"/>
              </w:rPr>
              <w:t>gNB</w:t>
            </w:r>
            <w:proofErr w:type="spellEnd"/>
            <w:r>
              <w:rPr>
                <w:rFonts w:eastAsia="微软雅黑"/>
                <w:sz w:val="20"/>
                <w:szCs w:val="20"/>
              </w:rPr>
              <w:t xml:space="preserve">, collision can be avoided by </w:t>
            </w:r>
            <w:proofErr w:type="spellStart"/>
            <w:r>
              <w:rPr>
                <w:rFonts w:eastAsia="微软雅黑"/>
                <w:sz w:val="20"/>
                <w:szCs w:val="20"/>
              </w:rPr>
              <w:t>gNB</w:t>
            </w:r>
            <w:proofErr w:type="spellEnd"/>
            <w:r>
              <w:rPr>
                <w:rFonts w:eastAsia="微软雅黑"/>
                <w:sz w:val="20"/>
                <w:szCs w:val="20"/>
              </w:rPr>
              <w:t xml:space="preserve">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w:t>
            </w:r>
            <w:proofErr w:type="spellStart"/>
            <w:r>
              <w:rPr>
                <w:rFonts w:eastAsia="微软雅黑"/>
                <w:sz w:val="20"/>
                <w:szCs w:val="20"/>
              </w:rPr>
              <w:t>gNB</w:t>
            </w:r>
            <w:proofErr w:type="spellEnd"/>
            <w:r>
              <w:rPr>
                <w:rFonts w:eastAsia="微软雅黑"/>
                <w:sz w:val="20"/>
                <w:szCs w:val="20"/>
              </w:rPr>
              <w:t xml:space="preserve"> to avoid collision if not impossible. </w:t>
            </w:r>
          </w:p>
          <w:p w14:paraId="2FB4545F" w14:textId="1181A26C" w:rsidR="005C44EC" w:rsidRDefault="005C44EC" w:rsidP="005C44EC">
            <w:pPr>
              <w:pStyle w:val="aff0"/>
              <w:widowControl w:val="0"/>
              <w:snapToGrid w:val="0"/>
              <w:spacing w:before="120" w:after="120" w:line="240" w:lineRule="auto"/>
              <w:ind w:firstLine="0"/>
              <w:jc w:val="both"/>
              <w:rPr>
                <w:rFonts w:eastAsiaTheme="minorEastAsia" w:hint="eastAsia"/>
                <w:sz w:val="20"/>
                <w:szCs w:val="20"/>
              </w:rPr>
            </w:pPr>
            <w:r>
              <w:rPr>
                <w:rFonts w:eastAsia="微软雅黑"/>
                <w:sz w:val="20"/>
                <w:szCs w:val="20"/>
              </w:rPr>
              <w:t>Thus, legacy collision rule is not sufficient and it should be improved as a part of available slot offset enhancement.</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0"/>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hint="eastAsia"/>
                <w:sz w:val="20"/>
                <w:szCs w:val="20"/>
              </w:rPr>
            </w:pPr>
            <w:r>
              <w:rPr>
                <w:rFonts w:eastAsia="微软雅黑"/>
                <w:sz w:val="20"/>
                <w:szCs w:val="20"/>
              </w:rPr>
              <w:t>Support FL proposal 2-4</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w:t>
            </w:r>
            <w:r w:rsidR="00C3282D" w:rsidRPr="00C3282D">
              <w:rPr>
                <w:rFonts w:eastAsia="微软雅黑"/>
                <w:sz w:val="20"/>
                <w:szCs w:val="20"/>
              </w:rPr>
              <w:lastRenderedPageBreak/>
              <w:t>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lastRenderedPageBreak/>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w:t>
            </w:r>
            <w:r w:rsidR="00552112">
              <w:rPr>
                <w:rFonts w:eastAsiaTheme="minorEastAsia" w:hint="eastAsia"/>
                <w:sz w:val="20"/>
                <w:szCs w:val="20"/>
              </w:rPr>
              <w:lastRenderedPageBreak/>
              <w:t>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0"/>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CI:</w:t>
            </w:r>
          </w:p>
          <w:p w14:paraId="56C0039F" w14:textId="04AA5A01" w:rsidR="0028058A" w:rsidRPr="0028058A" w:rsidRDefault="0028058A" w:rsidP="000A30D7">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0"/>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lastRenderedPageBreak/>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t>
            </w:r>
            <w:r w:rsidR="009C2192">
              <w:rPr>
                <w:rFonts w:eastAsia="微软雅黑"/>
                <w:sz w:val="20"/>
                <w:szCs w:val="20"/>
              </w:rPr>
              <w:lastRenderedPageBreak/>
              <w:t>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0"/>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lastRenderedPageBreak/>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hint="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hint="eastAsia"/>
                <w:sz w:val="20"/>
                <w:szCs w:val="20"/>
              </w:rPr>
            </w:pPr>
            <w:r>
              <w:rPr>
                <w:rFonts w:eastAsia="微软雅黑"/>
                <w:sz w:val="20"/>
                <w:szCs w:val="20"/>
              </w:rPr>
              <w:t xml:space="preserve">There are variety of UE RF implementations, and for certain implementation extra </w:t>
            </w:r>
            <w:r>
              <w:rPr>
                <w:rFonts w:eastAsia="微软雅黑"/>
                <w:sz w:val="20"/>
                <w:szCs w:val="20"/>
              </w:rPr>
              <w:lastRenderedPageBreak/>
              <w:t xml:space="preserve">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lastRenderedPageBreak/>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0"/>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 xml:space="preserve">hether to handle the case where the interval between SRS resource sets is </w:t>
      </w:r>
      <w:r w:rsidRPr="003146C3">
        <w:rPr>
          <w:rFonts w:eastAsia="微软雅黑"/>
          <w:iCs/>
          <w:sz w:val="20"/>
          <w:szCs w:val="20"/>
        </w:rPr>
        <w:lastRenderedPageBreak/>
        <w:t>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w:t>
            </w:r>
            <w:r w:rsidRPr="00361F21">
              <w:rPr>
                <w:rFonts w:eastAsia="MS Mincho"/>
                <w:sz w:val="20"/>
                <w:szCs w:val="20"/>
                <w:lang w:eastAsia="ja-JP"/>
              </w:rPr>
              <w:lastRenderedPageBreak/>
              <w:t>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lastRenderedPageBreak/>
              <w:t>Alt 2-1: 2 + 2 + 2</w:t>
            </w:r>
          </w:p>
          <w:p w14:paraId="33D0EF97"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0"/>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xml:space="preserve">, Huawei/ </w:t>
      </w:r>
      <w:proofErr w:type="spellStart"/>
      <w:r>
        <w:rPr>
          <w:rFonts w:eastAsia="微软雅黑"/>
          <w:sz w:val="20"/>
          <w:szCs w:val="20"/>
        </w:rPr>
        <w:t>HiSilicon</w:t>
      </w:r>
      <w:proofErr w:type="spellEnd"/>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hint="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hint="eastAsia"/>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w:t>
            </w:r>
            <w:r>
              <w:rPr>
                <w:rFonts w:eastAsia="微软雅黑"/>
                <w:sz w:val="20"/>
                <w:szCs w:val="20"/>
              </w:rPr>
              <w:lastRenderedPageBreak/>
              <w:t xml:space="preserve">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Support to apply start RB hopping on aperiodic SRS but prefer a different pattern: MediaTek, Intel</w:t>
      </w:r>
      <w:r w:rsidR="00E2138C">
        <w:rPr>
          <w:rFonts w:eastAsia="微软雅黑"/>
          <w:sz w:val="20"/>
          <w:szCs w:val="20"/>
        </w:rPr>
        <w:t xml:space="preserve">, </w:t>
      </w:r>
      <w:r w:rsidR="00E2138C">
        <w:rPr>
          <w:rFonts w:eastAsia="微软雅黑" w:hint="eastAsia"/>
          <w:sz w:val="20"/>
          <w:szCs w:val="20"/>
        </w:rPr>
        <w:t>L</w:t>
      </w:r>
      <w:r w:rsidR="00E2138C">
        <w:rPr>
          <w:rFonts w:eastAsia="微软雅黑"/>
          <w:sz w:val="20"/>
          <w:szCs w:val="20"/>
        </w:rPr>
        <w:t>enovo/</w:t>
      </w:r>
      <w:proofErr w:type="spellStart"/>
      <w:r w:rsidR="00E2138C">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hint="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hint="eastAsia"/>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w:t>
            </w:r>
            <w:r>
              <w:rPr>
                <w:rFonts w:eastAsia="MS Mincho"/>
                <w:sz w:val="20"/>
                <w:szCs w:val="20"/>
                <w:lang w:eastAsia="ja-JP"/>
              </w:rPr>
              <w:lastRenderedPageBreak/>
              <w:t xml:space="preserve">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hint="eastAsia"/>
                <w:sz w:val="20"/>
                <w:szCs w:val="20"/>
              </w:rPr>
            </w:pPr>
            <w:r>
              <w:rPr>
                <w:rFonts w:eastAsia="Malgun Gothic"/>
                <w:sz w:val="20"/>
                <w:szCs w:val="20"/>
                <w:lang w:eastAsia="ko-KR"/>
              </w:rPr>
              <w:t>Support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MediaTek,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lastRenderedPageBreak/>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hint="eastAsia"/>
                <w:sz w:val="20"/>
                <w:szCs w:val="20"/>
              </w:rPr>
            </w:pPr>
            <w:r>
              <w:rPr>
                <w:rFonts w:eastAsia="Malgun Gothic"/>
                <w:sz w:val="20"/>
                <w:szCs w:val="20"/>
                <w:lang w:eastAsia="ko-KR"/>
              </w:rPr>
              <w:t>Support FL’s proposal</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bookmarkStart w:id="4" w:name="_GoBack"/>
      <w:bookmarkEnd w:id="4"/>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overhead reduction, study reusing same resources among multiple usages, at least for “codebook” and </w:t>
            </w:r>
            <w:r w:rsidRPr="00D94CC9">
              <w:rPr>
                <w:rFonts w:eastAsia="微软雅黑"/>
                <w:sz w:val="20"/>
                <w:szCs w:val="20"/>
              </w:rPr>
              <w:lastRenderedPageBreak/>
              <w:t>“antenna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 xml:space="preserve">E does not expect multiple SRS resource sets are configured or triggered </w:t>
            </w:r>
            <w:r w:rsidRPr="00305120">
              <w:rPr>
                <w:rFonts w:eastAsia="微软雅黑"/>
                <w:sz w:val="20"/>
                <w:szCs w:val="20"/>
              </w:rPr>
              <w:lastRenderedPageBreak/>
              <w:t>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lastRenderedPageBreak/>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5424B9"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5424B9"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5424B9"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5424B9"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5424B9"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5424B9"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5424B9"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5424B9"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5424B9"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5424B9"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5424B9"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5424B9"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5424B9"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5424B9"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5424B9"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5424B9"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5424B9"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5424B9"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5424B9"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5424B9"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5424B9"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D869" w14:textId="77777777" w:rsidR="005424B9" w:rsidRDefault="005424B9" w:rsidP="0066336C">
      <w:pPr>
        <w:spacing w:after="0" w:line="240" w:lineRule="auto"/>
      </w:pPr>
      <w:r>
        <w:separator/>
      </w:r>
    </w:p>
  </w:endnote>
  <w:endnote w:type="continuationSeparator" w:id="0">
    <w:p w14:paraId="57C83766" w14:textId="77777777" w:rsidR="005424B9" w:rsidRDefault="005424B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6A4A7F" w:rsidRPr="00B507FA" w:rsidRDefault="006A4A7F"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4AEEB" w14:textId="77777777" w:rsidR="005424B9" w:rsidRDefault="005424B9" w:rsidP="0066336C">
      <w:pPr>
        <w:spacing w:after="0" w:line="240" w:lineRule="auto"/>
      </w:pPr>
      <w:r>
        <w:separator/>
      </w:r>
    </w:p>
  </w:footnote>
  <w:footnote w:type="continuationSeparator" w:id="0">
    <w:p w14:paraId="21E66A8D" w14:textId="77777777" w:rsidR="005424B9" w:rsidRDefault="005424B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8BD6B-22AF-444F-AE18-DCDED7BE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12010</Words>
  <Characters>68463</Characters>
  <Application>Microsoft Office Word</Application>
  <DocSecurity>0</DocSecurity>
  <Lines>570</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2021-11-16T10:09:00Z</dcterms:created>
  <dcterms:modified xsi:type="dcterms:W3CDTF">2021-11-16T10:16:00Z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