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 xml:space="preserve">Adopt the following </w:t>
      </w:r>
      <w:bookmarkStart w:id="2" w:name="OLE_LINK1"/>
      <w:bookmarkStart w:id="3" w:name="OLE_LINK2"/>
      <w:r>
        <w:rPr>
          <w:rFonts w:eastAsia="Microsoft YaHei"/>
          <w:i/>
          <w:sz w:val="20"/>
          <w:szCs w:val="20"/>
        </w:rPr>
        <w:t xml:space="preserve">priority rules </w:t>
      </w:r>
      <w:bookmarkEnd w:id="2"/>
      <w:bookmarkEnd w:id="3"/>
      <w:r>
        <w:rPr>
          <w:rFonts w:eastAsia="Microsoft YaHei"/>
          <w:i/>
          <w:sz w:val="20"/>
          <w:szCs w:val="20"/>
        </w:rPr>
        <w:t>(with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gNB woud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Microsoft YaHei"/>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Microsoft YaHei"/>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InterDigital, NEC, Huawei/HiSilicon, QC, Lenovo/MotM,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Concerned by Futurewei,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Since the view from Futurewei,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Intel, Futurewei,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5864B991" w14:textId="41242E4C"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Microsoft YaHei"/>
                <w:sz w:val="20"/>
                <w:szCs w:val="20"/>
              </w:rPr>
            </w:pPr>
            <w:r>
              <w:rPr>
                <w:rFonts w:eastAsia="Microsoft YaHei"/>
                <w:sz w:val="20"/>
                <w:szCs w:val="20"/>
              </w:rPr>
              <w:t xml:space="preserve">We think re-purpose DCI has benefits but consider the limited time in the last meeting, we are fine to deprioritize it. </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r w:rsidR="003666A3" w:rsidRPr="00734319">
              <w:rPr>
                <w:rFonts w:eastAsia="Microsoft YaHei"/>
                <w:sz w:val="20"/>
                <w:szCs w:val="20"/>
              </w:rPr>
              <w:t>Futurewei</w:t>
            </w:r>
            <w:r w:rsidR="00373E83" w:rsidRPr="00734319">
              <w:rPr>
                <w:rFonts w:eastAsia="Microsoft YaHei"/>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 xml:space="preserve">Companies are encouraged to share your view on the above issue, including </w:t>
            </w:r>
            <w:r>
              <w:rPr>
                <w:rFonts w:eastAsia="Microsoft YaHei"/>
                <w:sz w:val="20"/>
                <w:szCs w:val="20"/>
              </w:rPr>
              <w:lastRenderedPageBreak/>
              <w:t>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As we clarified before, available slot is for flexible AP-SRS triggering, group common DCI is not proper for AP-SRS triggering. </w:t>
            </w:r>
          </w:p>
        </w:tc>
      </w:tr>
      <w:tr w:rsidR="00581295" w14:paraId="604C8F05" w14:textId="77777777" w:rsidTr="00515754">
        <w:tc>
          <w:tcPr>
            <w:tcW w:w="2405" w:type="dxa"/>
          </w:tcPr>
          <w:p w14:paraId="42661580" w14:textId="32E55412" w:rsidR="00581295" w:rsidRPr="00581295" w:rsidRDefault="00581295" w:rsidP="003D6908">
            <w:pPr>
              <w:widowControl w:val="0"/>
              <w:snapToGrid w:val="0"/>
              <w:spacing w:before="120" w:after="120" w:line="240" w:lineRule="auto"/>
              <w:rPr>
                <w:rFonts w:eastAsia="Malgun Gothic"/>
                <w:sz w:val="20"/>
                <w:szCs w:val="20"/>
                <w:lang w:eastAsia="ko-KR"/>
              </w:rPr>
            </w:pPr>
          </w:p>
        </w:tc>
        <w:tc>
          <w:tcPr>
            <w:tcW w:w="6945" w:type="dxa"/>
          </w:tcPr>
          <w:p w14:paraId="6153A0CC" w14:textId="3B687F38" w:rsidR="00581295" w:rsidRPr="00581295" w:rsidRDefault="00581295" w:rsidP="003D6908">
            <w:pPr>
              <w:widowControl w:val="0"/>
              <w:snapToGrid w:val="0"/>
              <w:spacing w:before="120" w:after="120" w:line="240" w:lineRule="auto"/>
              <w:rPr>
                <w:rFonts w:eastAsia="Malgun Gothic"/>
                <w:sz w:val="20"/>
                <w:szCs w:val="20"/>
                <w:lang w:eastAsia="ko-KR"/>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Microsoft YaHei"/>
                <w:sz w:val="20"/>
                <w:szCs w:val="20"/>
              </w:rPr>
              <w:t>Not necessary. SRS resource sharing is already supported in Rel-15.</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Huawei/HiSilicon</w:t>
      </w:r>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lastRenderedPageBreak/>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 Samsung, QC, CMCC, Futurewei, Lenovo/MotM,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For Note1</w:t>
            </w:r>
            <w:r>
              <w:rPr>
                <w:rFonts w:eastAsia="Microsoft YaHei" w:hint="eastAsia"/>
                <w:sz w:val="20"/>
                <w:szCs w:val="20"/>
              </w:rPr>
              <w:t>,</w:t>
            </w:r>
            <w:r>
              <w:rPr>
                <w:rFonts w:eastAsia="Microsoft YaHei"/>
                <w:sz w:val="20"/>
                <w:szCs w:val="20"/>
              </w:rPr>
              <w:t xml:space="preserve"> </w:t>
            </w:r>
            <w:r>
              <w:rPr>
                <w:rFonts w:eastAsia="Microsoft YaHei" w:hint="eastAsia"/>
                <w:sz w:val="20"/>
                <w:szCs w:val="20"/>
              </w:rPr>
              <w:t>it</w:t>
            </w:r>
            <w:r>
              <w:rPr>
                <w:rFonts w:eastAsia="Microsoft YaHei"/>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Microsoft YaHei"/>
                <w:sz w:val="20"/>
                <w:szCs w:val="20"/>
              </w:rPr>
              <w:t xml:space="preserve">/Ericsson.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lastRenderedPageBreak/>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Microsoft YaHei"/>
                <w:sz w:val="20"/>
                <w:szCs w:val="20"/>
              </w:rPr>
            </w:pPr>
            <w:r w:rsidRPr="009E0690">
              <w:rPr>
                <w:rFonts w:eastAsia="Microsoft YaHei"/>
                <w:sz w:val="20"/>
                <w:szCs w:val="20"/>
              </w:rPr>
              <w:t>NTT DCM, Lenovo/MotM</w:t>
            </w:r>
            <w:r w:rsidR="00960101">
              <w:rPr>
                <w:rFonts w:eastAsia="Microsoft YaHei"/>
                <w:sz w:val="20"/>
                <w:szCs w:val="20"/>
              </w:rPr>
              <w:t>, Ericsson</w:t>
            </w:r>
            <w:r w:rsidR="00FE1461">
              <w:rPr>
                <w:rFonts w:eastAsia="Microsoft YaHei"/>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OPPO, CMCC</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introducing additional MAC-CE</w:t>
            </w:r>
            <w:r>
              <w:rPr>
                <w:rFonts w:eastAsia="Microsoft YaHei" w:hint="eastAsia"/>
                <w:sz w:val="20"/>
                <w:szCs w:val="20"/>
              </w:rPr>
              <w:t xml:space="preserve"> </w:t>
            </w:r>
            <w:r>
              <w:rPr>
                <w:rFonts w:eastAsia="Microsoft YaHei"/>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 xml:space="preserve"> Not needed</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sidR="00E91D62">
              <w:rPr>
                <w:rFonts w:eastAsia="Microsoft YaHei"/>
                <w:sz w:val="20"/>
                <w:szCs w:val="20"/>
              </w:rPr>
              <w:t>, LGE, Futurewei</w:t>
            </w:r>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lastRenderedPageBreak/>
              <w:t>“</w:t>
            </w:r>
            <w:r w:rsidRPr="009E0690">
              <w:rPr>
                <w:rFonts w:eastAsia="DengXian"/>
                <w:sz w:val="20"/>
              </w:rPr>
              <w:t>reportQuantity</w:t>
            </w:r>
            <w:r w:rsidR="00664FF9">
              <w:rPr>
                <w:rFonts w:eastAsia="DengXian"/>
                <w:sz w:val="20"/>
              </w:rPr>
              <w:t>”</w:t>
            </w:r>
            <w:r w:rsidRPr="009E0690">
              <w:rPr>
                <w:rFonts w:eastAsia="DengXian"/>
                <w:sz w:val="20"/>
              </w:rPr>
              <w:t xml:space="preserve"> in CSI-ReportConfig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r w:rsidR="00E91D62">
              <w:rPr>
                <w:rFonts w:eastAsia="Microsoft YaHei"/>
                <w:sz w:val="20"/>
                <w:szCs w:val="20"/>
              </w:rPr>
              <w:t>, 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as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Microsoft YaHei"/>
                <w:sz w:val="20"/>
                <w:szCs w:val="20"/>
              </w:rPr>
            </w:pPr>
            <w:r>
              <w:rPr>
                <w:rFonts w:eastAsia="Microsoft YaHei"/>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Microsoft YaHei"/>
                <w:sz w:val="20"/>
                <w:szCs w:val="20"/>
              </w:rPr>
              <w:t>Support Alt 1-0</w:t>
            </w:r>
          </w:p>
        </w:tc>
      </w:tr>
    </w:tbl>
    <w:p w14:paraId="03895AB8" w14:textId="31F4305A"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w:t>
            </w:r>
            <w:r w:rsidR="00213270">
              <w:rPr>
                <w:rFonts w:eastAsia="Microsoft YaHei"/>
                <w:sz w:val="20"/>
                <w:szCs w:val="20"/>
                <w:lang w:val="de-DE"/>
              </w:rPr>
              <w:t>Qualcomm</w:t>
            </w:r>
            <w:r>
              <w:rPr>
                <w:rFonts w:eastAsia="Microsoft YaHei"/>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w:t>
            </w:r>
            <w:r>
              <w:rPr>
                <w:rFonts w:eastAsia="MS Mincho"/>
                <w:sz w:val="20"/>
                <w:szCs w:val="20"/>
                <w:lang w:eastAsia="ja-JP"/>
              </w:rPr>
              <w:lastRenderedPageBreak/>
              <w:t xml:space="preserve">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The UE is configured  with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Microsoft YaHei" w:hint="eastAsia"/>
                <w:sz w:val="20"/>
                <w:szCs w:val="20"/>
              </w:rPr>
              <w:t>S</w:t>
            </w:r>
            <w:r>
              <w:rPr>
                <w:rFonts w:eastAsia="Microsoft YaHei"/>
                <w:sz w:val="20"/>
                <w:szCs w:val="20"/>
              </w:rPr>
              <w:t xml:space="preserve">upport FL proposal. We do think clarifying the behavior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w:t>
      </w:r>
      <w:r w:rsidRPr="00664FF9">
        <w:rPr>
          <w:rFonts w:eastAsia="Microsoft YaHei"/>
          <w:sz w:val="20"/>
          <w:szCs w:val="20"/>
          <w:vertAlign w:val="superscript"/>
        </w:rPr>
        <w:t>nd</w:t>
      </w:r>
      <w:r w:rsidRPr="00CB0160">
        <w:rPr>
          <w:rFonts w:eastAsia="Microsoft YaHei"/>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TableGrid"/>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w:t>
            </w:r>
            <w:r w:rsidRPr="00664FF9">
              <w:rPr>
                <w:rFonts w:eastAsia="Microsoft YaHei"/>
                <w:sz w:val="20"/>
                <w:szCs w:val="20"/>
                <w:vertAlign w:val="superscript"/>
              </w:rPr>
              <w:t>st</w:t>
            </w:r>
            <w:r w:rsidRPr="000D023D">
              <w:rPr>
                <w:rFonts w:eastAsia="Microsoft YaHei"/>
                <w:sz w:val="20"/>
                <w:szCs w:val="20"/>
              </w:rPr>
              <w:t xml:space="preserve">  and the 2</w:t>
            </w:r>
            <w:r w:rsidRPr="00664FF9">
              <w:rPr>
                <w:rFonts w:eastAsia="Microsoft YaHei"/>
                <w:sz w:val="20"/>
                <w:szCs w:val="20"/>
                <w:vertAlign w:val="superscript"/>
              </w:rPr>
              <w:t>nd</w:t>
            </w:r>
            <w:r w:rsidRPr="000D023D">
              <w:rPr>
                <w:rFonts w:eastAsia="Microsoft YaHei"/>
                <w:sz w:val="20"/>
                <w:szCs w:val="20"/>
              </w:rPr>
              <w:t xml:space="preserve"> transmission, and 1 guard symbol exists between the 2</w:t>
            </w:r>
            <w:r w:rsidRPr="00664FF9">
              <w:rPr>
                <w:rFonts w:eastAsia="Microsoft YaHei"/>
                <w:sz w:val="20"/>
                <w:szCs w:val="20"/>
                <w:vertAlign w:val="superscript"/>
              </w:rPr>
              <w:t>nd</w:t>
            </w:r>
            <w:r w:rsidRPr="000D023D">
              <w:rPr>
                <w:rFonts w:eastAsia="Microsoft YaHei"/>
                <w:sz w:val="20"/>
                <w:szCs w:val="20"/>
              </w:rPr>
              <w:t xml:space="preserve"> and 3</w:t>
            </w:r>
            <w:r w:rsidRPr="00664FF9">
              <w:rPr>
                <w:rFonts w:eastAsia="Microsoft YaHei"/>
                <w:sz w:val="20"/>
                <w:szCs w:val="20"/>
                <w:vertAlign w:val="superscript"/>
              </w:rPr>
              <w:t>rd</w:t>
            </w:r>
            <w:r w:rsidRPr="000D023D">
              <w:rPr>
                <w:rFonts w:eastAsia="Microsoft YaHei"/>
                <w:sz w:val="20"/>
                <w:szCs w:val="20"/>
              </w:rPr>
              <w:t xml:space="preserve"> </w:t>
            </w:r>
            <w:r w:rsidRPr="000D023D">
              <w:rPr>
                <w:rFonts w:eastAsia="Microsoft YaHei"/>
                <w:sz w:val="20"/>
                <w:szCs w:val="20"/>
              </w:rPr>
              <w:lastRenderedPageBreak/>
              <w:t>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lastRenderedPageBreak/>
              <w:t>CMCC (1</w:t>
            </w:r>
            <w:r w:rsidRPr="00664FF9">
              <w:rPr>
                <w:rFonts w:eastAsia="Microsoft YaHei"/>
                <w:sz w:val="20"/>
                <w:szCs w:val="20"/>
                <w:vertAlign w:val="superscript"/>
              </w:rPr>
              <w:t>st</w:t>
            </w:r>
            <w:r w:rsidRPr="000D023D">
              <w:rPr>
                <w:rFonts w:eastAsia="Microsoft YaHei"/>
                <w:sz w:val="20"/>
                <w:szCs w:val="20"/>
              </w:rPr>
              <w:t>), Nokia/NSB, InterDigital, Huawei/HiSilicon, Ericsson, Spreadtrum</w:t>
            </w:r>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gNB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w:t>
      </w:r>
      <w:r w:rsidRPr="00664FF9">
        <w:rPr>
          <w:rFonts w:eastAsia="Microsoft YaHei"/>
          <w:i/>
          <w:sz w:val="20"/>
          <w:szCs w:val="20"/>
          <w:vertAlign w:val="superscript"/>
        </w:rPr>
        <w:t>st</w:t>
      </w:r>
      <w:r w:rsidRPr="00BF2D1B">
        <w:rPr>
          <w:rFonts w:eastAsia="Microsoft YaHei"/>
          <w:i/>
          <w:sz w:val="20"/>
          <w:szCs w:val="20"/>
        </w:rPr>
        <w:t xml:space="preserve">  and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282B25C" w14:textId="07C5CB12" w:rsidR="009C435E" w:rsidRPr="00BF2D1B" w:rsidRDefault="009C435E" w:rsidP="00BF2D1B">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to  support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Support Alt.2.</w:t>
            </w:r>
          </w:p>
          <w:p w14:paraId="322186A3"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To OPPO, why we need to differentiate Alt.2 and 2T6R? It is not design principle. A</w:t>
            </w:r>
            <w:r>
              <w:rPr>
                <w:rFonts w:eastAsia="Microsoft YaHei" w:hint="eastAsia"/>
                <w:sz w:val="20"/>
                <w:szCs w:val="20"/>
              </w:rPr>
              <w:t>ctuall</w:t>
            </w:r>
            <w:r>
              <w:rPr>
                <w:rFonts w:eastAsia="Microsoft YaHei"/>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have strong concern on Alt.1 for the issues on power imbalance and coverage loss for 3dB as we mentioned in last rounds feedback.</w:t>
            </w:r>
            <w:r>
              <w:rPr>
                <w:rFonts w:eastAsia="Microsoft YaHei" w:hint="eastAsia"/>
                <w:sz w:val="20"/>
                <w:szCs w:val="20"/>
              </w:rPr>
              <w:t xml:space="preserve"> </w:t>
            </w:r>
            <w:r>
              <w:rPr>
                <w:rFonts w:eastAsia="Microsoft YaHei"/>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Note that this is a critical issue for TDD operators using massive MIMO in their </w:t>
            </w:r>
            <w:r>
              <w:rPr>
                <w:rFonts w:eastAsia="MS Mincho"/>
                <w:sz w:val="20"/>
                <w:szCs w:val="20"/>
                <w:lang w:eastAsia="ja-JP"/>
              </w:rPr>
              <w:lastRenderedPageBreak/>
              <w:t>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H</w:t>
            </w:r>
            <w:r>
              <w:rPr>
                <w:rFonts w:eastAsia="Microsoft YaHei"/>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this is essential for Rel-17 completion.</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w:t>
            </w:r>
            <w:r w:rsidR="00D55937" w:rsidRPr="000251D7">
              <w:rPr>
                <w:rFonts w:eastAsia="Microsoft YaHei"/>
                <w:sz w:val="20"/>
                <w:szCs w:val="20"/>
                <w:lang w:val="en-GB"/>
              </w:rPr>
              <w:t>e</w:t>
            </w:r>
            <w:r w:rsidRPr="000251D7">
              <w:rPr>
                <w:rFonts w:eastAsia="Microsoft YaHei"/>
                <w:sz w:val="20"/>
                <w:szCs w:val="20"/>
                <w:lang w:val="en-GB"/>
              </w:rPr>
              <w:t>s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Lenovo/MotM, CATT, Spreadtrum, Xiaomi, Nokia/NSB, Apple</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Add more P_F values: Futurewei, Huawei/HiSilicon,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Microsoft YaHei"/>
                <w:sz w:val="20"/>
                <w:szCs w:val="20"/>
              </w:rPr>
            </w:pPr>
            <w:r>
              <w:rPr>
                <w:rFonts w:eastAsia="Microsoft YaHei"/>
                <w:sz w:val="20"/>
                <w:szCs w:val="20"/>
              </w:rPr>
              <w:t>OK</w:t>
            </w:r>
            <w:r w:rsidR="003D6908">
              <w:rPr>
                <w:rFonts w:eastAsia="Microsoft YaHei"/>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lastRenderedPageBreak/>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r w:rsidR="00826DD0">
              <w:rPr>
                <w:rFonts w:eastAsia="Microsoft YaHei"/>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Microsoft YaHei"/>
                <w:sz w:val="20"/>
                <w:szCs w:val="20"/>
              </w:rPr>
              <w:t xml:space="preserve">Support </w:t>
            </w:r>
            <w:r>
              <w:rPr>
                <w:rFonts w:eastAsia="Microsoft YaHei"/>
                <w:sz w:val="20"/>
                <w:szCs w:val="20"/>
              </w:rPr>
              <w:t xml:space="preserve">FL proposal 4-2. </w:t>
            </w:r>
            <w:r>
              <w:rPr>
                <w:rFonts w:eastAsia="Microsoft YaHei" w:hint="eastAsia"/>
                <w:sz w:val="20"/>
                <w:szCs w:val="20"/>
              </w:rPr>
              <w:t>E</w:t>
            </w:r>
            <w:r w:rsidRPr="00490C76">
              <w:rPr>
                <w:rFonts w:eastAsia="Microsoft YaHei"/>
                <w:sz w:val="20"/>
                <w:szCs w:val="20"/>
              </w:rPr>
              <w:t>xtend</w:t>
            </w:r>
            <w:r>
              <w:rPr>
                <w:rFonts w:eastAsia="Microsoft YaHei"/>
                <w:sz w:val="20"/>
                <w:szCs w:val="20"/>
              </w:rPr>
              <w:t>ing</w:t>
            </w:r>
            <w:r w:rsidRPr="00490C76">
              <w:rPr>
                <w:rFonts w:eastAsia="Microsoft YaHei"/>
                <w:sz w:val="20"/>
                <w:szCs w:val="20"/>
              </w:rPr>
              <w:t xml:space="preserve"> start RB location hopping to aperiodic SRS</w:t>
            </w:r>
            <w:r>
              <w:rPr>
                <w:rFonts w:eastAsia="Microsoft YaHei"/>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Microsoft YaHei"/>
                <w:sz w:val="20"/>
                <w:szCs w:val="20"/>
              </w:rPr>
            </w:pPr>
            <w:r>
              <w:rPr>
                <w:rFonts w:eastAsia="Microsoft YaHei"/>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Microsoft YaHei"/>
                <w:sz w:val="20"/>
                <w:szCs w:val="20"/>
              </w:rPr>
            </w:pPr>
            <w:r>
              <w:rPr>
                <w:rFonts w:eastAsia="Microsoft YaHei"/>
                <w:sz w:val="20"/>
                <w:szCs w:val="20"/>
              </w:rPr>
              <w:t>We don’t agree to have sentence “</w:t>
            </w:r>
            <w:r w:rsidRPr="00A1732D">
              <w:rPr>
                <w:rFonts w:eastAsiaTheme="minorEastAsia"/>
                <w:i/>
                <w:sz w:val="20"/>
                <w:szCs w:val="20"/>
              </w:rPr>
              <w:t>same start RB location hopping approach as for P/SP SRS</w:t>
            </w:r>
            <w:r>
              <w:rPr>
                <w:rFonts w:eastAsia="Microsoft YaHei"/>
                <w:sz w:val="20"/>
                <w:szCs w:val="20"/>
              </w:rPr>
              <w:t xml:space="preserve">”, which means in the same way as in inter legacy FH period, right? This should be </w:t>
            </w:r>
            <w:r w:rsidR="004740EC">
              <w:rPr>
                <w:rFonts w:eastAsia="Microsoft YaHei"/>
                <w:sz w:val="20"/>
                <w:szCs w:val="20"/>
              </w:rPr>
              <w:t xml:space="preserve">the </w:t>
            </w:r>
            <w:bookmarkStart w:id="4" w:name="_GoBack"/>
            <w:bookmarkEnd w:id="4"/>
            <w:r>
              <w:rPr>
                <w:rFonts w:eastAsia="Microsoft YaHei"/>
                <w:sz w:val="20"/>
                <w:szCs w:val="20"/>
              </w:rPr>
              <w:t xml:space="preserve">separate topic discussed in the next. </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Microsoft YaHei"/>
                <w:sz w:val="20"/>
                <w:szCs w:val="20"/>
                <w:highlight w:val="yellow"/>
              </w:rPr>
            </w:pPr>
            <w:r>
              <w:rPr>
                <w:rFonts w:eastAsia="Microsoft YaHei" w:hint="eastAsia"/>
                <w:sz w:val="20"/>
                <w:szCs w:val="20"/>
              </w:rPr>
              <w:t>N</w:t>
            </w:r>
            <w:r>
              <w:rPr>
                <w:rFonts w:eastAsia="Microsoft YaHei"/>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Microsoft YaHei"/>
                <w:sz w:val="20"/>
                <w:szCs w:val="20"/>
              </w:rPr>
            </w:pPr>
            <w:r>
              <w:rPr>
                <w:rFonts w:eastAsia="Microsoft YaHei"/>
                <w:sz w:val="20"/>
                <w:szCs w:val="20"/>
              </w:rPr>
              <w:t>S</w:t>
            </w:r>
            <w:r w:rsidRPr="00664FF9">
              <w:rPr>
                <w:rFonts w:eastAsia="Microsoft YaHei"/>
                <w:sz w:val="20"/>
                <w:szCs w:val="20"/>
              </w:rPr>
              <w:t>upport start RB location hopping within a legacy FH period</w:t>
            </w:r>
            <w:r>
              <w:rPr>
                <w:rFonts w:eastAsia="Microsoft YaHei"/>
                <w:sz w:val="20"/>
                <w:szCs w:val="20"/>
              </w:rPr>
              <w:t xml:space="preserve"> when R&gt;1</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r w:rsidR="00C25AD5">
              <w:rPr>
                <w:rFonts w:eastAsia="Microsoft YaHei"/>
                <w:sz w:val="20"/>
                <w:szCs w:val="20"/>
              </w:rPr>
              <w:t>, LGE</w:t>
            </w:r>
            <w:r w:rsidR="00D92CCC">
              <w:rPr>
                <w:rFonts w:eastAsia="Microsoft YaHei"/>
                <w:sz w:val="20"/>
                <w:szCs w:val="20"/>
              </w:rPr>
              <w:t>, Spreadtrum, Ericsson, Huawei/HiSilicon</w:t>
            </w:r>
            <w:r w:rsidR="00FD578C">
              <w:rPr>
                <w:rFonts w:eastAsia="Microsoft YaHei"/>
                <w:sz w:val="20"/>
                <w:szCs w:val="20"/>
              </w:rPr>
              <w:t xml:space="preserve">, Lenovo/MotM,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w:t>
            </w:r>
            <w:r>
              <w:rPr>
                <w:rFonts w:eastAsia="MS Mincho"/>
                <w:sz w:val="20"/>
                <w:szCs w:val="20"/>
                <w:lang w:eastAsia="ja-JP"/>
              </w:rPr>
              <w:lastRenderedPageBreak/>
              <w:t xml:space="preserve">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Lenovo/MotM,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Lenovo/MotM,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No consensus to use MAC CE or DCI to update P_F and/or k_F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n_CS and (n_CS+3) mod 6 in comb offset k_TC,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n_CS and (n_CS+3) mod 6 in comb offset (k_TC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Huawei/HiSilicon</w:t>
      </w:r>
      <w:r>
        <w:rPr>
          <w:rFonts w:eastAsia="Microsoft YaHei"/>
          <w:sz w:val="20"/>
          <w:szCs w:val="20"/>
        </w:rPr>
        <w:t xml:space="preserve">, </w:t>
      </w:r>
      <w:r>
        <w:rPr>
          <w:rFonts w:eastAsia="Microsoft YaHei" w:hint="eastAsia"/>
          <w:sz w:val="20"/>
          <w:szCs w:val="20"/>
        </w:rPr>
        <w:t>L</w:t>
      </w:r>
      <w:r>
        <w:rPr>
          <w:rFonts w:eastAsia="Microsoft YaHei"/>
          <w:sz w:val="20"/>
          <w:szCs w:val="20"/>
        </w:rPr>
        <w:t>enovo/MotM, MediaTek, NTT DOCOMO, Intel, OPPO, Futurewei,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Huawei/HiSilicon, Spreadtrum</w:t>
            </w:r>
            <w:r w:rsidR="00F2750C">
              <w:rPr>
                <w:rFonts w:eastAsia="Microsoft YaHei"/>
                <w:bCs/>
                <w:sz w:val="20"/>
                <w:szCs w:val="20"/>
              </w:rPr>
              <w:t>, Futurewei</w:t>
            </w:r>
            <w:r w:rsidR="006D2261">
              <w:rPr>
                <w:rFonts w:eastAsia="Microsoft YaHei"/>
                <w:bCs/>
                <w:sz w:val="20"/>
                <w:szCs w:val="20"/>
              </w:rPr>
              <w:t>, vivo</w:t>
            </w:r>
            <w:r w:rsidR="00C84378">
              <w:rPr>
                <w:rFonts w:eastAsia="Microsoft YaHei"/>
                <w:bCs/>
                <w:sz w:val="20"/>
                <w:szCs w:val="20"/>
              </w:rPr>
              <w:t>, OPPO, Spreadtrum</w:t>
            </w:r>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 We do not see the benefits shown in practical scenarios for supporting 12 CSs. Actually it is easy to get the result in analysis that the practical channels are difficult to support Comb-8+12 CSs as details discussed in our Tdoc.</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Microsoft YaHei"/>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Microsoft YaHei"/>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lastRenderedPageBreak/>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xml:space="preserve">) hopping in different SRS frequency hopping periods for RPFS and at least </w:t>
            </w:r>
            <w:r w:rsidRPr="00305120">
              <w:rPr>
                <w:rFonts w:eastAsia="Microsoft YaHei"/>
                <w:sz w:val="20"/>
                <w:szCs w:val="20"/>
              </w:rPr>
              <w:lastRenderedPageBreak/>
              <w:t>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lastRenderedPageBreak/>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lastRenderedPageBreak/>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810037"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810037"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810037"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810037"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810037"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810037"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810037"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810037"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810037"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810037"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810037"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810037"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810037"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810037"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810037"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810037"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810037"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810037"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810037"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810037"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810037"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16481" w14:textId="77777777" w:rsidR="00810037" w:rsidRDefault="00810037" w:rsidP="0066336C">
      <w:pPr>
        <w:spacing w:after="0" w:line="240" w:lineRule="auto"/>
      </w:pPr>
      <w:r>
        <w:separator/>
      </w:r>
    </w:p>
  </w:endnote>
  <w:endnote w:type="continuationSeparator" w:id="0">
    <w:p w14:paraId="61E535BE" w14:textId="77777777" w:rsidR="00810037" w:rsidRDefault="0081003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Arial Unicode MS"/>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CF09E7" w:rsidRDefault="00CF09E7">
    <w:pPr>
      <w:pStyle w:val="Footer"/>
    </w:pPr>
    <w:r>
      <w:rPr>
        <w:noProof/>
        <w:lang w:eastAsia="zh-TW"/>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90413" w14:textId="77777777" w:rsidR="00810037" w:rsidRDefault="00810037" w:rsidP="0066336C">
      <w:pPr>
        <w:spacing w:after="0" w:line="240" w:lineRule="auto"/>
      </w:pPr>
      <w:r>
        <w:separator/>
      </w:r>
    </w:p>
  </w:footnote>
  <w:footnote w:type="continuationSeparator" w:id="0">
    <w:p w14:paraId="1430B51C" w14:textId="77777777" w:rsidR="00810037" w:rsidRDefault="0081003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721"/>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6200"/>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B9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45B38-F9CB-4A56-A560-CABFB3C9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9457</Words>
  <Characters>53906</Characters>
  <Application>Microsoft Office Word</Application>
  <DocSecurity>0</DocSecurity>
  <Lines>449</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2021-11-15T14:30:00Z</dcterms:created>
  <dcterms:modified xsi:type="dcterms:W3CDTF">2021-11-15T19:39:00Z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