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31D69439"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Huawei/HiSilicon, Ericsson, vivo, Spreadtrum,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Pr>
                <w:rFonts w:eastAsia="MS Mincho"/>
                <w:sz w:val="20"/>
                <w:szCs w:val="20"/>
                <w:lang w:eastAsia="ja-JP"/>
              </w:rPr>
              <w:t xml:space="preserve"> </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InterDigital, NEC, Huawei/HiSilicon, QC, Lenovo/</w:t>
      </w:r>
      <w:proofErr w:type="spellStart"/>
      <w:r>
        <w:rPr>
          <w:rFonts w:eastAsia="Microsoft YaHei"/>
          <w:sz w:val="20"/>
          <w:szCs w:val="20"/>
        </w:rPr>
        <w:t>MotM</w:t>
      </w:r>
      <w:proofErr w:type="spellEnd"/>
      <w:r>
        <w:rPr>
          <w:rFonts w:eastAsia="Microsoft YaHei"/>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Concerned by </w:t>
      </w:r>
      <w:proofErr w:type="spellStart"/>
      <w:r>
        <w:rPr>
          <w:rFonts w:eastAsia="Microsoft YaHei"/>
          <w:sz w:val="20"/>
          <w:szCs w:val="20"/>
        </w:rPr>
        <w:t>Futurewei</w:t>
      </w:r>
      <w:proofErr w:type="spellEnd"/>
      <w:r>
        <w:rPr>
          <w:rFonts w:eastAsia="Microsoft YaHei"/>
          <w:sz w:val="20"/>
          <w:szCs w:val="20"/>
        </w:rPr>
        <w:t>,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Since the view from </w:t>
      </w:r>
      <w:proofErr w:type="spellStart"/>
      <w:r>
        <w:rPr>
          <w:rFonts w:eastAsia="Microsoft YaHei"/>
          <w:sz w:val="20"/>
          <w:szCs w:val="20"/>
        </w:rPr>
        <w:t>Futurewei</w:t>
      </w:r>
      <w:proofErr w:type="spellEnd"/>
      <w:r>
        <w:rPr>
          <w:rFonts w:eastAsia="Microsoft YaHei"/>
          <w:sz w:val="20"/>
          <w:szCs w:val="20"/>
        </w:rPr>
        <w:t>,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lastRenderedPageBreak/>
              <w:t>I</w:t>
            </w:r>
            <w:r w:rsidRPr="00491F1C">
              <w:rPr>
                <w:rFonts w:eastAsia="Microsoft YaHei"/>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ListParagraph"/>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r>
              <w:rPr>
                <w:rFonts w:eastAsia="Microsoft YaHei"/>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enhancement to </w:t>
      </w:r>
      <w:r w:rsidR="00C84816">
        <w:rPr>
          <w:rFonts w:eastAsia="Microsoft YaHei"/>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lastRenderedPageBreak/>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proofErr w:type="spellStart"/>
            <w:r w:rsidR="003666A3" w:rsidRPr="00734319">
              <w:rPr>
                <w:rFonts w:eastAsia="Microsoft YaHei"/>
                <w:sz w:val="20"/>
                <w:szCs w:val="20"/>
              </w:rPr>
              <w:t>Futurewei</w:t>
            </w:r>
            <w:proofErr w:type="spellEnd"/>
            <w:r w:rsidR="00373E83" w:rsidRPr="00734319">
              <w:rPr>
                <w:rFonts w:eastAsia="Microsoft YaHei"/>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t>L</w:t>
            </w:r>
            <w:r w:rsidRPr="00404C7F">
              <w:rPr>
                <w:rFonts w:eastAsia="Microsoft YaHei"/>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the enhancement in Table 2-4. </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Microsoft YaHei"/>
                <w:sz w:val="20"/>
                <w:szCs w:val="20"/>
              </w:rPr>
            </w:pPr>
            <w:r>
              <w:rPr>
                <w:rFonts w:eastAsia="Microsoft YaHei"/>
                <w:sz w:val="20"/>
                <w:szCs w:val="20"/>
              </w:rPr>
              <w:t>Support Action 1+2+3 to introduce SRS resource usage sharing in NR to reduce SRS overhead</w:t>
            </w:r>
            <w:r w:rsidR="000A1B97">
              <w:rPr>
                <w:rFonts w:eastAsia="Microsoft YaHei"/>
                <w:sz w:val="20"/>
                <w:szCs w:val="20"/>
              </w:rPr>
              <w:t xml:space="preserve"> when using massive MIMO in TDD deployments. </w:t>
            </w:r>
          </w:p>
        </w:tc>
      </w:tr>
      <w:tr w:rsidR="001F503B" w14:paraId="00E3AF37" w14:textId="77777777" w:rsidTr="00515754">
        <w:tc>
          <w:tcPr>
            <w:tcW w:w="2405" w:type="dxa"/>
          </w:tcPr>
          <w:p w14:paraId="00E3AF35" w14:textId="6A3134FE"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00E3AF36" w14:textId="46313E56" w:rsidR="001F503B" w:rsidRPr="006F57C1" w:rsidRDefault="001F503B" w:rsidP="001F503B">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xml:space="preserve">: Any change on the configured number of Tx antennas in each SRS resource is precluded in either the gNB </w:t>
      </w:r>
      <w:r>
        <w:rPr>
          <w:rFonts w:eastAsia="Microsoft YaHei"/>
          <w:i/>
          <w:sz w:val="20"/>
          <w:szCs w:val="20"/>
        </w:rPr>
        <w:lastRenderedPageBreak/>
        <w:t>indication or UE reporting</w:t>
      </w:r>
    </w:p>
    <w:p w14:paraId="7DE5DA29" w14:textId="532F1FDC" w:rsidR="00F76200" w:rsidRPr="00F76200" w:rsidRDefault="00F76200" w:rsidP="000A30D7">
      <w:pPr>
        <w:pStyle w:val="ListParagraph"/>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Huawei/HiSilicon</w:t>
      </w:r>
    </w:p>
    <w:p w14:paraId="0E75B9D5" w14:textId="0AB28418"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vivo</w:t>
      </w:r>
    </w:p>
    <w:p w14:paraId="5DD8326B" w14:textId="33F87DFA"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No: Samsung, QC, CMCC, </w:t>
      </w:r>
      <w:proofErr w:type="spellStart"/>
      <w:r>
        <w:rPr>
          <w:rFonts w:eastAsia="Microsoft YaHei"/>
          <w:sz w:val="20"/>
          <w:szCs w:val="20"/>
        </w:rPr>
        <w:t>Futurewei</w:t>
      </w:r>
      <w:proofErr w:type="spellEnd"/>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OPPO</w:t>
      </w:r>
    </w:p>
    <w:p w14:paraId="7D823E9E" w14:textId="7993DFD7"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change MAC CE to DCI</w:t>
      </w:r>
    </w:p>
    <w:p w14:paraId="5F05A6C7" w14:textId="4A8C541D" w:rsidR="00732F32" w:rsidRPr="00F76200"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Microsoft YaHei"/>
                <w:sz w:val="20"/>
                <w:szCs w:val="20"/>
              </w:rPr>
            </w:pPr>
            <w:r>
              <w:rPr>
                <w:rFonts w:eastAsia="Microsoft YaHei"/>
                <w:sz w:val="20"/>
                <w:szCs w:val="20"/>
              </w:rPr>
              <w:t xml:space="preserve">We have the same question as DOCOMO. </w:t>
            </w:r>
            <w:r w:rsidR="00396B57">
              <w:rPr>
                <w:rFonts w:eastAsia="Microsoft YaHei"/>
                <w:sz w:val="20"/>
                <w:szCs w:val="20"/>
              </w:rPr>
              <w:t>What does “is not related” mean in Note 2?</w:t>
            </w:r>
            <w:r w:rsidR="00157417">
              <w:rPr>
                <w:rFonts w:eastAsia="Microsoft YaHei"/>
                <w:sz w:val="20"/>
                <w:szCs w:val="20"/>
              </w:rPr>
              <w:t xml:space="preserve"> The whole purpose </w:t>
            </w:r>
            <w:r w:rsidR="00396B57">
              <w:rPr>
                <w:rFonts w:eastAsia="Microsoft YaHei"/>
                <w:sz w:val="20"/>
                <w:szCs w:val="20"/>
              </w:rPr>
              <w:t xml:space="preserve"> </w:t>
            </w:r>
          </w:p>
          <w:p w14:paraId="40A6788B" w14:textId="49541400" w:rsidR="00353B97" w:rsidRDefault="00353B97" w:rsidP="00353B97">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4D6B5386" w14:textId="279CF5BE" w:rsidR="00353B97" w:rsidRDefault="00353B97" w:rsidP="00353B9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r w:rsidR="00E93C41">
              <w:rPr>
                <w:rFonts w:eastAsia="Microsoft YaHei"/>
                <w:sz w:val="20"/>
                <w:szCs w:val="20"/>
              </w:rPr>
              <w:t xml:space="preserve"> (</w:t>
            </w:r>
            <w:r w:rsidR="00AB68D5">
              <w:rPr>
                <w:rFonts w:eastAsia="Microsoft YaHei"/>
                <w:sz w:val="20"/>
                <w:szCs w:val="20"/>
              </w:rPr>
              <w:t>also support</w:t>
            </w:r>
            <w:r w:rsidR="00E93C41">
              <w:rPr>
                <w:rFonts w:eastAsia="Microsoft YaHei"/>
                <w:sz w:val="20"/>
                <w:szCs w:val="20"/>
              </w:rPr>
              <w:t xml:space="preserve"> DCI</w:t>
            </w:r>
            <w:r w:rsidR="00AB68D5">
              <w:rPr>
                <w:rFonts w:eastAsia="Microsoft YaHei"/>
                <w:sz w:val="20"/>
                <w:szCs w:val="20"/>
              </w:rPr>
              <w:t>)</w:t>
            </w:r>
          </w:p>
          <w:p w14:paraId="7A7E967C" w14:textId="73774D42" w:rsidR="00F01704" w:rsidRPr="007F5738" w:rsidRDefault="00D63BBE" w:rsidP="00EF7B47">
            <w:pPr>
              <w:widowControl w:val="0"/>
              <w:snapToGrid w:val="0"/>
              <w:spacing w:before="120" w:after="120" w:line="240" w:lineRule="auto"/>
              <w:rPr>
                <w:rFonts w:eastAsia="Microsoft YaHei"/>
                <w:sz w:val="20"/>
                <w:szCs w:val="20"/>
              </w:rPr>
            </w:pPr>
            <w:r>
              <w:rPr>
                <w:rFonts w:eastAsia="Microsoft YaHei"/>
                <w:sz w:val="20"/>
                <w:szCs w:val="20"/>
              </w:rPr>
              <w:t xml:space="preserve">It should also be noted that the network can ignore the </w:t>
            </w:r>
            <w:r w:rsidR="007F5738">
              <w:rPr>
                <w:rFonts w:eastAsia="Microsoft YaHei"/>
                <w:sz w:val="20"/>
                <w:szCs w:val="20"/>
              </w:rPr>
              <w:t xml:space="preserve">preferred antenna switching reported by the UE.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lastRenderedPageBreak/>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w:t>
            </w:r>
            <w:proofErr w:type="spellStart"/>
            <w:r w:rsidRPr="009E0690">
              <w:rPr>
                <w:rFonts w:eastAsia="Microsoft YaHei"/>
                <w:sz w:val="20"/>
                <w:szCs w:val="20"/>
              </w:rPr>
              <w:t>MotM</w:t>
            </w:r>
            <w:proofErr w:type="spellEnd"/>
            <w:r w:rsidR="00960101">
              <w:rPr>
                <w:rFonts w:eastAsia="Microsoft YaHei"/>
                <w:sz w:val="20"/>
                <w:szCs w:val="20"/>
              </w:rPr>
              <w:t>, Ericsson</w:t>
            </w:r>
            <w:r w:rsidR="00FE1461">
              <w:rPr>
                <w:rFonts w:eastAsia="Microsoft YaHei"/>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OPPO, CMCC</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Support</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40182FFB" w:rsidR="00650BE9" w:rsidRPr="009E0690" w:rsidRDefault="00E91D62"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Pr>
                <w:rFonts w:eastAsia="Microsoft YaHei"/>
                <w:sz w:val="20"/>
                <w:szCs w:val="20"/>
              </w:rPr>
              <w:t xml:space="preserve">, LGE, </w:t>
            </w:r>
            <w:proofErr w:type="spellStart"/>
            <w:r>
              <w:rPr>
                <w:rFonts w:eastAsia="Microsoft YaHei"/>
                <w:sz w:val="20"/>
                <w:szCs w:val="20"/>
              </w:rPr>
              <w:t>Futurewei</w:t>
            </w:r>
            <w:proofErr w:type="spellEnd"/>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E91D62">
              <w:rPr>
                <w:rFonts w:eastAsia="Microsoft YaHei"/>
                <w:sz w:val="20"/>
                <w:szCs w:val="20"/>
              </w:rPr>
              <w:t xml:space="preserve">, </w:t>
            </w:r>
            <w:proofErr w:type="spellStart"/>
            <w:r w:rsidR="00E91D62">
              <w:rPr>
                <w:rFonts w:eastAsia="Microsoft YaHei"/>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Support Alt 1-1 to make NR</w:t>
            </w:r>
            <w:r w:rsidR="00465EBA">
              <w:rPr>
                <w:rFonts w:eastAsia="Microsoft YaHei"/>
                <w:sz w:val="20"/>
                <w:szCs w:val="20"/>
              </w:rPr>
              <w:t xml:space="preserve"> AS</w:t>
            </w:r>
            <w:r>
              <w:rPr>
                <w:rFonts w:eastAsia="Microsoft YaHei"/>
                <w:sz w:val="20"/>
                <w:szCs w:val="20"/>
              </w:rPr>
              <w:t xml:space="preserve"> </w:t>
            </w:r>
            <w:proofErr w:type="spellStart"/>
            <w:r>
              <w:rPr>
                <w:rFonts w:eastAsia="Microsoft YaHei"/>
                <w:sz w:val="20"/>
                <w:szCs w:val="20"/>
              </w:rPr>
              <w:t>as</w:t>
            </w:r>
            <w:proofErr w:type="spellEnd"/>
            <w:r>
              <w:rPr>
                <w:rFonts w:eastAsia="Microsoft YaHei"/>
                <w:sz w:val="20"/>
                <w:szCs w:val="20"/>
              </w:rPr>
              <w:t xml:space="preserve"> </w:t>
            </w:r>
            <w:r w:rsidR="00465EBA">
              <w:rPr>
                <w:rFonts w:eastAsia="Microsoft YaHei"/>
                <w:sz w:val="20"/>
                <w:szCs w:val="20"/>
              </w:rPr>
              <w:t xml:space="preserve">flexible as LTE AS.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lastRenderedPageBreak/>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r w:rsidR="0037139F" w:rsidRPr="00255B51">
              <w:rPr>
                <w:rFonts w:eastAsia="Microsoft YaHei"/>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w:t>
            </w:r>
            <w:r w:rsidR="00213270">
              <w:rPr>
                <w:rFonts w:eastAsia="Microsoft YaHei"/>
                <w:sz w:val="20"/>
                <w:szCs w:val="20"/>
                <w:lang w:val="de-DE"/>
              </w:rPr>
              <w:t>Qualcomm</w:t>
            </w:r>
            <w:r>
              <w:rPr>
                <w:rFonts w:eastAsia="Microsoft YaHei"/>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The UE is configured  with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(2nd),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TableGrid"/>
        <w:tblW w:w="0" w:type="auto"/>
        <w:jc w:val="center"/>
        <w:tblLook w:val="04A0" w:firstRow="1" w:lastRow="0" w:firstColumn="1" w:lastColumn="0" w:noHBand="0" w:noVBand="1"/>
      </w:tblPr>
      <w:tblGrid>
        <w:gridCol w:w="6190"/>
        <w:gridCol w:w="3160"/>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t>Alt 2-1: 2 + 2 + 2</w:t>
            </w:r>
          </w:p>
          <w:p w14:paraId="33D0EF97"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1st  and the 2nd transmission, and 1 guard symbol exists between the 2nd and 3rd 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t xml:space="preserve">CMCC (1st), Nokia/NSB, InterDigital, Huawei/HiSilicon, Ericsson, </w:t>
            </w:r>
            <w:proofErr w:type="spellStart"/>
            <w:r w:rsidRPr="000D023D">
              <w:rPr>
                <w:rFonts w:eastAsia="Microsoft YaHei"/>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gNB can configure one of the following two configurations to UE subject to UE’s capability</w:t>
      </w:r>
    </w:p>
    <w:p w14:paraId="180E63AF" w14:textId="2142DC9B" w:rsid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SCS=120 KHz: No guard symbols exist between the 1st  and the 2nd transmission, and 1 guard symbol exists between the 2nd and 3rd transmission</w:t>
      </w:r>
    </w:p>
    <w:p w14:paraId="5282B25C" w14:textId="07C5CB12" w:rsidR="009C435E" w:rsidRPr="00BF2D1B" w:rsidRDefault="009C435E" w:rsidP="00BF2D1B">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We are generally supportive of such compromised direction, but isn’t it RAN4’s </w:t>
            </w:r>
            <w:r>
              <w:rPr>
                <w:rFonts w:eastAsia="MS Mincho"/>
                <w:sz w:val="20"/>
                <w:szCs w:val="20"/>
                <w:lang w:eastAsia="ja-JP"/>
              </w:rPr>
              <w:lastRenderedPageBreak/>
              <w:t>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lastRenderedPageBreak/>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to  support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mc:AlternateContent>
                  <mc:Choice Requires="w16se">
                    <w:rFonts w:eastAsia="MS Mincho"/>
                  </mc:Choice>
                  <mc:Fallback>
                    <w:rFonts w:ascii="Segoe UI Emoji" w:eastAsia="Segoe UI Emoji" w:hAnsi="Segoe UI Emoji" w:cs="Segoe UI Emoji"/>
                  </mc:Fallback>
                </mc:AlternateContent>
                <w:sz w:val="20"/>
                <w:szCs w:val="20"/>
                <w:lang w:eastAsia="ja-JP"/>
              </w:rPr>
              <mc:AlternateContent>
                <mc:Choice Requires="w16se">
                  <w16se:symEx w16se:font="Segoe UI Emoji" w16se:char="1F609"/>
                </mc:Choice>
                <mc:Fallback>
                  <w:t>😉</w:t>
                </mc:Fallback>
              </mc:AlternateConten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w:t>
            </w:r>
            <w:r w:rsidR="005D2C48">
              <w:rPr>
                <w:rFonts w:eastAsia="MS Mincho"/>
                <w:sz w:val="20"/>
                <w:szCs w:val="20"/>
                <w:lang w:eastAsia="ja-JP"/>
              </w:rPr>
              <w:lastRenderedPageBreak/>
              <w:t xml:space="preserve">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Consider multi-panel </w:t>
            </w:r>
            <w:proofErr w:type="spellStart"/>
            <w:r w:rsidRPr="000251D7">
              <w:rPr>
                <w:rFonts w:eastAsia="Microsoft YaHei"/>
                <w:sz w:val="20"/>
                <w:szCs w:val="20"/>
                <w:lang w:val="en-GB"/>
              </w:rPr>
              <w:t>U</w:t>
            </w:r>
            <w:r w:rsidR="00D55937" w:rsidRPr="000251D7">
              <w:rPr>
                <w:rFonts w:eastAsia="Microsoft YaHei"/>
                <w:sz w:val="20"/>
                <w:szCs w:val="20"/>
                <w:lang w:val="en-GB"/>
              </w:rPr>
              <w:t>e</w:t>
            </w:r>
            <w:r w:rsidRPr="000251D7">
              <w:rPr>
                <w:rFonts w:eastAsia="Microsoft YaHei"/>
                <w:sz w:val="20"/>
                <w:szCs w:val="20"/>
                <w:lang w:val="en-GB"/>
              </w:rPr>
              <w:t>s</w:t>
            </w:r>
            <w:proofErr w:type="spellEnd"/>
            <w:r w:rsidRPr="000251D7">
              <w:rPr>
                <w:rFonts w:eastAsia="Microsoft YaHei"/>
                <w:sz w:val="20"/>
                <w:szCs w:val="20"/>
                <w:lang w:val="en-GB"/>
              </w:rPr>
              <w:t xml:space="preserve">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Spreadtrum</w:t>
      </w:r>
      <w:proofErr w:type="spellEnd"/>
      <w:r>
        <w:rPr>
          <w:rFonts w:eastAsia="Microsoft YaHei"/>
          <w:sz w:val="20"/>
          <w:szCs w:val="20"/>
        </w:rPr>
        <w:t>, Xiaomi, Nokia/NSB, Apple</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 xml:space="preserve">Add more P_F values: </w:t>
      </w:r>
      <w:proofErr w:type="spellStart"/>
      <w:r>
        <w:rPr>
          <w:rFonts w:eastAsia="Microsoft YaHei"/>
          <w:sz w:val="20"/>
          <w:szCs w:val="20"/>
        </w:rPr>
        <w:t>Futurewei</w:t>
      </w:r>
      <w:proofErr w:type="spellEnd"/>
      <w:r>
        <w:rPr>
          <w:rFonts w:eastAsia="Microsoft YaHei"/>
          <w:sz w:val="20"/>
          <w:szCs w:val="20"/>
        </w:rPr>
        <w:t>, Huawei/HiSilicon,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521FB2" w14:textId="63807C1F" w:rsidR="00FA6A0F" w:rsidRDefault="000E1F45" w:rsidP="00FA6A0F">
            <w:pPr>
              <w:widowControl w:val="0"/>
              <w:snapToGrid w:val="0"/>
              <w:spacing w:before="120" w:after="120" w:line="240" w:lineRule="auto"/>
              <w:rPr>
                <w:rFonts w:eastAsia="Microsoft YaHei"/>
                <w:sz w:val="20"/>
                <w:szCs w:val="20"/>
              </w:rPr>
            </w:pPr>
            <w:r>
              <w:rPr>
                <w:rFonts w:eastAsia="Microsoft YaHei"/>
                <w:sz w:val="20"/>
                <w:szCs w:val="20"/>
              </w:rPr>
              <w:t>OK</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lastRenderedPageBreak/>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r w:rsidR="00385C9F">
              <w:rPr>
                <w:rFonts w:eastAsia="Microsoft YaHei"/>
                <w:sz w:val="20"/>
                <w:szCs w:val="20"/>
              </w:rPr>
              <w:t>, Futurewei,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r w:rsidR="00826DD0">
              <w:rPr>
                <w:rFonts w:eastAsia="Microsoft YaHei"/>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 xml:space="preserve">NTT DCM, Huawei/HiSilicon, vivo, </w:t>
            </w:r>
            <w:r w:rsidRPr="002966BC">
              <w:rPr>
                <w:rFonts w:eastAsia="Microsoft YaHei"/>
                <w:sz w:val="20"/>
                <w:szCs w:val="20"/>
                <w:lang w:val="fi-FI"/>
              </w:rPr>
              <w:lastRenderedPageBreak/>
              <w:t>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1F503B" w14:paraId="6AA2AD82" w14:textId="77777777" w:rsidTr="00B41E32">
        <w:tc>
          <w:tcPr>
            <w:tcW w:w="2405" w:type="dxa"/>
          </w:tcPr>
          <w:p w14:paraId="1A6E56E8" w14:textId="40FD0D54" w:rsidR="001F503B" w:rsidRDefault="001F503B" w:rsidP="001F503B">
            <w:pPr>
              <w:widowControl w:val="0"/>
              <w:snapToGrid w:val="0"/>
              <w:spacing w:before="120" w:after="120" w:line="240" w:lineRule="auto"/>
              <w:rPr>
                <w:rFonts w:eastAsia="Microsoft YaHei"/>
                <w:sz w:val="20"/>
                <w:szCs w:val="20"/>
              </w:rPr>
            </w:pPr>
          </w:p>
        </w:tc>
        <w:tc>
          <w:tcPr>
            <w:tcW w:w="6945" w:type="dxa"/>
          </w:tcPr>
          <w:p w14:paraId="1608CCBA" w14:textId="02D16D6C" w:rsidR="001F503B" w:rsidRPr="00FA6A0F" w:rsidRDefault="001F503B" w:rsidP="001F503B">
            <w:pPr>
              <w:widowControl w:val="0"/>
              <w:snapToGrid w:val="0"/>
              <w:spacing w:before="120" w:after="120" w:line="240" w:lineRule="auto"/>
              <w:rPr>
                <w:rFonts w:eastAsia="Microsoft YaHei"/>
                <w:sz w:val="20"/>
                <w:szCs w:val="20"/>
                <w:highlight w:val="yellow"/>
              </w:rPr>
            </w:pPr>
          </w:p>
        </w:tc>
      </w:tr>
      <w:tr w:rsidR="009F6BFD" w14:paraId="57622ABE" w14:textId="77777777" w:rsidTr="00B41E32">
        <w:tc>
          <w:tcPr>
            <w:tcW w:w="2405" w:type="dxa"/>
          </w:tcPr>
          <w:p w14:paraId="7DE743AE" w14:textId="05D64EE2" w:rsidR="009F6BFD" w:rsidRDefault="009F6BFD" w:rsidP="009F6BFD">
            <w:pPr>
              <w:widowControl w:val="0"/>
              <w:snapToGrid w:val="0"/>
              <w:spacing w:before="120" w:after="120" w:line="240" w:lineRule="auto"/>
              <w:rPr>
                <w:rFonts w:eastAsia="Microsoft YaHei"/>
                <w:sz w:val="20"/>
                <w:szCs w:val="20"/>
              </w:rPr>
            </w:pPr>
          </w:p>
        </w:tc>
        <w:tc>
          <w:tcPr>
            <w:tcW w:w="6945" w:type="dxa"/>
          </w:tcPr>
          <w:p w14:paraId="2C1C5E80" w14:textId="62EEFFC0" w:rsidR="009F6BFD" w:rsidRDefault="009F6BFD" w:rsidP="009F6BFD">
            <w:pPr>
              <w:widowControl w:val="0"/>
              <w:snapToGrid w:val="0"/>
              <w:spacing w:before="120" w:after="120" w:line="240" w:lineRule="auto"/>
              <w:rPr>
                <w:rFonts w:eastAsia="Microsoft YaHei"/>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Huawei/HiSilicon</w:t>
            </w:r>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r w:rsidR="002D5A3B">
              <w:rPr>
                <w:rFonts w:eastAsia="Microsoft YaHei"/>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lastRenderedPageBreak/>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Lenovo/MotM, CATT</w:t>
            </w:r>
            <w:r w:rsidR="006B168B" w:rsidRPr="00AA2902">
              <w:rPr>
                <w:rFonts w:eastAsia="Microsoft YaHei"/>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Lenovo/MotM, CATT, LG</w:t>
            </w:r>
            <w:r w:rsidR="00912A25" w:rsidRPr="00AA2902">
              <w:rPr>
                <w:rFonts w:eastAsia="Microsoft YaHei"/>
                <w:sz w:val="20"/>
                <w:szCs w:val="20"/>
              </w:rPr>
              <w:t>, Futurewei</w:t>
            </w:r>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Huawei/HiSilicon</w:t>
      </w:r>
      <w:r>
        <w:rPr>
          <w:rFonts w:eastAsia="Microsoft YaHei"/>
          <w:sz w:val="20"/>
          <w:szCs w:val="20"/>
        </w:rPr>
        <w:t xml:space="preserve">, </w:t>
      </w: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r>
        <w:rPr>
          <w:rFonts w:eastAsia="Microsoft YaHei"/>
          <w:sz w:val="20"/>
          <w:szCs w:val="20"/>
        </w:rPr>
        <w:t xml:space="preserve">, MediaTek, NTT DOCOMO, Intel, OPPO, </w:t>
      </w:r>
      <w:proofErr w:type="spellStart"/>
      <w:r>
        <w:rPr>
          <w:rFonts w:eastAsia="Microsoft YaHei"/>
          <w:sz w:val="20"/>
          <w:szCs w:val="20"/>
        </w:rPr>
        <w:t>Futurewei</w:t>
      </w:r>
      <w:proofErr w:type="spellEnd"/>
      <w:r>
        <w:rPr>
          <w:rFonts w:eastAsia="Microsoft YaHei"/>
          <w:sz w:val="20"/>
          <w:szCs w:val="20"/>
        </w:rPr>
        <w:t>,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lastRenderedPageBreak/>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 xml:space="preserve">Samsung, Huawei/HiSilicon,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5FF67137" w14:textId="77777777" w:rsidR="001B0B46" w:rsidRDefault="001B0B46">
      <w:pPr>
        <w:widowControl w:val="0"/>
        <w:snapToGrid w:val="0"/>
        <w:spacing w:before="120" w:after="120" w:line="240" w:lineRule="auto"/>
        <w:jc w:val="both"/>
        <w:rPr>
          <w:rFonts w:eastAsia="Microsoft YaHei"/>
          <w:sz w:val="20"/>
          <w:szCs w:val="20"/>
        </w:rPr>
      </w:pPr>
    </w:p>
    <w:p w14:paraId="0C623455" w14:textId="77777777" w:rsidR="001B0B46" w:rsidRDefault="001B0B46">
      <w:pPr>
        <w:widowControl w:val="0"/>
        <w:snapToGrid w:val="0"/>
        <w:spacing w:before="120" w:after="120" w:line="240" w:lineRule="auto"/>
        <w:jc w:val="both"/>
        <w:rPr>
          <w:rFonts w:eastAsia="Microsoft YaHei"/>
          <w:sz w:val="20"/>
          <w:szCs w:val="20"/>
        </w:rPr>
      </w:pPr>
    </w:p>
    <w:p w14:paraId="2E7E6331" w14:textId="77777777" w:rsidR="001B0B46" w:rsidRDefault="001B0B46">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D82115"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D82115"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D82115"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D82115"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D82115"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D82115"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D82115"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D82115"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D82115"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D82115"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D82115"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D82115"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D82115"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D82115"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D82115"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D82115"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D82115"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D82115"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D82115"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D82115"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D82115"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73216" w14:textId="77777777" w:rsidR="00D82115" w:rsidRDefault="00D82115" w:rsidP="0066336C">
      <w:pPr>
        <w:spacing w:after="0" w:line="240" w:lineRule="auto"/>
      </w:pPr>
      <w:r>
        <w:separator/>
      </w:r>
    </w:p>
  </w:endnote>
  <w:endnote w:type="continuationSeparator" w:id="0">
    <w:p w14:paraId="50951E34" w14:textId="77777777" w:rsidR="00D82115" w:rsidRDefault="00D8211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3AE2" w14:textId="1631514D" w:rsidR="00CF09E7" w:rsidRDefault="00CF09E7">
    <w:pPr>
      <w:pStyle w:val="Footer"/>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C70AB" w14:textId="77777777" w:rsidR="00D82115" w:rsidRDefault="00D82115" w:rsidP="0066336C">
      <w:pPr>
        <w:spacing w:after="0" w:line="240" w:lineRule="auto"/>
      </w:pPr>
      <w:r>
        <w:separator/>
      </w:r>
    </w:p>
  </w:footnote>
  <w:footnote w:type="continuationSeparator" w:id="0">
    <w:p w14:paraId="309AC6D9" w14:textId="77777777" w:rsidR="00D82115" w:rsidRDefault="00D8211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4"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5"/>
  </w:num>
  <w:num w:numId="2">
    <w:abstractNumId w:val="7"/>
  </w:num>
  <w:num w:numId="3">
    <w:abstractNumId w:val="0"/>
  </w:num>
  <w:num w:numId="4">
    <w:abstractNumId w:val="12"/>
  </w:num>
  <w:num w:numId="5">
    <w:abstractNumId w:val="15"/>
  </w:num>
  <w:num w:numId="6">
    <w:abstractNumId w:val="2"/>
  </w:num>
  <w:num w:numId="7">
    <w:abstractNumId w:val="1"/>
  </w:num>
  <w:num w:numId="8">
    <w:abstractNumId w:val="22"/>
  </w:num>
  <w:num w:numId="9">
    <w:abstractNumId w:val="9"/>
  </w:num>
  <w:num w:numId="10">
    <w:abstractNumId w:val="5"/>
  </w:num>
  <w:num w:numId="11">
    <w:abstractNumId w:val="13"/>
  </w:num>
  <w:num w:numId="12">
    <w:abstractNumId w:val="19"/>
  </w:num>
  <w:num w:numId="13">
    <w:abstractNumId w:val="17"/>
  </w:num>
  <w:num w:numId="14">
    <w:abstractNumId w:val="20"/>
  </w:num>
  <w:num w:numId="15">
    <w:abstractNumId w:val="11"/>
  </w:num>
  <w:num w:numId="16">
    <w:abstractNumId w:val="18"/>
  </w:num>
  <w:num w:numId="17">
    <w:abstractNumId w:val="16"/>
  </w:num>
  <w:num w:numId="18">
    <w:abstractNumId w:val="8"/>
  </w:num>
  <w:num w:numId="19">
    <w:abstractNumId w:val="10"/>
  </w:num>
  <w:num w:numId="20">
    <w:abstractNumId w:val="4"/>
  </w:num>
  <w:num w:numId="21">
    <w:abstractNumId w:val="14"/>
  </w:num>
  <w:num w:numId="22">
    <w:abstractNumId w:val="24"/>
  </w:num>
  <w:num w:numId="23">
    <w:abstractNumId w:val="3"/>
  </w:num>
  <w:num w:numId="24">
    <w:abstractNumId w:val="21"/>
  </w:num>
  <w:num w:numId="25">
    <w:abstractNumId w:val="23"/>
  </w:num>
  <w:num w:numId="26">
    <w:abstractNumId w:val="6"/>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426"/>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551"/>
    <w:rsid w:val="009B4F15"/>
    <w:rsid w:val="009B521E"/>
    <w:rsid w:val="009B5507"/>
    <w:rsid w:val="009B5522"/>
    <w:rsid w:val="009B5EEF"/>
    <w:rsid w:val="009B7BA5"/>
    <w:rsid w:val="009C16E7"/>
    <w:rsid w:val="009C240F"/>
    <w:rsid w:val="009C2890"/>
    <w:rsid w:val="009C3616"/>
    <w:rsid w:val="009C3717"/>
    <w:rsid w:val="009C435E"/>
    <w:rsid w:val="009C61EB"/>
    <w:rsid w:val="009C69F7"/>
    <w:rsid w:val="009C7884"/>
    <w:rsid w:val="009C78D7"/>
    <w:rsid w:val="009D1085"/>
    <w:rsid w:val="009D187A"/>
    <w:rsid w:val="009D1E7C"/>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63F"/>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6200"/>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9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32B3C-DF5C-45C5-A587-4450FAF8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8550</Words>
  <Characters>48735</Characters>
  <Application>Microsoft Office Word</Application>
  <DocSecurity>0</DocSecurity>
  <Lines>406</Lines>
  <Paragraphs>114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57171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2021-11-15T10:38:00Z</dcterms:created>
  <dcterms:modified xsi:type="dcterms:W3CDTF">2021-11-15T11:15:00Z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