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6C384886"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7430D1"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w:t>
            </w:r>
            <w:r w:rsidR="001A6D1C">
              <w:rPr>
                <w:rFonts w:eastAsia="Malgun Gothic"/>
                <w:sz w:val="18"/>
                <w:szCs w:val="18"/>
                <w:lang w:eastAsia="zh-TW"/>
              </w:rPr>
              <w:t xml:space="preserve">can </w:t>
            </w:r>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p>
          <w:p w14:paraId="7CBCF435" w14:textId="36F36DFA" w:rsidR="00344ADC" w:rsidRPr="009431AD" w:rsidRDefault="009A2FAF"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471EAD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578256D2" w14:textId="77777777" w:rsidR="00344ADC" w:rsidRPr="00227CD5" w:rsidRDefault="00344ADC" w:rsidP="00227CD5">
            <w:pPr>
              <w:tabs>
                <w:tab w:val="left" w:pos="2715"/>
              </w:tabs>
              <w:snapToGrid w:val="0"/>
              <w:rPr>
                <w:i/>
                <w:sz w:val="18"/>
                <w:szCs w:val="18"/>
                <w:lang w:val="en-GB"/>
              </w:rPr>
            </w:pPr>
          </w:p>
          <w:p w14:paraId="051BCC39" w14:textId="5AC7825C"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[NTT Docomo] </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7080BD24"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04013FB0"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713EBB03"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497BBC2F"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2AEF35DC"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77777777"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Joint and separate DL/UL TCI:</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7777777"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p>
          <w:p w14:paraId="7C25EFBE" w14:textId="77777777"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644190F5" w:rsidR="00F972F4" w:rsidRPr="00EB7250"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4F139176" w14:textId="7F3500F0" w:rsidR="0087219B"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rFonts w:hint="eastAsia"/>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rFonts w:hint="eastAsia"/>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1CB60C2"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C509CC"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424BBE01" w:rsidR="00AC2CE2" w:rsidRPr="00AE13B9" w:rsidRDefault="00AC2CE2" w:rsidP="006C117E">
            <w:pPr>
              <w:snapToGrid w:val="0"/>
              <w:rPr>
                <w:rFonts w:eastAsia="宋体"/>
                <w:sz w:val="18"/>
                <w:szCs w:val="18"/>
                <w:lang w:eastAsia="zh-CN"/>
              </w:rPr>
            </w:pPr>
          </w:p>
        </w:tc>
      </w:tr>
      <w:tr w:rsidR="00437EF5"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161AAA9B"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437EF5" w:rsidRPr="00914A9B" w:rsidRDefault="00437EF5" w:rsidP="00437EF5">
            <w:pPr>
              <w:snapToGrid w:val="0"/>
              <w:rPr>
                <w:rFonts w:eastAsia="宋体"/>
                <w:sz w:val="18"/>
                <w:szCs w:val="18"/>
                <w:lang w:eastAsia="zh-CN"/>
              </w:rPr>
            </w:pPr>
          </w:p>
        </w:tc>
      </w:tr>
      <w:tr w:rsidR="00966B34"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966B34" w:rsidRDefault="00966B34" w:rsidP="00966B34">
            <w:pPr>
              <w:snapToGrid w:val="0"/>
              <w:rPr>
                <w:rFonts w:eastAsia="宋体"/>
                <w:sz w:val="18"/>
                <w:szCs w:val="18"/>
                <w:lang w:eastAsia="zh-CN"/>
              </w:rPr>
            </w:pPr>
          </w:p>
        </w:tc>
      </w:tr>
      <w:tr w:rsidR="00966B34"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966B34" w:rsidRDefault="00966B34" w:rsidP="003644AA">
            <w:pPr>
              <w:snapToGrid w:val="0"/>
              <w:rPr>
                <w:rFonts w:eastAsia="宋体"/>
                <w:sz w:val="18"/>
                <w:szCs w:val="18"/>
                <w:lang w:eastAsia="zh-CN"/>
              </w:rPr>
            </w:pPr>
          </w:p>
        </w:tc>
      </w:tr>
      <w:tr w:rsidR="00F55663"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55663" w:rsidRPr="00450D5C" w:rsidRDefault="00F55663" w:rsidP="00F55663">
            <w:pPr>
              <w:snapToGrid w:val="0"/>
              <w:rPr>
                <w:rFonts w:eastAsia="宋体"/>
                <w:b/>
                <w:sz w:val="18"/>
                <w:szCs w:val="18"/>
                <w:lang w:eastAsia="zh-CN"/>
              </w:rPr>
            </w:pPr>
          </w:p>
        </w:tc>
      </w:tr>
      <w:tr w:rsidR="001F574A"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1F574A" w:rsidRDefault="001F574A" w:rsidP="001F574A">
            <w:pPr>
              <w:snapToGrid w:val="0"/>
              <w:rPr>
                <w:rFonts w:eastAsia="宋体"/>
                <w:sz w:val="18"/>
                <w:szCs w:val="18"/>
                <w:lang w:eastAsia="zh-CN"/>
              </w:rPr>
            </w:pPr>
          </w:p>
        </w:tc>
      </w:tr>
      <w:tr w:rsidR="00BF035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BF0357" w:rsidRDefault="00BF0357" w:rsidP="00BF0357">
            <w:pPr>
              <w:snapToGrid w:val="0"/>
              <w:rPr>
                <w:sz w:val="18"/>
                <w:szCs w:val="18"/>
                <w:lang w:eastAsia="zh-CN"/>
              </w:rPr>
            </w:pPr>
          </w:p>
        </w:tc>
      </w:tr>
      <w:tr w:rsidR="00297886"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p>
          <w:p w14:paraId="364928C8" w14:textId="3DBE8F18"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D6C30CB"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p>
          <w:p w14:paraId="1A0E8E1F" w14:textId="094F5C18"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宋体"/>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4CA969F4" w14:textId="77777777" w:rsidR="006955DA" w:rsidRDefault="006955DA" w:rsidP="00C45DD1">
            <w:pPr>
              <w:pStyle w:val="af0"/>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0"/>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0"/>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0"/>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77777777" w:rsidR="006955DA" w:rsidRPr="00F602E2" w:rsidRDefault="006955DA" w:rsidP="006955DA">
            <w:pPr>
              <w:snapToGrid w:val="0"/>
              <w:rPr>
                <w:b/>
                <w:sz w:val="18"/>
                <w:szCs w:val="18"/>
                <w:lang w:val="sv-SE"/>
              </w:rPr>
            </w:pPr>
            <w:r w:rsidRPr="00F602E2">
              <w:rPr>
                <w:b/>
                <w:sz w:val="18"/>
                <w:szCs w:val="18"/>
                <w:lang w:val="sv-SE"/>
              </w:rPr>
              <w:t xml:space="preserve">Alt2: </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3AB3EEC7"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rFonts w:hint="eastAsia"/>
                <w:bCs/>
                <w:sz w:val="18"/>
                <w:szCs w:val="18"/>
                <w:lang w:val="en-GB" w:eastAsia="zh-CN"/>
              </w:rPr>
            </w:pPr>
            <w:bookmarkStart w:id="2" w:name="_GoBack"/>
            <w:bookmarkEnd w:id="2"/>
            <w:r w:rsidRPr="008B054F">
              <w:rPr>
                <w:bCs/>
                <w:sz w:val="18"/>
                <w:szCs w:val="18"/>
                <w:highlight w:val="yellow"/>
                <w:lang w:val="en-GB" w:eastAsia="zh-CN"/>
              </w:rPr>
              <w:t>“</w:t>
            </w: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r w:rsidRPr="008B054F">
              <w:rPr>
                <w:bCs/>
                <w:sz w:val="18"/>
                <w:szCs w:val="18"/>
                <w:highlight w:val="yellow"/>
                <w:lang w:val="en-GB" w:eastAsia="zh-CN"/>
              </w:rPr>
              <w:t>”</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28A98F08"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C501E5B" w:rsidR="00BF0357" w:rsidRPr="00E7069E" w:rsidRDefault="00BF0357" w:rsidP="00966B34">
            <w:pPr>
              <w:snapToGrid w:val="0"/>
              <w:rPr>
                <w:b/>
                <w:sz w:val="18"/>
                <w:szCs w:val="18"/>
                <w:u w:val="single"/>
              </w:rPr>
            </w:pP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0BE0F70F"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8E66185" w:rsidR="00966B34" w:rsidRPr="0085692A" w:rsidRDefault="00966B34" w:rsidP="00966B34">
            <w:pPr>
              <w:snapToGrid w:val="0"/>
              <w:rPr>
                <w:rStyle w:val="normaltextrun"/>
                <w:rFonts w:eastAsiaTheme="minorEastAsia"/>
                <w:color w:val="000000" w:themeColor="text1"/>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5072A30F" w:rsidR="00966B34" w:rsidRPr="00E77B01" w:rsidRDefault="00966B34" w:rsidP="0085692A">
            <w:pPr>
              <w:snapToGrid w:val="0"/>
              <w:rPr>
                <w:rFonts w:eastAsia="MS Mincho"/>
                <w:bCs/>
                <w:sz w:val="18"/>
                <w:szCs w:val="18"/>
                <w:lang w:eastAsia="ja-JP"/>
              </w:rPr>
            </w:pPr>
          </w:p>
        </w:tc>
      </w:tr>
      <w:tr w:rsidR="00B873D3"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B873D3" w:rsidRDefault="00B873D3" w:rsidP="00B873D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B873D3" w:rsidRDefault="00B873D3" w:rsidP="00B873D3">
            <w:pPr>
              <w:snapToGrid w:val="0"/>
              <w:rPr>
                <w:rFonts w:eastAsia="MS Mincho"/>
                <w:bCs/>
                <w:sz w:val="18"/>
                <w:szCs w:val="18"/>
                <w:lang w:eastAsia="ja-JP"/>
              </w:rPr>
            </w:pPr>
          </w:p>
        </w:tc>
      </w:tr>
      <w:tr w:rsidR="00DC3233"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DC3233" w:rsidRDefault="00DC3233" w:rsidP="00DC323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DC3233" w:rsidRDefault="00DC3233" w:rsidP="00DC3233">
            <w:pPr>
              <w:snapToGrid w:val="0"/>
              <w:rPr>
                <w:rFonts w:eastAsia="MS Mincho"/>
                <w:bCs/>
                <w:sz w:val="18"/>
                <w:szCs w:val="18"/>
                <w:lang w:eastAsia="ja-JP"/>
              </w:rPr>
            </w:pPr>
          </w:p>
        </w:tc>
      </w:tr>
      <w:tr w:rsidR="002441FD"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2441FD" w:rsidRDefault="002441FD" w:rsidP="002441FD">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2441FD" w:rsidRDefault="002441FD" w:rsidP="002441FD">
            <w:pPr>
              <w:snapToGrid w:val="0"/>
              <w:rPr>
                <w:rFonts w:eastAsia="MS Mincho"/>
                <w:b/>
                <w:sz w:val="18"/>
                <w:szCs w:val="18"/>
                <w:lang w:eastAsia="ja-JP"/>
              </w:rPr>
            </w:pPr>
          </w:p>
        </w:tc>
      </w:tr>
      <w:tr w:rsidR="00C83FF0"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C83FF0" w:rsidRPr="0091745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C83FF0" w:rsidRPr="00696534" w:rsidRDefault="00C83FF0" w:rsidP="00C83FF0">
            <w:pPr>
              <w:snapToGrid w:val="0"/>
              <w:rPr>
                <w:b/>
                <w:sz w:val="18"/>
                <w:szCs w:val="18"/>
              </w:rPr>
            </w:pPr>
          </w:p>
        </w:tc>
      </w:tr>
      <w:tr w:rsidR="00C83FF0"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C83FF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C83FF0" w:rsidRDefault="00C83FF0" w:rsidP="00C83FF0">
            <w:pPr>
              <w:snapToGrid w:val="0"/>
              <w:rPr>
                <w:rFonts w:eastAsia="MS Mincho"/>
                <w:bCs/>
                <w:sz w:val="18"/>
                <w:szCs w:val="18"/>
                <w:lang w:eastAsia="ja-JP"/>
              </w:rPr>
            </w:pPr>
          </w:p>
        </w:tc>
      </w:tr>
      <w:tr w:rsidR="00BC196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BC1967" w:rsidRDefault="00BC196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2C1EEC" w:rsidRPr="00BC1967" w:rsidRDefault="002C1EEC" w:rsidP="00C83FF0">
            <w:pPr>
              <w:snapToGrid w:val="0"/>
              <w:rPr>
                <w:rFonts w:eastAsia="MS Mincho"/>
                <w:bCs/>
                <w:color w:val="000000" w:themeColor="text1"/>
                <w:sz w:val="18"/>
                <w:szCs w:val="18"/>
                <w:lang w:eastAsia="ja-JP"/>
              </w:rPr>
            </w:pPr>
          </w:p>
        </w:tc>
      </w:tr>
      <w:tr w:rsidR="007D2B1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7D2B17" w:rsidRDefault="007D2B1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A007E2" w:rsidRPr="00BC1967" w:rsidRDefault="00A007E2" w:rsidP="00C83FF0">
            <w:pPr>
              <w:snapToGrid w:val="0"/>
              <w:rPr>
                <w:rFonts w:eastAsia="MS Mincho"/>
                <w:bCs/>
                <w:color w:val="000000" w:themeColor="text1"/>
                <w:sz w:val="18"/>
                <w:szCs w:val="18"/>
                <w:lang w:eastAsia="ja-JP"/>
              </w:rPr>
            </w:pPr>
          </w:p>
        </w:tc>
      </w:tr>
      <w:tr w:rsidR="00B94558"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B94558" w:rsidRDefault="00B94558"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BA2424" w:rsidRDefault="00BA2424" w:rsidP="00BA242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BA2424" w:rsidRDefault="00BA2424" w:rsidP="00BA2424">
            <w:pPr>
              <w:snapToGrid w:val="0"/>
              <w:rPr>
                <w:rFonts w:eastAsia="MS Mincho"/>
                <w:bCs/>
                <w:color w:val="000000" w:themeColor="text1"/>
                <w:sz w:val="18"/>
                <w:szCs w:val="18"/>
                <w:lang w:eastAsia="ja-JP"/>
              </w:rPr>
            </w:pPr>
          </w:p>
        </w:tc>
      </w:tr>
      <w:tr w:rsidR="007701E9"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7701E9" w:rsidRDefault="007701E9"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32B55" w:rsidRDefault="00E32B55" w:rsidP="00140009">
            <w:pPr>
              <w:tabs>
                <w:tab w:val="left" w:pos="2880"/>
              </w:tabs>
              <w:snapToGrid w:val="0"/>
              <w:rPr>
                <w:rFonts w:eastAsiaTheme="minorEastAsia"/>
                <w:color w:val="000000" w:themeColor="text1"/>
                <w:sz w:val="18"/>
                <w:szCs w:val="18"/>
                <w:lang w:eastAsia="zh-CN"/>
              </w:rPr>
            </w:pPr>
          </w:p>
        </w:tc>
      </w:tr>
      <w:tr w:rsidR="00661F4D"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661F4D" w:rsidRDefault="00661F4D"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661F4D" w:rsidRPr="00661F4D" w:rsidRDefault="00661F4D" w:rsidP="00661F4D">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[No two value sets can have identical entries]</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w:t>
            </w:r>
            <w:proofErr w:type="gramStart"/>
            <w:r w:rsidRPr="00C9516D">
              <w:rPr>
                <w:sz w:val="18"/>
                <w:szCs w:val="20"/>
                <w:lang w:val="en-GB" w:eastAsia="zh-CN"/>
              </w:rPr>
              <w:t>value</w:t>
            </w:r>
            <w:proofErr w:type="gramEnd"/>
            <w:r w:rsidRPr="00C9516D">
              <w:rPr>
                <w:sz w:val="18"/>
                <w:szCs w:val="20"/>
                <w:lang w:val="en-GB" w:eastAsia="zh-CN"/>
              </w:rPr>
              <w:t xml:space="preserv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0C5BF31D" w14:textId="33A98F54"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610644D2"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50221DCF"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56A1C460"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507D4350" w:rsidR="008E2B63" w:rsidRPr="007E2819" w:rsidRDefault="008E2B63" w:rsidP="00F140AD">
            <w:pPr>
              <w:snapToGrid w:val="0"/>
              <w:rPr>
                <w:color w:val="000000" w:themeColor="text1"/>
                <w:sz w:val="18"/>
                <w:szCs w:val="18"/>
                <w:lang w:eastAsia="zh-CN"/>
              </w:rPr>
            </w:pP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AEC9E0F"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2AF9775" w:rsidR="00437EF5" w:rsidRPr="00F140AD"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2787864" w:rsidR="00437EF5" w:rsidRPr="00F140AD" w:rsidRDefault="00437EF5" w:rsidP="00437EF5">
            <w:pPr>
              <w:snapToGrid w:val="0"/>
              <w:rPr>
                <w:b/>
                <w:color w:val="3333FF"/>
                <w:sz w:val="18"/>
                <w:szCs w:val="18"/>
                <w:u w:val="single"/>
                <w:lang w:eastAsia="zh-CN"/>
              </w:rPr>
            </w:pP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8907521"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552122E" w:rsidR="00CD00B6" w:rsidRPr="000A44B5" w:rsidRDefault="00CD00B6" w:rsidP="00CD00B6">
            <w:pPr>
              <w:snapToGrid w:val="0"/>
              <w:rPr>
                <w:sz w:val="18"/>
                <w:szCs w:val="18"/>
                <w:lang w:eastAsia="zh-CN"/>
              </w:rPr>
            </w:pP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CD00B6" w:rsidRPr="009A726C" w:rsidRDefault="00CD00B6" w:rsidP="00CD00B6">
            <w:pPr>
              <w:rPr>
                <w:color w:val="000000" w:themeColor="text1"/>
                <w:sz w:val="18"/>
                <w:szCs w:val="18"/>
                <w:lang w:eastAsia="zh-CN"/>
              </w:rPr>
            </w:pP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1F574A" w:rsidRDefault="001F574A" w:rsidP="001F574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1F574A" w:rsidRDefault="001F574A" w:rsidP="001F574A">
            <w:pPr>
              <w:snapToGrid w:val="0"/>
              <w:rPr>
                <w:color w:val="000000" w:themeColor="text1"/>
                <w:sz w:val="18"/>
                <w:szCs w:val="18"/>
                <w:lang w:eastAsia="zh-CN"/>
              </w:rPr>
            </w:pP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9E227C" w:rsidRDefault="009E227C" w:rsidP="009E22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9E227C" w:rsidRDefault="009E227C" w:rsidP="009E227C">
            <w:pPr>
              <w:snapToGrid w:val="0"/>
              <w:rPr>
                <w:bCs/>
                <w:color w:val="000000" w:themeColor="text1"/>
                <w:sz w:val="18"/>
                <w:szCs w:val="18"/>
                <w:lang w:eastAsia="zh-CN"/>
              </w:rPr>
            </w:pP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C20156" w:rsidRPr="00C20156" w:rsidRDefault="00C20156" w:rsidP="001B65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C20156" w:rsidRPr="00C20156" w:rsidRDefault="00C20156" w:rsidP="00C20156">
            <w:pPr>
              <w:snapToGrid w:val="0"/>
              <w:rPr>
                <w:bCs/>
                <w:color w:val="000000" w:themeColor="text1"/>
                <w:sz w:val="18"/>
                <w:szCs w:val="18"/>
                <w:lang w:eastAsia="zh-CN"/>
              </w:rPr>
            </w:pPr>
          </w:p>
        </w:tc>
      </w:tr>
      <w:tr w:rsidR="00661F4D"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661F4D" w:rsidRDefault="00661F4D" w:rsidP="006C2E1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661F4D" w:rsidRPr="00661F4D" w:rsidRDefault="00661F4D" w:rsidP="006262F6">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D9D0F" w14:textId="77777777" w:rsidR="005025A8" w:rsidRDefault="005025A8" w:rsidP="007458B4">
      <w:r>
        <w:separator/>
      </w:r>
    </w:p>
  </w:endnote>
  <w:endnote w:type="continuationSeparator" w:id="0">
    <w:p w14:paraId="063ADF03" w14:textId="77777777" w:rsidR="005025A8" w:rsidRDefault="005025A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5618E" w14:textId="77777777" w:rsidR="005025A8" w:rsidRDefault="005025A8" w:rsidP="007458B4">
      <w:r>
        <w:separator/>
      </w:r>
    </w:p>
  </w:footnote>
  <w:footnote w:type="continuationSeparator" w:id="0">
    <w:p w14:paraId="24330F32" w14:textId="77777777" w:rsidR="005025A8" w:rsidRDefault="005025A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5"/>
  </w:num>
  <w:num w:numId="13">
    <w:abstractNumId w:val="13"/>
  </w:num>
  <w:num w:numId="14">
    <w:abstractNumId w:val="18"/>
  </w:num>
  <w:num w:numId="15">
    <w:abstractNumId w:val="12"/>
  </w:num>
  <w:num w:numId="16">
    <w:abstractNumId w:val="19"/>
  </w:num>
  <w:num w:numId="17">
    <w:abstractNumId w:val="21"/>
  </w:num>
  <w:num w:numId="18">
    <w:abstractNumId w:val="20"/>
  </w:num>
  <w:num w:numId="19">
    <w:abstractNumId w:val="17"/>
  </w:num>
  <w:num w:numId="20">
    <w:abstractNumId w:val="22"/>
  </w:num>
  <w:num w:numId="21">
    <w:abstractNumId w:val="24"/>
  </w:num>
  <w:num w:numId="22">
    <w:abstractNumId w:val="23"/>
  </w:num>
  <w:num w:numId="23">
    <w:abstractNumId w:val="25"/>
  </w:num>
  <w:num w:numId="24">
    <w:abstractNumId w:val="11"/>
  </w:num>
  <w:num w:numId="25">
    <w:abstractNumId w:val="16"/>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2654</Words>
  <Characters>15129</Characters>
  <Application>Microsoft Office Word</Application>
  <DocSecurity>0</DocSecurity>
  <Lines>126</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40</cp:revision>
  <cp:lastPrinted>2021-10-06T09:28:00Z</cp:lastPrinted>
  <dcterms:created xsi:type="dcterms:W3CDTF">2021-11-11T19:26:00Z</dcterms:created>
  <dcterms:modified xsi:type="dcterms:W3CDTF">2021-11-12T04:37:00Z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