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A9A2" w14:textId="77777777" w:rsidR="003E30AF" w:rsidRDefault="008621FA" w:rsidP="008621FA">
      <w:pPr>
        <w:tabs>
          <w:tab w:val="center" w:pos="4536"/>
          <w:tab w:val="right" w:pos="8280"/>
          <w:tab w:val="right" w:pos="9639"/>
        </w:tabs>
        <w:ind w:right="20"/>
        <w:rPr>
          <w:rFonts w:ascii="Arial" w:hAnsi="Arial" w:cs="Arial"/>
          <w:b/>
          <w:bCs/>
        </w:rPr>
      </w:pPr>
      <w:r w:rsidRPr="004B5692">
        <w:rPr>
          <w:rFonts w:ascii="Arial" w:hAnsi="Arial" w:cs="Arial"/>
          <w:b/>
          <w:bCs/>
        </w:rPr>
        <w:t>3GPP TSG RAN WG1 #107-e</w:t>
      </w:r>
      <w:r w:rsidRPr="000E020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                    </w:t>
      </w:r>
      <w:r w:rsidRPr="000E0207"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  <w:b/>
          <w:bCs/>
        </w:rPr>
        <w:t xml:space="preserve">  </w:t>
      </w:r>
      <w:r w:rsidR="00D6543A" w:rsidRPr="003E30AF">
        <w:rPr>
          <w:rFonts w:ascii="Arial" w:hAnsi="Arial" w:cs="Arial"/>
          <w:b/>
          <w:bCs/>
          <w:highlight w:val="yellow"/>
        </w:rPr>
        <w:t>R1-211</w:t>
      </w:r>
      <w:r w:rsidR="003E30AF" w:rsidRPr="003E30AF">
        <w:rPr>
          <w:rFonts w:ascii="Arial" w:hAnsi="Arial" w:cs="Arial"/>
          <w:b/>
          <w:bCs/>
          <w:highlight w:val="yellow"/>
        </w:rPr>
        <w:t>xxxx</w:t>
      </w:r>
    </w:p>
    <w:p w14:paraId="056B3397" w14:textId="77777777" w:rsidR="008621FA" w:rsidRDefault="008621FA" w:rsidP="008621FA">
      <w:pPr>
        <w:pStyle w:val="3GPPHeader"/>
        <w:rPr>
          <w:rFonts w:ascii="Arial" w:hAnsi="Arial" w:cs="Arial"/>
          <w:bCs/>
        </w:rPr>
      </w:pPr>
      <w:r w:rsidRPr="004B5692">
        <w:rPr>
          <w:rFonts w:ascii="Arial" w:hAnsi="Arial" w:cs="Arial"/>
          <w:bCs/>
        </w:rPr>
        <w:t>e-Meeting, November 11th – 19th, 2021</w:t>
      </w:r>
    </w:p>
    <w:p w14:paraId="3AC99794" w14:textId="1C9558BF" w:rsidR="00B90144" w:rsidRPr="00315C6E" w:rsidRDefault="00B90144" w:rsidP="00B90144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7F54A0">
        <w:rPr>
          <w:sz w:val="22"/>
          <w:szCs w:val="22"/>
        </w:rPr>
        <w:t>7.1</w:t>
      </w:r>
    </w:p>
    <w:p w14:paraId="62C8DF9B" w14:textId="78ADC39B" w:rsidR="00B90144" w:rsidRPr="00315C6E" w:rsidRDefault="00B90144" w:rsidP="00B90144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4535E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>
        <w:rPr>
          <w:sz w:val="22"/>
          <w:szCs w:val="22"/>
        </w:rPr>
        <w:t xml:space="preserve"> Inc.</w:t>
      </w:r>
      <w:r w:rsidR="00D4535E">
        <w:rPr>
          <w:sz w:val="22"/>
          <w:szCs w:val="22"/>
        </w:rPr>
        <w:t>)</w:t>
      </w:r>
    </w:p>
    <w:p w14:paraId="41F7AA63" w14:textId="7732EDE7" w:rsidR="00ED70B9" w:rsidRDefault="00B90144" w:rsidP="006022AA">
      <w:pPr>
        <w:pStyle w:val="3GPPHeader"/>
        <w:ind w:left="1710" w:hanging="1710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ED70B9" w:rsidRPr="00ED70B9">
        <w:rPr>
          <w:sz w:val="22"/>
          <w:szCs w:val="22"/>
        </w:rPr>
        <w:t>Summary of [107-e-NR-7.1CRs-10] Issue#17 Discussion and clarification on CSI report during SCell activation</w:t>
      </w:r>
    </w:p>
    <w:p w14:paraId="127F5BF3" w14:textId="77777777" w:rsidR="00B90144" w:rsidRPr="00315C6E" w:rsidRDefault="00B90144" w:rsidP="00B9014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2E641DB9" w14:textId="639C5DB7" w:rsidR="004E4BAB" w:rsidRDefault="004E4BAB" w:rsidP="00B23EB7">
      <w:pPr>
        <w:pStyle w:val="Heading1"/>
      </w:pPr>
      <w:r>
        <w:t xml:space="preserve">Introduction </w:t>
      </w:r>
    </w:p>
    <w:p w14:paraId="0140F847" w14:textId="77777777" w:rsidR="004E4BAB" w:rsidRPr="000A543C" w:rsidRDefault="004E4BAB" w:rsidP="004E4BAB">
      <w:pPr>
        <w:spacing w:after="120"/>
        <w:jc w:val="both"/>
        <w:textAlignment w:val="center"/>
        <w:rPr>
          <w:rFonts w:eastAsia="SimSun"/>
          <w:sz w:val="20"/>
          <w:szCs w:val="20"/>
        </w:rPr>
      </w:pPr>
      <w:r w:rsidRPr="000A543C">
        <w:rPr>
          <w:rFonts w:eastAsia="SimSun"/>
          <w:sz w:val="20"/>
          <w:szCs w:val="20"/>
        </w:rPr>
        <w:t>This document provides summary on the following email discussion;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4BAB" w:rsidRPr="000A543C" w14:paraId="64FFE3AC" w14:textId="77777777" w:rsidTr="00CF5487">
        <w:tc>
          <w:tcPr>
            <w:tcW w:w="9631" w:type="dxa"/>
          </w:tcPr>
          <w:p w14:paraId="40C87366" w14:textId="30F6987E" w:rsidR="004E4BAB" w:rsidRPr="00FB244E" w:rsidRDefault="00FB244E" w:rsidP="00AA19A2">
            <w:r w:rsidRPr="00FB244E">
              <w:rPr>
                <w:color w:val="000000" w:themeColor="text1"/>
                <w:sz w:val="20"/>
                <w:szCs w:val="20"/>
                <w:shd w:val="clear" w:color="auto" w:fill="00FFFF"/>
              </w:rPr>
              <w:t>[107-e-NR-7.1CRs-10] Issue#17: Discussion and clarification on CSI report during SCell activation by Nov 17 – Haitong (Apple)</w:t>
            </w:r>
          </w:p>
        </w:tc>
      </w:tr>
    </w:tbl>
    <w:p w14:paraId="06984A86" w14:textId="783CDE18" w:rsidR="00D330BB" w:rsidRDefault="00EB591A" w:rsidP="004E4BAB">
      <w:pPr>
        <w:spacing w:before="120" w:after="120"/>
        <w:jc w:val="both"/>
        <w:textAlignment w:val="center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The issue was raised in </w:t>
      </w:r>
      <w:r w:rsidR="0021179F">
        <w:rPr>
          <w:rFonts w:eastAsia="SimSun"/>
          <w:sz w:val="20"/>
          <w:szCs w:val="20"/>
        </w:rPr>
        <w:t xml:space="preserve">contribution </w:t>
      </w:r>
      <w:r w:rsidR="000059C7" w:rsidRPr="000059C7">
        <w:rPr>
          <w:rFonts w:eastAsia="SimSun"/>
          <w:sz w:val="20"/>
          <w:szCs w:val="20"/>
        </w:rPr>
        <w:t>R1-211184</w:t>
      </w:r>
      <w:r w:rsidR="00AD5E82">
        <w:rPr>
          <w:rFonts w:eastAsia="SimSun"/>
          <w:sz w:val="20"/>
          <w:szCs w:val="20"/>
        </w:rPr>
        <w:t>6</w:t>
      </w:r>
      <w:r w:rsidR="007B6DEC">
        <w:rPr>
          <w:rFonts w:eastAsia="SimSun"/>
          <w:sz w:val="20"/>
          <w:szCs w:val="20"/>
        </w:rPr>
        <w:t xml:space="preserve"> [1]</w:t>
      </w:r>
      <w:r w:rsidR="00D330BB">
        <w:rPr>
          <w:rFonts w:eastAsia="SimSun"/>
          <w:sz w:val="20"/>
          <w:szCs w:val="20"/>
        </w:rPr>
        <w:t>.</w:t>
      </w:r>
      <w:r w:rsidR="00705E7F">
        <w:rPr>
          <w:rFonts w:eastAsia="SimSun"/>
          <w:sz w:val="20"/>
          <w:szCs w:val="20"/>
        </w:rPr>
        <w:t xml:space="preserve"> Th</w:t>
      </w:r>
      <w:r w:rsidR="00E94EDD">
        <w:rPr>
          <w:rFonts w:eastAsia="SimSun"/>
          <w:sz w:val="20"/>
          <w:szCs w:val="20"/>
        </w:rPr>
        <w:t xml:space="preserve">is document is structured as the following </w:t>
      </w:r>
    </w:p>
    <w:p w14:paraId="6101A68B" w14:textId="77777777" w:rsidR="0099313C" w:rsidRDefault="004E4BAB" w:rsidP="00096923">
      <w:pPr>
        <w:pStyle w:val="ListParagraph"/>
        <w:numPr>
          <w:ilvl w:val="0"/>
          <w:numId w:val="36"/>
        </w:numPr>
        <w:spacing w:before="120" w:after="120"/>
        <w:ind w:leftChars="0"/>
        <w:jc w:val="both"/>
        <w:textAlignment w:val="center"/>
        <w:rPr>
          <w:rFonts w:eastAsia="SimSun"/>
          <w:szCs w:val="20"/>
        </w:rPr>
      </w:pPr>
      <w:r w:rsidRPr="00096923">
        <w:rPr>
          <w:rFonts w:eastAsia="SimSun"/>
          <w:szCs w:val="20"/>
        </w:rPr>
        <w:t>Section</w:t>
      </w:r>
      <w:r w:rsidR="00096923" w:rsidRPr="00096923">
        <w:rPr>
          <w:rFonts w:eastAsia="SimSun"/>
          <w:szCs w:val="20"/>
        </w:rPr>
        <w:t xml:space="preserve"> </w:t>
      </w:r>
      <w:r w:rsidRPr="00096923">
        <w:rPr>
          <w:rFonts w:eastAsia="SimSun"/>
          <w:szCs w:val="20"/>
        </w:rPr>
        <w:t xml:space="preserve">2 </w:t>
      </w:r>
      <w:r w:rsidR="007C100E">
        <w:rPr>
          <w:rFonts w:eastAsia="SimSun"/>
          <w:szCs w:val="20"/>
        </w:rPr>
        <w:t>is used to provide</w:t>
      </w:r>
      <w:r w:rsidRPr="00096923">
        <w:rPr>
          <w:rFonts w:eastAsia="SimSun"/>
          <w:szCs w:val="20"/>
        </w:rPr>
        <w:t xml:space="preserve"> background on </w:t>
      </w:r>
      <w:r w:rsidR="00096923">
        <w:rPr>
          <w:rFonts w:eastAsia="SimSun"/>
          <w:szCs w:val="20"/>
        </w:rPr>
        <w:t xml:space="preserve">issues raised for </w:t>
      </w:r>
      <w:r w:rsidRPr="00096923">
        <w:rPr>
          <w:rFonts w:eastAsia="SimSun"/>
          <w:szCs w:val="20"/>
        </w:rPr>
        <w:t xml:space="preserve">the </w:t>
      </w:r>
      <w:r w:rsidR="0099313C" w:rsidRPr="0099313C">
        <w:rPr>
          <w:rFonts w:eastAsia="SimSun"/>
          <w:szCs w:val="20"/>
        </w:rPr>
        <w:t xml:space="preserve">CSI report during SCell activation </w:t>
      </w:r>
    </w:p>
    <w:p w14:paraId="47CE3299" w14:textId="470AAC5E" w:rsidR="004E4BAB" w:rsidRDefault="004E4BAB" w:rsidP="00096923">
      <w:pPr>
        <w:pStyle w:val="ListParagraph"/>
        <w:numPr>
          <w:ilvl w:val="0"/>
          <w:numId w:val="36"/>
        </w:numPr>
        <w:spacing w:before="120" w:after="120"/>
        <w:ind w:leftChars="0"/>
        <w:jc w:val="both"/>
        <w:textAlignment w:val="center"/>
        <w:rPr>
          <w:rFonts w:eastAsia="SimSun"/>
          <w:szCs w:val="20"/>
        </w:rPr>
      </w:pPr>
      <w:r w:rsidRPr="00096923">
        <w:rPr>
          <w:rFonts w:eastAsia="SimSun"/>
          <w:szCs w:val="20"/>
        </w:rPr>
        <w:t>Section</w:t>
      </w:r>
      <w:r w:rsidR="00096923">
        <w:rPr>
          <w:rFonts w:eastAsia="SimSun"/>
          <w:szCs w:val="20"/>
        </w:rPr>
        <w:t xml:space="preserve"> </w:t>
      </w:r>
      <w:r w:rsidR="00E04086" w:rsidRPr="00096923">
        <w:rPr>
          <w:rFonts w:eastAsia="SimSun"/>
          <w:szCs w:val="20"/>
        </w:rPr>
        <w:t>3</w:t>
      </w:r>
      <w:r w:rsidRPr="00096923">
        <w:rPr>
          <w:rFonts w:eastAsia="SimSun"/>
          <w:szCs w:val="20"/>
        </w:rPr>
        <w:t xml:space="preserve"> is used to collect companies’ views.</w:t>
      </w:r>
    </w:p>
    <w:p w14:paraId="7F836A1C" w14:textId="598F981D" w:rsidR="00096923" w:rsidRPr="00096923" w:rsidRDefault="00096923" w:rsidP="00096923">
      <w:pPr>
        <w:pStyle w:val="ListParagraph"/>
        <w:numPr>
          <w:ilvl w:val="0"/>
          <w:numId w:val="36"/>
        </w:numPr>
        <w:spacing w:before="120" w:after="120"/>
        <w:ind w:leftChars="0"/>
        <w:jc w:val="both"/>
        <w:textAlignment w:val="center"/>
        <w:rPr>
          <w:rFonts w:eastAsia="SimSun"/>
          <w:szCs w:val="20"/>
        </w:rPr>
      </w:pPr>
      <w:r>
        <w:rPr>
          <w:rFonts w:eastAsia="SimSun"/>
          <w:szCs w:val="20"/>
        </w:rPr>
        <w:t xml:space="preserve">Section 4 is used to summarize the outcome of the email discussion </w:t>
      </w:r>
    </w:p>
    <w:p w14:paraId="00C42EB8" w14:textId="06E4176E" w:rsidR="004E4BAB" w:rsidRPr="000A543C" w:rsidRDefault="004E4BAB" w:rsidP="00A96746">
      <w:pPr>
        <w:spacing w:before="120" w:after="120"/>
        <w:jc w:val="both"/>
        <w:textAlignment w:val="center"/>
        <w:rPr>
          <w:rFonts w:eastAsia="SimSun"/>
          <w:sz w:val="20"/>
          <w:szCs w:val="20"/>
        </w:rPr>
      </w:pPr>
      <w:r w:rsidRPr="000A543C">
        <w:rPr>
          <w:rFonts w:eastAsia="SimSun"/>
          <w:sz w:val="20"/>
          <w:szCs w:val="20"/>
        </w:rPr>
        <w:t xml:space="preserve">Please provide your comments in </w:t>
      </w:r>
      <w:r w:rsidRPr="008A0EDF">
        <w:rPr>
          <w:rFonts w:eastAsia="SimSun"/>
          <w:sz w:val="20"/>
          <w:szCs w:val="20"/>
          <w:highlight w:val="yellow"/>
        </w:rPr>
        <w:t>Section</w:t>
      </w:r>
      <w:r w:rsidR="00D6702E" w:rsidRPr="008A0EDF">
        <w:rPr>
          <w:rFonts w:eastAsia="SimSun"/>
          <w:sz w:val="20"/>
          <w:szCs w:val="20"/>
          <w:highlight w:val="yellow"/>
        </w:rPr>
        <w:t xml:space="preserve"> 3</w:t>
      </w:r>
      <w:r w:rsidRPr="008A0EDF">
        <w:rPr>
          <w:rFonts w:eastAsia="SimSun"/>
          <w:sz w:val="20"/>
          <w:szCs w:val="20"/>
          <w:highlight w:val="yellow"/>
        </w:rPr>
        <w:t xml:space="preserve"> </w:t>
      </w:r>
      <w:r w:rsidR="004750A9">
        <w:rPr>
          <w:rFonts w:eastAsia="SimSun"/>
          <w:sz w:val="20"/>
          <w:szCs w:val="20"/>
          <w:highlight w:val="yellow"/>
        </w:rPr>
        <w:t>prefera</w:t>
      </w:r>
      <w:r w:rsidRPr="008A0EDF">
        <w:rPr>
          <w:rFonts w:eastAsia="SimSun"/>
          <w:sz w:val="20"/>
          <w:szCs w:val="20"/>
          <w:highlight w:val="yellow"/>
        </w:rPr>
        <w:t>b</w:t>
      </w:r>
      <w:r w:rsidR="004750A9">
        <w:rPr>
          <w:rFonts w:eastAsia="SimSun"/>
          <w:sz w:val="20"/>
          <w:szCs w:val="20"/>
          <w:highlight w:val="yellow"/>
        </w:rPr>
        <w:t xml:space="preserve">ly by </w:t>
      </w:r>
      <w:r w:rsidR="004750A9">
        <w:rPr>
          <w:rFonts w:eastAsia="SimSun"/>
          <w:b/>
          <w:color w:val="FF0000"/>
          <w:sz w:val="20"/>
          <w:szCs w:val="20"/>
          <w:highlight w:val="yellow"/>
        </w:rPr>
        <w:t>12</w:t>
      </w:r>
      <w:r w:rsidRPr="008A0EDF">
        <w:rPr>
          <w:rFonts w:eastAsia="SimSun"/>
          <w:b/>
          <w:color w:val="FF0000"/>
          <w:sz w:val="20"/>
          <w:szCs w:val="20"/>
          <w:highlight w:val="yellow"/>
          <w:vertAlign w:val="superscript"/>
        </w:rPr>
        <w:t>th</w:t>
      </w:r>
      <w:r w:rsidRPr="008A0EDF">
        <w:rPr>
          <w:rFonts w:eastAsia="SimSun"/>
          <w:b/>
          <w:color w:val="FF0000"/>
          <w:sz w:val="20"/>
          <w:szCs w:val="20"/>
          <w:highlight w:val="yellow"/>
        </w:rPr>
        <w:t xml:space="preserve"> </w:t>
      </w:r>
      <w:r w:rsidR="004750A9">
        <w:rPr>
          <w:rFonts w:eastAsia="SimSun"/>
          <w:b/>
          <w:color w:val="FF0000"/>
          <w:sz w:val="20"/>
          <w:szCs w:val="20"/>
          <w:highlight w:val="yellow"/>
        </w:rPr>
        <w:t>Nov</w:t>
      </w:r>
      <w:r w:rsidRPr="008A0EDF">
        <w:rPr>
          <w:rFonts w:eastAsia="SimSun"/>
          <w:b/>
          <w:color w:val="FF0000"/>
          <w:sz w:val="20"/>
          <w:szCs w:val="20"/>
          <w:highlight w:val="yellow"/>
        </w:rPr>
        <w:t xml:space="preserve"> 23:59 UTC </w:t>
      </w:r>
      <w:r w:rsidRPr="002855C0">
        <w:rPr>
          <w:rFonts w:eastAsia="SimSun"/>
          <w:sz w:val="20"/>
          <w:szCs w:val="20"/>
        </w:rPr>
        <w:t>(</w:t>
      </w:r>
      <w:r w:rsidRPr="000A543C">
        <w:rPr>
          <w:rFonts w:eastAsia="Microsoft YaHei"/>
          <w:sz w:val="20"/>
          <w:szCs w:val="20"/>
        </w:rPr>
        <w:t>1</w:t>
      </w:r>
      <w:r w:rsidRPr="000A543C">
        <w:rPr>
          <w:rFonts w:eastAsia="Microsoft YaHei"/>
          <w:sz w:val="20"/>
          <w:szCs w:val="20"/>
          <w:vertAlign w:val="superscript"/>
        </w:rPr>
        <w:t>st</w:t>
      </w:r>
      <w:r w:rsidRPr="000A543C">
        <w:rPr>
          <w:rFonts w:eastAsia="Microsoft YaHei"/>
          <w:sz w:val="20"/>
          <w:szCs w:val="20"/>
        </w:rPr>
        <w:t xml:space="preserve"> check point).</w:t>
      </w:r>
    </w:p>
    <w:p w14:paraId="44CF8274" w14:textId="77777777" w:rsidR="000A543C" w:rsidRDefault="000A543C" w:rsidP="00B23EB7">
      <w:pPr>
        <w:pStyle w:val="Heading1"/>
      </w:pPr>
      <w:r>
        <w:t>Background</w:t>
      </w:r>
    </w:p>
    <w:p w14:paraId="47DDF4B9" w14:textId="512DF014" w:rsidR="00EF6F10" w:rsidRDefault="00F37F4A" w:rsidP="00EF6F10">
      <w:pPr>
        <w:pStyle w:val="0Maintext"/>
        <w:spacing w:after="120" w:afterAutospacing="0" w:line="240" w:lineRule="auto"/>
        <w:ind w:firstLine="0"/>
        <w:contextualSpacing/>
        <w:rPr>
          <w:lang w:val="en-US"/>
        </w:rPr>
      </w:pPr>
      <w:r>
        <w:rPr>
          <w:lang w:val="en-US"/>
        </w:rPr>
        <w:t xml:space="preserve">In this email discussion, the purpose is to discuss </w:t>
      </w:r>
      <w:r w:rsidR="00F927DB">
        <w:rPr>
          <w:lang w:val="en-US"/>
        </w:rPr>
        <w:t>and</w:t>
      </w:r>
      <w:r>
        <w:rPr>
          <w:lang w:val="en-US"/>
        </w:rPr>
        <w:t xml:space="preserve"> collect companies’ understanding regarding the UE CSI report during SCell activation. </w:t>
      </w:r>
      <w:r w:rsidR="00EF6F10">
        <w:rPr>
          <w:lang w:val="en-US"/>
        </w:rPr>
        <w:t xml:space="preserve">Figure 1 illustrates the important timeline for SCell activation, </w:t>
      </w:r>
    </w:p>
    <w:p w14:paraId="290226B7" w14:textId="77777777" w:rsidR="00EF6F10" w:rsidRDefault="00EF6F10" w:rsidP="00EF6F10">
      <w:pPr>
        <w:pStyle w:val="0Maintext"/>
        <w:spacing w:after="120" w:afterAutospacing="0" w:line="240" w:lineRule="auto"/>
        <w:ind w:firstLine="0"/>
        <w:contextualSpacing/>
        <w:rPr>
          <w:lang w:val="en-US"/>
        </w:rPr>
      </w:pPr>
    </w:p>
    <w:p w14:paraId="5293F539" w14:textId="77777777" w:rsidR="00EF6F10" w:rsidRDefault="00EF6F10" w:rsidP="00EF6F10">
      <w:pPr>
        <w:pStyle w:val="0Maintext"/>
        <w:numPr>
          <w:ilvl w:val="0"/>
          <w:numId w:val="42"/>
        </w:numPr>
        <w:spacing w:after="120" w:afterAutospacing="0" w:line="240" w:lineRule="auto"/>
        <w:contextualSpacing/>
        <w:rPr>
          <w:lang w:val="en-US"/>
        </w:rPr>
      </w:pPr>
      <w:r>
        <w:rPr>
          <w:lang w:val="en-US"/>
        </w:rPr>
        <w:t xml:space="preserve">NW transmits MAC-CE to activate SCell </w:t>
      </w:r>
    </w:p>
    <w:p w14:paraId="11337522" w14:textId="77777777" w:rsidR="00EF6F10" w:rsidRDefault="00EF6F10" w:rsidP="00EF6F10">
      <w:pPr>
        <w:pStyle w:val="0Maintext"/>
        <w:numPr>
          <w:ilvl w:val="0"/>
          <w:numId w:val="42"/>
        </w:numPr>
        <w:spacing w:after="120" w:afterAutospacing="0" w:line="240" w:lineRule="auto"/>
        <w:contextualSpacing/>
        <w:rPr>
          <w:lang w:val="en-US"/>
        </w:rPr>
      </w:pPr>
      <w:r>
        <w:rPr>
          <w:lang w:val="en-US"/>
        </w:rPr>
        <w:t>UE receives the corresponding MAC-CE and feedbacks HARQ-ACK on UL</w:t>
      </w:r>
    </w:p>
    <w:p w14:paraId="7E2162A1" w14:textId="77777777" w:rsidR="00EF6F10" w:rsidRDefault="00EF6F10" w:rsidP="00EF6F10">
      <w:pPr>
        <w:pStyle w:val="0Maintext"/>
        <w:numPr>
          <w:ilvl w:val="0"/>
          <w:numId w:val="42"/>
        </w:numPr>
        <w:spacing w:after="120" w:afterAutospacing="0" w:line="240" w:lineRule="auto"/>
        <w:contextualSpacing/>
        <w:rPr>
          <w:lang w:val="en-US"/>
        </w:rPr>
      </w:pPr>
      <w:r>
        <w:rPr>
          <w:lang w:val="en-US"/>
        </w:rPr>
        <w:t xml:space="preserve">T1: 3ms after UE feedbacks the HARQ-ACK </w:t>
      </w:r>
    </w:p>
    <w:p w14:paraId="61D1AD0D" w14:textId="47464A38" w:rsidR="00EF6F10" w:rsidRDefault="00EF6F10" w:rsidP="00EF6F10">
      <w:pPr>
        <w:pStyle w:val="0Maintext"/>
        <w:numPr>
          <w:ilvl w:val="0"/>
          <w:numId w:val="42"/>
        </w:numPr>
        <w:spacing w:after="120" w:afterAutospacing="0" w:line="240" w:lineRule="auto"/>
        <w:contextualSpacing/>
        <w:rPr>
          <w:lang w:val="en-US"/>
        </w:rPr>
      </w:pPr>
      <w:r>
        <w:rPr>
          <w:lang w:val="en-US"/>
        </w:rPr>
        <w:t>T2: UE feedback</w:t>
      </w:r>
      <w:r w:rsidR="00A12C5A">
        <w:rPr>
          <w:lang w:val="en-US"/>
        </w:rPr>
        <w:t>s</w:t>
      </w:r>
      <w:bookmarkStart w:id="0" w:name="_GoBack"/>
      <w:bookmarkEnd w:id="0"/>
      <w:r>
        <w:rPr>
          <w:lang w:val="en-US"/>
        </w:rPr>
        <w:t xml:space="preserve"> the first valid CQI report which is considered as SCell activation complete </w:t>
      </w:r>
    </w:p>
    <w:p w14:paraId="43E8C196" w14:textId="77777777" w:rsidR="00EF6F10" w:rsidRDefault="00EF6F10" w:rsidP="00EF6F10">
      <w:pPr>
        <w:pStyle w:val="0Maintext"/>
        <w:spacing w:after="120" w:afterAutospacing="0" w:line="240" w:lineRule="auto"/>
        <w:ind w:firstLine="0"/>
        <w:contextualSpacing/>
        <w:rPr>
          <w:lang w:val="en-US"/>
        </w:rPr>
      </w:pPr>
    </w:p>
    <w:p w14:paraId="5357669E" w14:textId="209338E3" w:rsidR="00EF6F10" w:rsidRPr="0061113D" w:rsidRDefault="00447D93" w:rsidP="00EF6F10">
      <w:pPr>
        <w:pStyle w:val="0Maintext"/>
        <w:spacing w:after="120" w:afterAutospacing="0" w:line="240" w:lineRule="auto"/>
        <w:ind w:firstLine="0"/>
        <w:contextualSpacing/>
        <w:rPr>
          <w:lang w:val="en-US"/>
        </w:rPr>
      </w:pPr>
      <w:r>
        <w:rPr>
          <w:lang w:val="en-US"/>
        </w:rPr>
        <w:t xml:space="preserve">The discussion is regarding the </w:t>
      </w:r>
      <w:r w:rsidR="00EF6F10">
        <w:rPr>
          <w:lang w:val="en-US"/>
        </w:rPr>
        <w:t xml:space="preserve">UE CSI report during SCell activation,  i.e., between T1 and T2. </w:t>
      </w:r>
    </w:p>
    <w:p w14:paraId="5B088E0B" w14:textId="77777777" w:rsidR="00EF6F10" w:rsidRDefault="00EF6F10" w:rsidP="00EF6F10">
      <w:pPr>
        <w:pStyle w:val="0Maintext"/>
        <w:keepNext/>
        <w:spacing w:after="120" w:afterAutospacing="0" w:line="240" w:lineRule="auto"/>
        <w:ind w:firstLine="0"/>
        <w:contextualSpacing/>
      </w:pPr>
      <w:r>
        <w:rPr>
          <w:noProof/>
          <w:lang w:val="en-US"/>
        </w:rPr>
        <w:drawing>
          <wp:inline distT="0" distB="0" distL="0" distR="0" wp14:anchorId="5E9FAE8C" wp14:editId="2EF81FC1">
            <wp:extent cx="5727700" cy="947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10-31 at 11.52.15 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0D44" w14:textId="0B171771" w:rsidR="00EF6F10" w:rsidRPr="007808C1" w:rsidRDefault="00EF6F10" w:rsidP="007808C1">
      <w:pPr>
        <w:pStyle w:val="Caption"/>
        <w:rPr>
          <w:sz w:val="20"/>
          <w:szCs w:val="20"/>
        </w:rPr>
      </w:pPr>
      <w:r w:rsidRPr="00A31F2C">
        <w:rPr>
          <w:sz w:val="20"/>
          <w:szCs w:val="20"/>
        </w:rPr>
        <w:t xml:space="preserve">Figure </w:t>
      </w:r>
      <w:r w:rsidRPr="00A31F2C">
        <w:rPr>
          <w:sz w:val="20"/>
          <w:szCs w:val="20"/>
        </w:rPr>
        <w:fldChar w:fldCharType="begin"/>
      </w:r>
      <w:r w:rsidRPr="00A31F2C">
        <w:rPr>
          <w:sz w:val="20"/>
          <w:szCs w:val="20"/>
        </w:rPr>
        <w:instrText xml:space="preserve"> SEQ Figure \* ARABIC </w:instrText>
      </w:r>
      <w:r w:rsidRPr="00A31F2C">
        <w:rPr>
          <w:sz w:val="20"/>
          <w:szCs w:val="20"/>
        </w:rPr>
        <w:fldChar w:fldCharType="separate"/>
      </w:r>
      <w:r w:rsidRPr="00A31F2C">
        <w:rPr>
          <w:noProof/>
          <w:sz w:val="20"/>
          <w:szCs w:val="20"/>
        </w:rPr>
        <w:t>1</w:t>
      </w:r>
      <w:r w:rsidRPr="00A31F2C">
        <w:rPr>
          <w:sz w:val="20"/>
          <w:szCs w:val="20"/>
        </w:rPr>
        <w:fldChar w:fldCharType="end"/>
      </w:r>
      <w:r w:rsidRPr="00A31F2C">
        <w:rPr>
          <w:sz w:val="20"/>
          <w:szCs w:val="20"/>
        </w:rPr>
        <w:t xml:space="preserve"> Timeline for SCell Activation</w:t>
      </w:r>
    </w:p>
    <w:p w14:paraId="7298BA66" w14:textId="77777777" w:rsidR="00EF6F10" w:rsidRDefault="00EF6F10" w:rsidP="00EF6F10">
      <w:pPr>
        <w:pStyle w:val="Heading2"/>
      </w:pPr>
      <w:r>
        <w:t xml:space="preserve">RAN4 38.133 specification </w:t>
      </w:r>
    </w:p>
    <w:p w14:paraId="6833CCF2" w14:textId="42F055D2" w:rsidR="00EF6F10" w:rsidRDefault="00EF6F10" w:rsidP="00EF6F10">
      <w:pPr>
        <w:pStyle w:val="0Maintext"/>
        <w:spacing w:after="120" w:afterAutospacing="0" w:line="240" w:lineRule="auto"/>
        <w:ind w:firstLine="0"/>
        <w:contextualSpacing/>
        <w:rPr>
          <w:lang w:val="en-US"/>
        </w:rPr>
      </w:pPr>
      <w:r>
        <w:rPr>
          <w:lang w:val="en-US"/>
        </w:rPr>
        <w:t>In RAN4 38.133 [</w:t>
      </w:r>
      <w:r w:rsidR="00D72D3A">
        <w:rPr>
          <w:lang w:val="en-US"/>
        </w:rPr>
        <w:t>2</w:t>
      </w:r>
      <w:r>
        <w:rPr>
          <w:lang w:val="en-US"/>
        </w:rPr>
        <w:t>], it is specified that UE should report OOR (Out of Range) for CQI and lowest valid L1 SS-RSRP range for L1-RSRP for SCell between T1 and T2. The specification reference is as below</w:t>
      </w:r>
    </w:p>
    <w:p w14:paraId="264A3D5A" w14:textId="77777777" w:rsidR="00EF6F10" w:rsidRDefault="00EF6F10" w:rsidP="00EF6F10">
      <w:r>
        <w:rPr>
          <w:noProof/>
        </w:rPr>
        <w:lastRenderedPageBreak/>
        <w:drawing>
          <wp:inline distT="0" distB="0" distL="0" distR="0" wp14:anchorId="7FE7025B" wp14:editId="5C5255B1">
            <wp:extent cx="5727700" cy="1033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10-31 at 12.03.5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06C95" w14:textId="77777777" w:rsidR="00EF6F10" w:rsidRDefault="00EF6F10" w:rsidP="00EF6F10">
      <w:pPr>
        <w:pStyle w:val="Heading2"/>
      </w:pPr>
      <w:r>
        <w:t xml:space="preserve">RAN1 38.214 specification </w:t>
      </w:r>
    </w:p>
    <w:p w14:paraId="3BF23D29" w14:textId="647C3CA6" w:rsidR="00EF6F10" w:rsidRDefault="00EF6F10" w:rsidP="00EF6F10">
      <w:pPr>
        <w:pStyle w:val="0Maintext"/>
        <w:spacing w:after="120" w:afterAutospacing="0" w:line="240" w:lineRule="auto"/>
        <w:ind w:firstLine="0"/>
        <w:contextualSpacing/>
        <w:rPr>
          <w:lang w:val="en-US"/>
        </w:rPr>
      </w:pPr>
      <w:r>
        <w:rPr>
          <w:lang w:val="en-US"/>
        </w:rPr>
        <w:t>In RAN1 38.214 [</w:t>
      </w:r>
      <w:r w:rsidR="004C2904">
        <w:rPr>
          <w:lang w:val="en-US"/>
        </w:rPr>
        <w:t>3</w:t>
      </w:r>
      <w:r>
        <w:rPr>
          <w:lang w:val="en-US"/>
        </w:rPr>
        <w:t xml:space="preserve">], </w:t>
      </w:r>
      <w:r w:rsidR="00EF2A78">
        <w:rPr>
          <w:lang w:val="en-US"/>
        </w:rPr>
        <w:t xml:space="preserve">there is </w:t>
      </w:r>
      <w:r>
        <w:rPr>
          <w:lang w:val="en-US"/>
        </w:rPr>
        <w:t xml:space="preserve">the following sentence which requires UE to drop the CSI report when there is no valid CSI measurement after the serving cell activation </w:t>
      </w:r>
    </w:p>
    <w:p w14:paraId="57212E1A" w14:textId="77777777" w:rsidR="00EF6F10" w:rsidRDefault="00EF6F10" w:rsidP="00EF6F10">
      <w:pPr>
        <w:pStyle w:val="0Maintext"/>
        <w:spacing w:after="120"/>
        <w:ind w:firstLine="0"/>
        <w:contextualSpacing/>
        <w:rPr>
          <w:lang w:val="en-US"/>
        </w:rPr>
      </w:pPr>
    </w:p>
    <w:p w14:paraId="2EF27DFA" w14:textId="77777777" w:rsidR="00EF6F10" w:rsidRDefault="00EF6F10" w:rsidP="00EF6F10">
      <w:pPr>
        <w:pStyle w:val="0Maintext"/>
        <w:spacing w:after="120"/>
        <w:ind w:firstLine="0"/>
        <w:contextualSpacing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DAE5239" wp14:editId="03953645">
            <wp:extent cx="5727700" cy="433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10-31 at 12.06.07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B431" w14:textId="77777777" w:rsidR="00EF6F10" w:rsidRDefault="00EF6F10" w:rsidP="00EF6F10">
      <w:pPr>
        <w:pStyle w:val="0Maintext"/>
        <w:spacing w:after="120"/>
        <w:ind w:firstLine="0"/>
        <w:contextualSpacing/>
        <w:rPr>
          <w:lang w:val="en-US"/>
        </w:rPr>
      </w:pPr>
    </w:p>
    <w:p w14:paraId="19288383" w14:textId="499FB154" w:rsidR="00EF6F10" w:rsidRDefault="00EF6F10" w:rsidP="00EF6F10">
      <w:pPr>
        <w:pStyle w:val="0Maintext"/>
        <w:spacing w:after="120"/>
        <w:ind w:firstLine="0"/>
        <w:contextualSpacing/>
        <w:rPr>
          <w:lang w:val="en-US"/>
        </w:rPr>
      </w:pPr>
      <w:r>
        <w:rPr>
          <w:lang w:val="en-US"/>
        </w:rPr>
        <w:t xml:space="preserve">The interpretation of this paragraph </w:t>
      </w:r>
      <w:r w:rsidR="005717C4">
        <w:rPr>
          <w:lang w:val="en-US"/>
        </w:rPr>
        <w:t>can be ambiguous</w:t>
      </w:r>
      <w:r>
        <w:rPr>
          <w:lang w:val="en-US"/>
        </w:rPr>
        <w:t xml:space="preserve">, </w:t>
      </w:r>
    </w:p>
    <w:p w14:paraId="4249E58C" w14:textId="77777777" w:rsidR="00EF6F10" w:rsidRDefault="00EF6F10" w:rsidP="00EF6F10">
      <w:pPr>
        <w:pStyle w:val="0Maintext"/>
        <w:numPr>
          <w:ilvl w:val="0"/>
          <w:numId w:val="43"/>
        </w:numPr>
        <w:spacing w:after="120"/>
        <w:contextualSpacing/>
        <w:rPr>
          <w:lang w:val="en-US"/>
        </w:rPr>
      </w:pPr>
      <w:r>
        <w:rPr>
          <w:lang w:val="en-US"/>
        </w:rPr>
        <w:t xml:space="preserve">If the “serving cell activation” refers to time T1, i.e., 3ms after UE sends HARQ-ACK, then the RAN1 specification is in conflict with RAN4 specification </w:t>
      </w:r>
    </w:p>
    <w:p w14:paraId="27F8051A" w14:textId="6640AA21" w:rsidR="00EF6F10" w:rsidRDefault="00EF6F10" w:rsidP="00EF6F10">
      <w:pPr>
        <w:pStyle w:val="0Maintext"/>
        <w:numPr>
          <w:ilvl w:val="0"/>
          <w:numId w:val="43"/>
        </w:numPr>
        <w:spacing w:after="120"/>
        <w:contextualSpacing/>
        <w:rPr>
          <w:lang w:val="en-US"/>
        </w:rPr>
      </w:pPr>
      <w:r>
        <w:rPr>
          <w:lang w:val="en-US"/>
        </w:rPr>
        <w:t xml:space="preserve">If the “serving cell activation” refers to time T2, i.e., after UE transmits the valid </w:t>
      </w:r>
      <w:r w:rsidR="00D14885">
        <w:rPr>
          <w:lang w:val="en-US"/>
        </w:rPr>
        <w:t>CQI</w:t>
      </w:r>
      <w:r>
        <w:rPr>
          <w:lang w:val="en-US"/>
        </w:rPr>
        <w:t xml:space="preserve"> to complete the SCell activation, then the RAN1 specification is not in conflict with RAN4 specification </w:t>
      </w:r>
    </w:p>
    <w:p w14:paraId="4BB562AB" w14:textId="12ED0E30" w:rsidR="00296ABF" w:rsidRDefault="000A1CD3" w:rsidP="000A1CD3">
      <w:pPr>
        <w:pStyle w:val="Heading1"/>
      </w:pPr>
      <w:r>
        <w:t xml:space="preserve">Email </w:t>
      </w:r>
      <w:r w:rsidR="0097365F">
        <w:t>D</w:t>
      </w:r>
      <w:r>
        <w:t xml:space="preserve">iscussion </w:t>
      </w:r>
    </w:p>
    <w:p w14:paraId="2B4604BB" w14:textId="474C6B36" w:rsidR="009E7BB3" w:rsidRPr="009E7BB3" w:rsidRDefault="009E7BB3" w:rsidP="009E7BB3">
      <w:pPr>
        <w:pStyle w:val="Heading2"/>
      </w:pPr>
      <w:r>
        <w:t xml:space="preserve">First Round </w:t>
      </w:r>
    </w:p>
    <w:p w14:paraId="1715E3BE" w14:textId="59B9DE9E" w:rsidR="00296ABF" w:rsidRDefault="00296ABF" w:rsidP="00296ABF">
      <w:pPr>
        <w:rPr>
          <w:sz w:val="20"/>
          <w:szCs w:val="20"/>
        </w:rPr>
      </w:pPr>
      <w:r>
        <w:rPr>
          <w:sz w:val="20"/>
          <w:szCs w:val="20"/>
        </w:rPr>
        <w:t xml:space="preserve">Based on the description of the issues, we have the following two questions to collect companies’ view </w:t>
      </w:r>
    </w:p>
    <w:p w14:paraId="24AB8BA9" w14:textId="77777777" w:rsidR="00716F94" w:rsidRDefault="00716F94" w:rsidP="00296ABF">
      <w:pPr>
        <w:rPr>
          <w:sz w:val="20"/>
          <w:szCs w:val="20"/>
        </w:rPr>
      </w:pPr>
    </w:p>
    <w:p w14:paraId="5430DEF5" w14:textId="77777777" w:rsidR="00A70CAB" w:rsidRPr="00BF16A2" w:rsidRDefault="00F13544" w:rsidP="00296ABF">
      <w:pPr>
        <w:rPr>
          <w:b/>
          <w:sz w:val="20"/>
          <w:szCs w:val="20"/>
        </w:rPr>
      </w:pPr>
      <w:r w:rsidRPr="00BF16A2">
        <w:rPr>
          <w:b/>
          <w:sz w:val="20"/>
          <w:szCs w:val="20"/>
        </w:rPr>
        <w:t xml:space="preserve">Question #1: </w:t>
      </w:r>
      <w:r w:rsidR="00A70CAB" w:rsidRPr="00BF16A2">
        <w:rPr>
          <w:b/>
          <w:sz w:val="20"/>
          <w:szCs w:val="20"/>
        </w:rPr>
        <w:t xml:space="preserve">Do you agree that we should follow RAN4 specification, i.e., 38.133, in terms of UE CSI reporting during SCell activation </w:t>
      </w:r>
    </w:p>
    <w:p w14:paraId="0A7FBDE0" w14:textId="79D9F49B" w:rsidR="003B5474" w:rsidRPr="00BF16A2" w:rsidRDefault="003B5474" w:rsidP="003B5474">
      <w:pPr>
        <w:pStyle w:val="ListParagraph"/>
        <w:numPr>
          <w:ilvl w:val="0"/>
          <w:numId w:val="41"/>
        </w:numPr>
        <w:ind w:leftChars="0"/>
        <w:rPr>
          <w:szCs w:val="20"/>
        </w:rPr>
      </w:pPr>
      <w:r w:rsidRPr="00BF16A2">
        <w:rPr>
          <w:b/>
          <w:szCs w:val="20"/>
        </w:rPr>
        <w:t>Note: The SCell activation discussed here is the time from the slot specified in clause 4.3 of TS 38.213 to the time when UE completes the SCell activation, i.e., reports a valid CQI</w:t>
      </w:r>
    </w:p>
    <w:p w14:paraId="10809000" w14:textId="6A2C1865" w:rsidR="00F13544" w:rsidRPr="00BF16A2" w:rsidRDefault="00A70CAB" w:rsidP="003B5474">
      <w:pPr>
        <w:pStyle w:val="ListParagraph"/>
        <w:numPr>
          <w:ilvl w:val="0"/>
          <w:numId w:val="41"/>
        </w:numPr>
        <w:ind w:leftChars="0"/>
        <w:rPr>
          <w:szCs w:val="20"/>
        </w:rPr>
      </w:pPr>
      <w:r w:rsidRPr="00BF16A2">
        <w:rPr>
          <w:b/>
          <w:szCs w:val="20"/>
        </w:rPr>
        <w:t xml:space="preserve">Note: </w:t>
      </w:r>
      <w:r w:rsidR="003B5474" w:rsidRPr="00BF16A2">
        <w:rPr>
          <w:b/>
          <w:szCs w:val="20"/>
        </w:rPr>
        <w:t xml:space="preserve">RAN4 specification requires UE to report </w:t>
      </w:r>
      <w:r w:rsidR="003B5474" w:rsidRPr="00BF16A2">
        <w:rPr>
          <w:b/>
          <w:lang w:val="en-US"/>
        </w:rPr>
        <w:t>special CSI, i.e., Out of Range (OOR) for CQI and lowest valid SS-RSRP range for L1-RSRP, as specified in 38.</w:t>
      </w:r>
      <w:r w:rsidR="00182331" w:rsidRPr="00BF16A2">
        <w:rPr>
          <w:b/>
          <w:szCs w:val="20"/>
        </w:rPr>
        <w:t>133</w:t>
      </w:r>
    </w:p>
    <w:p w14:paraId="38B0D4AD" w14:textId="77777777" w:rsidR="00182331" w:rsidRPr="0078021C" w:rsidRDefault="00182331" w:rsidP="00112B91">
      <w:pPr>
        <w:pStyle w:val="ListParagraph"/>
        <w:ind w:leftChars="0" w:left="720" w:firstLine="0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7614"/>
      </w:tblGrid>
      <w:tr w:rsidR="007F6D85" w14:paraId="1BE060E1" w14:textId="77777777" w:rsidTr="007F6D85">
        <w:tc>
          <w:tcPr>
            <w:tcW w:w="1396" w:type="dxa"/>
            <w:shd w:val="clear" w:color="auto" w:fill="ACB9CA" w:themeFill="text2" w:themeFillTint="66"/>
          </w:tcPr>
          <w:p w14:paraId="455B3C4B" w14:textId="77777777" w:rsidR="007F6D85" w:rsidRPr="007F6D85" w:rsidRDefault="007F6D85" w:rsidP="00CF5487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7F6D85">
              <w:rPr>
                <w:b/>
                <w:sz w:val="20"/>
                <w:szCs w:val="20"/>
                <w:lang w:eastAsia="zh-TW"/>
              </w:rPr>
              <w:t>Company</w:t>
            </w:r>
          </w:p>
        </w:tc>
        <w:tc>
          <w:tcPr>
            <w:tcW w:w="7614" w:type="dxa"/>
            <w:shd w:val="clear" w:color="auto" w:fill="ACB9CA" w:themeFill="text2" w:themeFillTint="66"/>
          </w:tcPr>
          <w:p w14:paraId="5824EE8C" w14:textId="77777777" w:rsidR="007F6D85" w:rsidRPr="007F6D85" w:rsidRDefault="007F6D85" w:rsidP="00CF5487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7F6D85">
              <w:rPr>
                <w:b/>
                <w:sz w:val="20"/>
                <w:szCs w:val="20"/>
                <w:lang w:eastAsia="zh-TW"/>
              </w:rPr>
              <w:t>View</w:t>
            </w:r>
          </w:p>
        </w:tc>
      </w:tr>
      <w:tr w:rsidR="007F6D85" w14:paraId="10ED882C" w14:textId="77777777" w:rsidTr="007F6D85">
        <w:tc>
          <w:tcPr>
            <w:tcW w:w="1396" w:type="dxa"/>
          </w:tcPr>
          <w:p w14:paraId="62CE4D80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1F801D37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F6D85" w14:paraId="78785CFD" w14:textId="77777777" w:rsidTr="007F6D85">
        <w:tc>
          <w:tcPr>
            <w:tcW w:w="1396" w:type="dxa"/>
          </w:tcPr>
          <w:p w14:paraId="038DB483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6E52C5BA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F6D85" w14:paraId="0B6AB3B4" w14:textId="77777777" w:rsidTr="007F6D85">
        <w:tc>
          <w:tcPr>
            <w:tcW w:w="1396" w:type="dxa"/>
          </w:tcPr>
          <w:p w14:paraId="3C944FD2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20C6F326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F6D85" w14:paraId="0BB5DD15" w14:textId="77777777" w:rsidTr="007F6D85">
        <w:tc>
          <w:tcPr>
            <w:tcW w:w="1396" w:type="dxa"/>
          </w:tcPr>
          <w:p w14:paraId="177CAB07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24B9EC95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F6D85" w14:paraId="6FA6AA91" w14:textId="77777777" w:rsidTr="007F6D85">
        <w:tc>
          <w:tcPr>
            <w:tcW w:w="1396" w:type="dxa"/>
          </w:tcPr>
          <w:p w14:paraId="5AEF3702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261E3367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F6D85" w14:paraId="1A9A26C5" w14:textId="77777777" w:rsidTr="007F6D85">
        <w:tc>
          <w:tcPr>
            <w:tcW w:w="1396" w:type="dxa"/>
          </w:tcPr>
          <w:p w14:paraId="67EA66B2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2672BBC4" w14:textId="77777777" w:rsidR="007F6D85" w:rsidRPr="007F6D85" w:rsidRDefault="007F6D85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</w:tbl>
    <w:p w14:paraId="365D44B1" w14:textId="77777777" w:rsidR="001D2F45" w:rsidRDefault="001D2F45" w:rsidP="001D2F45">
      <w:pPr>
        <w:rPr>
          <w:b/>
          <w:sz w:val="20"/>
          <w:szCs w:val="20"/>
        </w:rPr>
      </w:pPr>
    </w:p>
    <w:p w14:paraId="1DB9AF44" w14:textId="77857CCC" w:rsidR="00112B91" w:rsidRDefault="001D2F45" w:rsidP="00112B91">
      <w:pPr>
        <w:rPr>
          <w:b/>
          <w:sz w:val="20"/>
          <w:szCs w:val="20"/>
        </w:rPr>
      </w:pPr>
      <w:r w:rsidRPr="00224D63">
        <w:rPr>
          <w:b/>
          <w:sz w:val="20"/>
          <w:szCs w:val="20"/>
        </w:rPr>
        <w:t>Question #</w:t>
      </w:r>
      <w:r w:rsidR="00C106BB" w:rsidRPr="00224D63">
        <w:rPr>
          <w:b/>
          <w:sz w:val="20"/>
          <w:szCs w:val="20"/>
        </w:rPr>
        <w:t>2</w:t>
      </w:r>
      <w:r w:rsidRPr="00224D63">
        <w:rPr>
          <w:b/>
          <w:sz w:val="20"/>
          <w:szCs w:val="20"/>
        </w:rPr>
        <w:t xml:space="preserve">: </w:t>
      </w:r>
      <w:r w:rsidR="00942538">
        <w:rPr>
          <w:b/>
          <w:sz w:val="20"/>
          <w:szCs w:val="20"/>
        </w:rPr>
        <w:t xml:space="preserve">Companies please provide your view on whether </w:t>
      </w:r>
      <w:r w:rsidR="008D633A" w:rsidRPr="00224D63">
        <w:rPr>
          <w:b/>
          <w:sz w:val="20"/>
          <w:szCs w:val="20"/>
        </w:rPr>
        <w:t xml:space="preserve">specification change </w:t>
      </w:r>
      <w:r w:rsidR="00942538">
        <w:rPr>
          <w:b/>
          <w:sz w:val="20"/>
          <w:szCs w:val="20"/>
        </w:rPr>
        <w:t xml:space="preserve">is necessary, </w:t>
      </w:r>
      <w:r w:rsidR="008D633A" w:rsidRPr="00224D63">
        <w:rPr>
          <w:b/>
          <w:sz w:val="20"/>
          <w:szCs w:val="20"/>
        </w:rPr>
        <w:t>if your view is that</w:t>
      </w:r>
      <w:r w:rsidR="0054037D">
        <w:rPr>
          <w:b/>
          <w:sz w:val="20"/>
          <w:szCs w:val="20"/>
        </w:rPr>
        <w:t xml:space="preserve"> UE CSI report</w:t>
      </w:r>
      <w:r w:rsidR="00112B91">
        <w:rPr>
          <w:b/>
          <w:sz w:val="20"/>
          <w:szCs w:val="20"/>
        </w:rPr>
        <w:t>ing during SCell activation should follow RAN4 specification in 38.133.</w:t>
      </w:r>
    </w:p>
    <w:p w14:paraId="11F37E3F" w14:textId="45D6808D" w:rsidR="00503678" w:rsidRPr="00B96E93" w:rsidRDefault="00112B91" w:rsidP="00B96E93">
      <w:pPr>
        <w:pStyle w:val="ListParagraph"/>
        <w:numPr>
          <w:ilvl w:val="0"/>
          <w:numId w:val="44"/>
        </w:numPr>
        <w:ind w:leftChars="0"/>
        <w:rPr>
          <w:b/>
          <w:i/>
        </w:rPr>
      </w:pPr>
      <w:r>
        <w:rPr>
          <w:b/>
          <w:szCs w:val="20"/>
        </w:rPr>
        <w:t>Note</w:t>
      </w:r>
      <w:r w:rsidR="00AD6C4D">
        <w:rPr>
          <w:b/>
          <w:szCs w:val="20"/>
        </w:rPr>
        <w:t>:</w:t>
      </w:r>
      <w:r>
        <w:rPr>
          <w:b/>
          <w:szCs w:val="20"/>
        </w:rPr>
        <w:t xml:space="preserve"> the specification change is for 38.214</w:t>
      </w:r>
      <w:r w:rsidR="006371B0">
        <w:rPr>
          <w:b/>
          <w:szCs w:val="20"/>
        </w:rPr>
        <w:t>, Clause 5.2.2.5</w:t>
      </w:r>
    </w:p>
    <w:p w14:paraId="6675DF8A" w14:textId="77777777" w:rsidR="00B96E93" w:rsidRDefault="00B96E93" w:rsidP="00B96E93">
      <w:pPr>
        <w:pStyle w:val="ListParagraph"/>
        <w:ind w:leftChars="0" w:left="720" w:firstLine="0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7614"/>
      </w:tblGrid>
      <w:tr w:rsidR="00503678" w14:paraId="19B4A559" w14:textId="77777777" w:rsidTr="00CF5487">
        <w:tc>
          <w:tcPr>
            <w:tcW w:w="1396" w:type="dxa"/>
            <w:shd w:val="clear" w:color="auto" w:fill="ACB9CA" w:themeFill="text2" w:themeFillTint="66"/>
          </w:tcPr>
          <w:p w14:paraId="28542E06" w14:textId="77777777" w:rsidR="00503678" w:rsidRPr="007F6D85" w:rsidRDefault="00503678" w:rsidP="00CF5487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7F6D85">
              <w:rPr>
                <w:b/>
                <w:sz w:val="20"/>
                <w:szCs w:val="20"/>
                <w:lang w:eastAsia="zh-TW"/>
              </w:rPr>
              <w:t>Company</w:t>
            </w:r>
          </w:p>
        </w:tc>
        <w:tc>
          <w:tcPr>
            <w:tcW w:w="7614" w:type="dxa"/>
            <w:shd w:val="clear" w:color="auto" w:fill="ACB9CA" w:themeFill="text2" w:themeFillTint="66"/>
          </w:tcPr>
          <w:p w14:paraId="4076695B" w14:textId="77777777" w:rsidR="00503678" w:rsidRPr="007F6D85" w:rsidRDefault="00503678" w:rsidP="00CF5487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7F6D85">
              <w:rPr>
                <w:b/>
                <w:sz w:val="20"/>
                <w:szCs w:val="20"/>
                <w:lang w:eastAsia="zh-TW"/>
              </w:rPr>
              <w:t>View</w:t>
            </w:r>
          </w:p>
        </w:tc>
      </w:tr>
      <w:tr w:rsidR="00503678" w14:paraId="45787E6B" w14:textId="77777777" w:rsidTr="00CF5487">
        <w:tc>
          <w:tcPr>
            <w:tcW w:w="1396" w:type="dxa"/>
          </w:tcPr>
          <w:p w14:paraId="42380047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796F7F6D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503678" w14:paraId="50C71298" w14:textId="77777777" w:rsidTr="00CF5487">
        <w:tc>
          <w:tcPr>
            <w:tcW w:w="1396" w:type="dxa"/>
          </w:tcPr>
          <w:p w14:paraId="3A96B898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4334845F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503678" w14:paraId="151F35AB" w14:textId="77777777" w:rsidTr="00CF5487">
        <w:tc>
          <w:tcPr>
            <w:tcW w:w="1396" w:type="dxa"/>
          </w:tcPr>
          <w:p w14:paraId="00212225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12279F84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503678" w14:paraId="5C968C94" w14:textId="77777777" w:rsidTr="00CF5487">
        <w:tc>
          <w:tcPr>
            <w:tcW w:w="1396" w:type="dxa"/>
          </w:tcPr>
          <w:p w14:paraId="695A9121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527E913C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503678" w14:paraId="10AF6048" w14:textId="77777777" w:rsidTr="00CF5487">
        <w:tc>
          <w:tcPr>
            <w:tcW w:w="1396" w:type="dxa"/>
          </w:tcPr>
          <w:p w14:paraId="169BE52E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75B3E043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503678" w14:paraId="221DD052" w14:textId="77777777" w:rsidTr="00CF5487">
        <w:tc>
          <w:tcPr>
            <w:tcW w:w="1396" w:type="dxa"/>
          </w:tcPr>
          <w:p w14:paraId="330D5A09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14" w:type="dxa"/>
          </w:tcPr>
          <w:p w14:paraId="2243E7BC" w14:textId="77777777" w:rsidR="00503678" w:rsidRPr="007F6D85" w:rsidRDefault="00503678" w:rsidP="00CF5487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</w:tbl>
    <w:p w14:paraId="4203046D" w14:textId="77777777" w:rsidR="00F7738E" w:rsidRDefault="00F7738E" w:rsidP="008164AC">
      <w:pPr>
        <w:pStyle w:val="Heading1"/>
      </w:pPr>
      <w:r>
        <w:lastRenderedPageBreak/>
        <w:t xml:space="preserve">Outcome of the Email discussion </w:t>
      </w:r>
    </w:p>
    <w:p w14:paraId="532FEBB3" w14:textId="70F84613" w:rsidR="008164AC" w:rsidRPr="00A30ECC" w:rsidRDefault="00E26E78" w:rsidP="00E26E78">
      <w:pPr>
        <w:pStyle w:val="0Maintext"/>
        <w:spacing w:after="120"/>
        <w:ind w:firstLine="0"/>
        <w:contextualSpacing/>
        <w:rPr>
          <w:b/>
          <w:i/>
          <w:lang w:val="en-US"/>
        </w:rPr>
      </w:pPr>
      <w:r w:rsidRPr="00E26E78">
        <w:rPr>
          <w:highlight w:val="yellow"/>
          <w:lang w:val="en-US"/>
        </w:rPr>
        <w:t>To be updated</w:t>
      </w:r>
      <w:r>
        <w:rPr>
          <w:lang w:val="en-US"/>
        </w:rPr>
        <w:t xml:space="preserve"> </w:t>
      </w:r>
    </w:p>
    <w:p w14:paraId="2A5BA4DC" w14:textId="4A84D5CF" w:rsidR="002134C9" w:rsidRDefault="002134C9" w:rsidP="002134C9">
      <w:pPr>
        <w:pStyle w:val="Heading1"/>
      </w:pPr>
      <w:r>
        <w:t>Reference</w:t>
      </w:r>
    </w:p>
    <w:p w14:paraId="2EDDA680" w14:textId="77777777" w:rsidR="00225F29" w:rsidRPr="00576424" w:rsidRDefault="00225F29" w:rsidP="00225F29">
      <w:pPr>
        <w:numPr>
          <w:ilvl w:val="0"/>
          <w:numId w:val="2"/>
        </w:numPr>
        <w:tabs>
          <w:tab w:val="clear" w:pos="657"/>
        </w:tabs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sz w:val="20"/>
          <w:szCs w:val="20"/>
        </w:rPr>
      </w:pPr>
      <w:r w:rsidRPr="00576424">
        <w:rPr>
          <w:sz w:val="20"/>
          <w:szCs w:val="20"/>
        </w:rPr>
        <w:t>R1-2111846, "Discussion and clarification on CSI report during SCell activation", 3GPP TSG RAN WG1 #107-e</w:t>
      </w:r>
      <w:r>
        <w:rPr>
          <w:sz w:val="20"/>
          <w:szCs w:val="20"/>
        </w:rPr>
        <w:t>,</w:t>
      </w:r>
      <w:r w:rsidRPr="00576424">
        <w:rPr>
          <w:sz w:val="20"/>
          <w:szCs w:val="20"/>
        </w:rPr>
        <w:t xml:space="preserve"> e-Meeting, November 11th – 19th, 2021</w:t>
      </w:r>
    </w:p>
    <w:p w14:paraId="0B16E1B0" w14:textId="77777777" w:rsidR="00225F29" w:rsidRDefault="00225F29" w:rsidP="00225F29">
      <w:pPr>
        <w:numPr>
          <w:ilvl w:val="0"/>
          <w:numId w:val="2"/>
        </w:numPr>
        <w:tabs>
          <w:tab w:val="clear" w:pos="657"/>
        </w:tabs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sz w:val="20"/>
          <w:szCs w:val="20"/>
        </w:rPr>
      </w:pPr>
      <w:r w:rsidRPr="00CB43C0">
        <w:rPr>
          <w:sz w:val="20"/>
          <w:szCs w:val="20"/>
        </w:rPr>
        <w:t xml:space="preserve">3GPP TS 38.133, Requirements for support of radio resource management (Release 16), V16.8.0, 2021-06 </w:t>
      </w:r>
    </w:p>
    <w:p w14:paraId="4CF2408E" w14:textId="77777777" w:rsidR="00225F29" w:rsidRDefault="00225F29" w:rsidP="00225F29">
      <w:pPr>
        <w:numPr>
          <w:ilvl w:val="0"/>
          <w:numId w:val="2"/>
        </w:numPr>
        <w:tabs>
          <w:tab w:val="clear" w:pos="657"/>
        </w:tabs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sz w:val="20"/>
          <w:szCs w:val="20"/>
        </w:rPr>
      </w:pPr>
      <w:r w:rsidRPr="00E91DC0">
        <w:rPr>
          <w:sz w:val="20"/>
          <w:szCs w:val="20"/>
        </w:rPr>
        <w:t xml:space="preserve">3GPP TS 38.214, Physical layer procedures for data (Release 16), V16.7.0, 2021-09 </w:t>
      </w:r>
    </w:p>
    <w:p w14:paraId="55D755D8" w14:textId="77777777" w:rsidR="00A551E4" w:rsidRPr="00D16E3B" w:rsidRDefault="00A551E4" w:rsidP="00A551E4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sz w:val="20"/>
          <w:szCs w:val="20"/>
        </w:rPr>
      </w:pPr>
    </w:p>
    <w:sectPr w:rsidR="00A551E4" w:rsidRPr="00D16E3B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6243F39"/>
    <w:multiLevelType w:val="hybridMultilevel"/>
    <w:tmpl w:val="7D0C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691"/>
    <w:multiLevelType w:val="hybridMultilevel"/>
    <w:tmpl w:val="E7EA826C"/>
    <w:lvl w:ilvl="0" w:tplc="B4E2E7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11A06"/>
    <w:multiLevelType w:val="hybridMultilevel"/>
    <w:tmpl w:val="445E1DC0"/>
    <w:lvl w:ilvl="0" w:tplc="9B42B070">
      <w:start w:val="2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7E527244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0B6714E1"/>
    <w:multiLevelType w:val="hybridMultilevel"/>
    <w:tmpl w:val="777A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F2A20"/>
    <w:multiLevelType w:val="hybridMultilevel"/>
    <w:tmpl w:val="8B90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37A"/>
    <w:multiLevelType w:val="hybridMultilevel"/>
    <w:tmpl w:val="1A0A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32156"/>
    <w:multiLevelType w:val="hybridMultilevel"/>
    <w:tmpl w:val="137AAE6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E2A0D"/>
    <w:multiLevelType w:val="multilevel"/>
    <w:tmpl w:val="4F8632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F53C57"/>
    <w:multiLevelType w:val="hybridMultilevel"/>
    <w:tmpl w:val="085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C703E"/>
    <w:multiLevelType w:val="hybridMultilevel"/>
    <w:tmpl w:val="B3BA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020B2"/>
    <w:multiLevelType w:val="hybridMultilevel"/>
    <w:tmpl w:val="175A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B2721"/>
    <w:multiLevelType w:val="hybridMultilevel"/>
    <w:tmpl w:val="B28E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9301A"/>
    <w:multiLevelType w:val="hybridMultilevel"/>
    <w:tmpl w:val="35CEB0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4D1697"/>
    <w:multiLevelType w:val="hybridMultilevel"/>
    <w:tmpl w:val="AA3E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B7097"/>
    <w:multiLevelType w:val="hybridMultilevel"/>
    <w:tmpl w:val="5540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431EF"/>
    <w:multiLevelType w:val="hybridMultilevel"/>
    <w:tmpl w:val="BC70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D09FC"/>
    <w:multiLevelType w:val="hybridMultilevel"/>
    <w:tmpl w:val="5338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268AB"/>
    <w:multiLevelType w:val="multilevel"/>
    <w:tmpl w:val="6B201E4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  <w:sz w:val="20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◦"/>
      <w:lvlJc w:val="left"/>
      <w:pPr>
        <w:ind w:left="1260" w:hanging="420"/>
      </w:pPr>
      <w:rPr>
        <w:rFonts w:ascii="Microsoft Sans Serif" w:hAnsi="Microsoft Sans Serif" w:cs="Microsoft Sans Serif" w:hint="default"/>
        <w:sz w:val="2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94D0387"/>
    <w:multiLevelType w:val="hybridMultilevel"/>
    <w:tmpl w:val="1E62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81D92"/>
    <w:multiLevelType w:val="multilevel"/>
    <w:tmpl w:val="ED12536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3AC60522"/>
    <w:multiLevelType w:val="hybridMultilevel"/>
    <w:tmpl w:val="165C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07260"/>
    <w:multiLevelType w:val="hybridMultilevel"/>
    <w:tmpl w:val="B30C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95E98"/>
    <w:multiLevelType w:val="hybridMultilevel"/>
    <w:tmpl w:val="55D2F2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9E34093"/>
    <w:multiLevelType w:val="hybridMultilevel"/>
    <w:tmpl w:val="3A80A1FC"/>
    <w:lvl w:ilvl="0" w:tplc="63DA2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122F7E"/>
    <w:multiLevelType w:val="hybridMultilevel"/>
    <w:tmpl w:val="400E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7650"/>
    <w:multiLevelType w:val="hybridMultilevel"/>
    <w:tmpl w:val="79205B40"/>
    <w:lvl w:ilvl="0" w:tplc="9B42B070">
      <w:start w:val="2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200" w:hanging="420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529147D4"/>
    <w:multiLevelType w:val="hybridMultilevel"/>
    <w:tmpl w:val="9CB8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60933"/>
    <w:multiLevelType w:val="hybridMultilevel"/>
    <w:tmpl w:val="41B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2058D"/>
    <w:multiLevelType w:val="hybridMultilevel"/>
    <w:tmpl w:val="3C64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E4B2C"/>
    <w:multiLevelType w:val="hybridMultilevel"/>
    <w:tmpl w:val="26C6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66C84"/>
    <w:multiLevelType w:val="hybridMultilevel"/>
    <w:tmpl w:val="9100270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56DA3F06"/>
    <w:multiLevelType w:val="hybridMultilevel"/>
    <w:tmpl w:val="0816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71FA8"/>
    <w:multiLevelType w:val="hybridMultilevel"/>
    <w:tmpl w:val="4D2862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EB03E53"/>
    <w:multiLevelType w:val="hybridMultilevel"/>
    <w:tmpl w:val="CFE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24C5C"/>
    <w:multiLevelType w:val="multilevel"/>
    <w:tmpl w:val="184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D76B98"/>
    <w:multiLevelType w:val="hybridMultilevel"/>
    <w:tmpl w:val="D4AC4CF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0" w15:restartNumberingAfterBreak="0">
    <w:nsid w:val="68543041"/>
    <w:multiLevelType w:val="hybridMultilevel"/>
    <w:tmpl w:val="F578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068A6"/>
    <w:multiLevelType w:val="hybridMultilevel"/>
    <w:tmpl w:val="3A80A1FC"/>
    <w:lvl w:ilvl="0" w:tplc="63DA2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381C40"/>
    <w:multiLevelType w:val="hybridMultilevel"/>
    <w:tmpl w:val="E178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B6F80"/>
    <w:multiLevelType w:val="hybridMultilevel"/>
    <w:tmpl w:val="9532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4"/>
  </w:num>
  <w:num w:numId="6">
    <w:abstractNumId w:val="41"/>
  </w:num>
  <w:num w:numId="7">
    <w:abstractNumId w:val="17"/>
  </w:num>
  <w:num w:numId="8">
    <w:abstractNumId w:val="16"/>
  </w:num>
  <w:num w:numId="9">
    <w:abstractNumId w:val="35"/>
  </w:num>
  <w:num w:numId="10">
    <w:abstractNumId w:val="24"/>
  </w:num>
  <w:num w:numId="11">
    <w:abstractNumId w:val="10"/>
  </w:num>
  <w:num w:numId="12">
    <w:abstractNumId w:val="21"/>
  </w:num>
  <w:num w:numId="13">
    <w:abstractNumId w:val="28"/>
  </w:num>
  <w:num w:numId="14">
    <w:abstractNumId w:val="40"/>
  </w:num>
  <w:num w:numId="15">
    <w:abstractNumId w:val="14"/>
  </w:num>
  <w:num w:numId="16">
    <w:abstractNumId w:val="20"/>
  </w:num>
  <w:num w:numId="17">
    <w:abstractNumId w:val="25"/>
  </w:num>
  <w:num w:numId="18">
    <w:abstractNumId w:val="37"/>
  </w:num>
  <w:num w:numId="19">
    <w:abstractNumId w:val="39"/>
  </w:num>
  <w:num w:numId="20">
    <w:abstractNumId w:val="30"/>
  </w:num>
  <w:num w:numId="21">
    <w:abstractNumId w:val="7"/>
  </w:num>
  <w:num w:numId="22">
    <w:abstractNumId w:val="38"/>
  </w:num>
  <w:num w:numId="23">
    <w:abstractNumId w:val="13"/>
  </w:num>
  <w:num w:numId="24">
    <w:abstractNumId w:val="3"/>
  </w:num>
  <w:num w:numId="25">
    <w:abstractNumId w:val="31"/>
  </w:num>
  <w:num w:numId="26">
    <w:abstractNumId w:val="22"/>
  </w:num>
  <w:num w:numId="27">
    <w:abstractNumId w:val="5"/>
  </w:num>
  <w:num w:numId="28">
    <w:abstractNumId w:val="29"/>
  </w:num>
  <w:num w:numId="29">
    <w:abstractNumId w:val="26"/>
  </w:num>
  <w:num w:numId="30">
    <w:abstractNumId w:val="34"/>
  </w:num>
  <w:num w:numId="31">
    <w:abstractNumId w:val="15"/>
  </w:num>
  <w:num w:numId="32">
    <w:abstractNumId w:val="18"/>
  </w:num>
  <w:num w:numId="33">
    <w:abstractNumId w:val="23"/>
  </w:num>
  <w:num w:numId="34">
    <w:abstractNumId w:val="6"/>
  </w:num>
  <w:num w:numId="35">
    <w:abstractNumId w:val="32"/>
  </w:num>
  <w:num w:numId="36">
    <w:abstractNumId w:val="43"/>
  </w:num>
  <w:num w:numId="37">
    <w:abstractNumId w:val="11"/>
  </w:num>
  <w:num w:numId="38">
    <w:abstractNumId w:val="12"/>
  </w:num>
  <w:num w:numId="39">
    <w:abstractNumId w:val="9"/>
  </w:num>
  <w:num w:numId="40">
    <w:abstractNumId w:val="36"/>
  </w:num>
  <w:num w:numId="41">
    <w:abstractNumId w:val="42"/>
  </w:num>
  <w:num w:numId="42">
    <w:abstractNumId w:val="19"/>
  </w:num>
  <w:num w:numId="43">
    <w:abstractNumId w:val="8"/>
  </w:num>
  <w:num w:numId="44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002B8"/>
    <w:rsid w:val="000009D0"/>
    <w:rsid w:val="00003FE0"/>
    <w:rsid w:val="000043EF"/>
    <w:rsid w:val="000059C7"/>
    <w:rsid w:val="00005D7F"/>
    <w:rsid w:val="00007041"/>
    <w:rsid w:val="00012570"/>
    <w:rsid w:val="00020FB8"/>
    <w:rsid w:val="000212EC"/>
    <w:rsid w:val="00024CD4"/>
    <w:rsid w:val="000264E6"/>
    <w:rsid w:val="00026645"/>
    <w:rsid w:val="00031E68"/>
    <w:rsid w:val="00033D5B"/>
    <w:rsid w:val="000359AB"/>
    <w:rsid w:val="00041988"/>
    <w:rsid w:val="00044CC2"/>
    <w:rsid w:val="000461DE"/>
    <w:rsid w:val="000472B8"/>
    <w:rsid w:val="000477BF"/>
    <w:rsid w:val="0005018D"/>
    <w:rsid w:val="00051FB2"/>
    <w:rsid w:val="0005388A"/>
    <w:rsid w:val="0005612B"/>
    <w:rsid w:val="000605BB"/>
    <w:rsid w:val="0006076E"/>
    <w:rsid w:val="00060EC3"/>
    <w:rsid w:val="000616D0"/>
    <w:rsid w:val="00065E52"/>
    <w:rsid w:val="00070C36"/>
    <w:rsid w:val="00071398"/>
    <w:rsid w:val="00071AB6"/>
    <w:rsid w:val="00072724"/>
    <w:rsid w:val="00073136"/>
    <w:rsid w:val="00073936"/>
    <w:rsid w:val="00080826"/>
    <w:rsid w:val="000816F6"/>
    <w:rsid w:val="000926BF"/>
    <w:rsid w:val="00092A85"/>
    <w:rsid w:val="0009405B"/>
    <w:rsid w:val="000944CD"/>
    <w:rsid w:val="00096923"/>
    <w:rsid w:val="000971DB"/>
    <w:rsid w:val="000A0881"/>
    <w:rsid w:val="000A1890"/>
    <w:rsid w:val="000A1CD3"/>
    <w:rsid w:val="000A1ED8"/>
    <w:rsid w:val="000A543C"/>
    <w:rsid w:val="000B1408"/>
    <w:rsid w:val="000C14DA"/>
    <w:rsid w:val="000C2C00"/>
    <w:rsid w:val="000C3D00"/>
    <w:rsid w:val="000C42F2"/>
    <w:rsid w:val="000C7A30"/>
    <w:rsid w:val="000D1A8F"/>
    <w:rsid w:val="000D5020"/>
    <w:rsid w:val="000D6F96"/>
    <w:rsid w:val="000E028F"/>
    <w:rsid w:val="000E284E"/>
    <w:rsid w:val="000E2B01"/>
    <w:rsid w:val="000E3F43"/>
    <w:rsid w:val="000E6DE7"/>
    <w:rsid w:val="000F06FE"/>
    <w:rsid w:val="000F2C70"/>
    <w:rsid w:val="000F50D5"/>
    <w:rsid w:val="00103258"/>
    <w:rsid w:val="00112342"/>
    <w:rsid w:val="00112B91"/>
    <w:rsid w:val="00113855"/>
    <w:rsid w:val="00113BD6"/>
    <w:rsid w:val="0011444F"/>
    <w:rsid w:val="001144DC"/>
    <w:rsid w:val="0011495B"/>
    <w:rsid w:val="00115E79"/>
    <w:rsid w:val="00116822"/>
    <w:rsid w:val="00126A2E"/>
    <w:rsid w:val="00127219"/>
    <w:rsid w:val="00131BBD"/>
    <w:rsid w:val="00134261"/>
    <w:rsid w:val="00140849"/>
    <w:rsid w:val="001454B7"/>
    <w:rsid w:val="00147208"/>
    <w:rsid w:val="00153773"/>
    <w:rsid w:val="00162261"/>
    <w:rsid w:val="00165EE3"/>
    <w:rsid w:val="00167B8F"/>
    <w:rsid w:val="00171977"/>
    <w:rsid w:val="00175880"/>
    <w:rsid w:val="00176D11"/>
    <w:rsid w:val="00177061"/>
    <w:rsid w:val="001779C8"/>
    <w:rsid w:val="00182331"/>
    <w:rsid w:val="0018293E"/>
    <w:rsid w:val="0018607A"/>
    <w:rsid w:val="00194352"/>
    <w:rsid w:val="00194BBD"/>
    <w:rsid w:val="0019557E"/>
    <w:rsid w:val="001963D3"/>
    <w:rsid w:val="0019796D"/>
    <w:rsid w:val="001A0153"/>
    <w:rsid w:val="001A0A5B"/>
    <w:rsid w:val="001B160F"/>
    <w:rsid w:val="001B26ED"/>
    <w:rsid w:val="001B2AEE"/>
    <w:rsid w:val="001B7C08"/>
    <w:rsid w:val="001C159F"/>
    <w:rsid w:val="001C276B"/>
    <w:rsid w:val="001C59CA"/>
    <w:rsid w:val="001C5FBE"/>
    <w:rsid w:val="001D09D4"/>
    <w:rsid w:val="001D2F45"/>
    <w:rsid w:val="001D5CE5"/>
    <w:rsid w:val="001D5D4F"/>
    <w:rsid w:val="001D749D"/>
    <w:rsid w:val="001D754C"/>
    <w:rsid w:val="001E07D4"/>
    <w:rsid w:val="001E5483"/>
    <w:rsid w:val="001F1032"/>
    <w:rsid w:val="001F14E7"/>
    <w:rsid w:val="001F1E05"/>
    <w:rsid w:val="001F286D"/>
    <w:rsid w:val="001F6A3A"/>
    <w:rsid w:val="002027F7"/>
    <w:rsid w:val="0020530F"/>
    <w:rsid w:val="00205B31"/>
    <w:rsid w:val="0021179F"/>
    <w:rsid w:val="002121EE"/>
    <w:rsid w:val="002134C9"/>
    <w:rsid w:val="00213801"/>
    <w:rsid w:val="0021507B"/>
    <w:rsid w:val="00215382"/>
    <w:rsid w:val="00223227"/>
    <w:rsid w:val="00224D63"/>
    <w:rsid w:val="00225773"/>
    <w:rsid w:val="00225F29"/>
    <w:rsid w:val="00240C88"/>
    <w:rsid w:val="00245D45"/>
    <w:rsid w:val="00246369"/>
    <w:rsid w:val="002468A4"/>
    <w:rsid w:val="002473C0"/>
    <w:rsid w:val="00252B41"/>
    <w:rsid w:val="00252C48"/>
    <w:rsid w:val="00254073"/>
    <w:rsid w:val="002550FD"/>
    <w:rsid w:val="00256232"/>
    <w:rsid w:val="00261A5F"/>
    <w:rsid w:val="0026321C"/>
    <w:rsid w:val="002639C7"/>
    <w:rsid w:val="00266E0F"/>
    <w:rsid w:val="00270999"/>
    <w:rsid w:val="0027140A"/>
    <w:rsid w:val="00271D73"/>
    <w:rsid w:val="00273E87"/>
    <w:rsid w:val="00274F27"/>
    <w:rsid w:val="002805F2"/>
    <w:rsid w:val="00280EEE"/>
    <w:rsid w:val="00284AB0"/>
    <w:rsid w:val="002855C0"/>
    <w:rsid w:val="00285B13"/>
    <w:rsid w:val="00291076"/>
    <w:rsid w:val="00291935"/>
    <w:rsid w:val="0029408F"/>
    <w:rsid w:val="002948FF"/>
    <w:rsid w:val="00294FDA"/>
    <w:rsid w:val="00296ABF"/>
    <w:rsid w:val="002972B7"/>
    <w:rsid w:val="0029785F"/>
    <w:rsid w:val="002A04A9"/>
    <w:rsid w:val="002A274D"/>
    <w:rsid w:val="002A29BB"/>
    <w:rsid w:val="002A5B21"/>
    <w:rsid w:val="002B162B"/>
    <w:rsid w:val="002B3367"/>
    <w:rsid w:val="002B72F3"/>
    <w:rsid w:val="002C0085"/>
    <w:rsid w:val="002C4EFD"/>
    <w:rsid w:val="002C57AC"/>
    <w:rsid w:val="002D2B50"/>
    <w:rsid w:val="002D51E0"/>
    <w:rsid w:val="002D627F"/>
    <w:rsid w:val="002D7160"/>
    <w:rsid w:val="002E0373"/>
    <w:rsid w:val="002E770C"/>
    <w:rsid w:val="002E7927"/>
    <w:rsid w:val="00301CC8"/>
    <w:rsid w:val="003028A1"/>
    <w:rsid w:val="00305534"/>
    <w:rsid w:val="00307BFB"/>
    <w:rsid w:val="003105DC"/>
    <w:rsid w:val="003121D9"/>
    <w:rsid w:val="0032399B"/>
    <w:rsid w:val="003265A4"/>
    <w:rsid w:val="00327482"/>
    <w:rsid w:val="00333C79"/>
    <w:rsid w:val="00341ACD"/>
    <w:rsid w:val="0034266A"/>
    <w:rsid w:val="0034417B"/>
    <w:rsid w:val="00351A93"/>
    <w:rsid w:val="0035494F"/>
    <w:rsid w:val="00354D95"/>
    <w:rsid w:val="00356A2B"/>
    <w:rsid w:val="00366F52"/>
    <w:rsid w:val="00373D5E"/>
    <w:rsid w:val="0037598C"/>
    <w:rsid w:val="0037727E"/>
    <w:rsid w:val="003811CB"/>
    <w:rsid w:val="00383C5F"/>
    <w:rsid w:val="003862B0"/>
    <w:rsid w:val="00394676"/>
    <w:rsid w:val="00394F9B"/>
    <w:rsid w:val="00396951"/>
    <w:rsid w:val="003A2F61"/>
    <w:rsid w:val="003A353D"/>
    <w:rsid w:val="003A35A7"/>
    <w:rsid w:val="003B0FE3"/>
    <w:rsid w:val="003B5352"/>
    <w:rsid w:val="003B5474"/>
    <w:rsid w:val="003B54E1"/>
    <w:rsid w:val="003C0E4F"/>
    <w:rsid w:val="003C3243"/>
    <w:rsid w:val="003C5335"/>
    <w:rsid w:val="003C55E8"/>
    <w:rsid w:val="003C5CBF"/>
    <w:rsid w:val="003C6C1C"/>
    <w:rsid w:val="003C7DC2"/>
    <w:rsid w:val="003E259A"/>
    <w:rsid w:val="003E30AF"/>
    <w:rsid w:val="003E38CD"/>
    <w:rsid w:val="003E4A0C"/>
    <w:rsid w:val="003E51B8"/>
    <w:rsid w:val="003E58D3"/>
    <w:rsid w:val="003E5F6E"/>
    <w:rsid w:val="003E75B6"/>
    <w:rsid w:val="003F1DD1"/>
    <w:rsid w:val="003F3627"/>
    <w:rsid w:val="003F670D"/>
    <w:rsid w:val="004056C5"/>
    <w:rsid w:val="00406FB8"/>
    <w:rsid w:val="00407B8C"/>
    <w:rsid w:val="00410A67"/>
    <w:rsid w:val="00415887"/>
    <w:rsid w:val="00417FC9"/>
    <w:rsid w:val="004256E0"/>
    <w:rsid w:val="00430AB1"/>
    <w:rsid w:val="00431CD3"/>
    <w:rsid w:val="00431DFC"/>
    <w:rsid w:val="00432164"/>
    <w:rsid w:val="0043338E"/>
    <w:rsid w:val="0043345C"/>
    <w:rsid w:val="00435870"/>
    <w:rsid w:val="00436DA5"/>
    <w:rsid w:val="00436FDC"/>
    <w:rsid w:val="004413A6"/>
    <w:rsid w:val="004414FD"/>
    <w:rsid w:val="00441778"/>
    <w:rsid w:val="00446818"/>
    <w:rsid w:val="00447A3E"/>
    <w:rsid w:val="00447D93"/>
    <w:rsid w:val="00452F9F"/>
    <w:rsid w:val="0045346B"/>
    <w:rsid w:val="004548EE"/>
    <w:rsid w:val="00456063"/>
    <w:rsid w:val="004560D6"/>
    <w:rsid w:val="004574F7"/>
    <w:rsid w:val="004577F3"/>
    <w:rsid w:val="00461A4A"/>
    <w:rsid w:val="00461B15"/>
    <w:rsid w:val="00462395"/>
    <w:rsid w:val="00465039"/>
    <w:rsid w:val="0047202B"/>
    <w:rsid w:val="004750A9"/>
    <w:rsid w:val="00475AE7"/>
    <w:rsid w:val="00475C2B"/>
    <w:rsid w:val="0047783C"/>
    <w:rsid w:val="00480986"/>
    <w:rsid w:val="00482475"/>
    <w:rsid w:val="0048258C"/>
    <w:rsid w:val="004829D2"/>
    <w:rsid w:val="00482B6A"/>
    <w:rsid w:val="00487D1F"/>
    <w:rsid w:val="004922DE"/>
    <w:rsid w:val="004936B7"/>
    <w:rsid w:val="004943D6"/>
    <w:rsid w:val="00496D0C"/>
    <w:rsid w:val="004A0AFE"/>
    <w:rsid w:val="004A1155"/>
    <w:rsid w:val="004A41EF"/>
    <w:rsid w:val="004B2AB6"/>
    <w:rsid w:val="004B2C35"/>
    <w:rsid w:val="004B2C68"/>
    <w:rsid w:val="004B3124"/>
    <w:rsid w:val="004B74CC"/>
    <w:rsid w:val="004C2904"/>
    <w:rsid w:val="004C2A05"/>
    <w:rsid w:val="004C2BFA"/>
    <w:rsid w:val="004D0699"/>
    <w:rsid w:val="004D0D1D"/>
    <w:rsid w:val="004D1DF1"/>
    <w:rsid w:val="004D3B6B"/>
    <w:rsid w:val="004D488F"/>
    <w:rsid w:val="004D4D58"/>
    <w:rsid w:val="004D4DFC"/>
    <w:rsid w:val="004D6F79"/>
    <w:rsid w:val="004D7FE6"/>
    <w:rsid w:val="004E2CDE"/>
    <w:rsid w:val="004E3EAD"/>
    <w:rsid w:val="004E4BAB"/>
    <w:rsid w:val="004F4991"/>
    <w:rsid w:val="004F74D5"/>
    <w:rsid w:val="004F7F00"/>
    <w:rsid w:val="005005A8"/>
    <w:rsid w:val="00503678"/>
    <w:rsid w:val="00512F54"/>
    <w:rsid w:val="005150C5"/>
    <w:rsid w:val="00517ADD"/>
    <w:rsid w:val="00521C39"/>
    <w:rsid w:val="00521D94"/>
    <w:rsid w:val="00530437"/>
    <w:rsid w:val="00530AB8"/>
    <w:rsid w:val="00533219"/>
    <w:rsid w:val="00533DD1"/>
    <w:rsid w:val="005363A1"/>
    <w:rsid w:val="0053782C"/>
    <w:rsid w:val="0054037D"/>
    <w:rsid w:val="00541C62"/>
    <w:rsid w:val="00542673"/>
    <w:rsid w:val="005438BC"/>
    <w:rsid w:val="00544620"/>
    <w:rsid w:val="00546289"/>
    <w:rsid w:val="005479A0"/>
    <w:rsid w:val="00550B73"/>
    <w:rsid w:val="00550F71"/>
    <w:rsid w:val="005516B1"/>
    <w:rsid w:val="00551BD7"/>
    <w:rsid w:val="00552AB1"/>
    <w:rsid w:val="00556671"/>
    <w:rsid w:val="00557368"/>
    <w:rsid w:val="005707EA"/>
    <w:rsid w:val="005717C4"/>
    <w:rsid w:val="00572B69"/>
    <w:rsid w:val="005737B4"/>
    <w:rsid w:val="005767DB"/>
    <w:rsid w:val="005811A6"/>
    <w:rsid w:val="00582965"/>
    <w:rsid w:val="00586478"/>
    <w:rsid w:val="0059377F"/>
    <w:rsid w:val="00597FEB"/>
    <w:rsid w:val="005B1AD1"/>
    <w:rsid w:val="005B3A98"/>
    <w:rsid w:val="005B4D3C"/>
    <w:rsid w:val="005B5991"/>
    <w:rsid w:val="005B6997"/>
    <w:rsid w:val="005B6A41"/>
    <w:rsid w:val="005C1150"/>
    <w:rsid w:val="005C43CD"/>
    <w:rsid w:val="005C5E00"/>
    <w:rsid w:val="005C68B4"/>
    <w:rsid w:val="005D2018"/>
    <w:rsid w:val="005D45F7"/>
    <w:rsid w:val="005D57A7"/>
    <w:rsid w:val="005E0264"/>
    <w:rsid w:val="005E10FE"/>
    <w:rsid w:val="005E371D"/>
    <w:rsid w:val="005E60AD"/>
    <w:rsid w:val="005F56A1"/>
    <w:rsid w:val="005F5A01"/>
    <w:rsid w:val="005F63E1"/>
    <w:rsid w:val="005F6A59"/>
    <w:rsid w:val="005F7A0E"/>
    <w:rsid w:val="006022AA"/>
    <w:rsid w:val="00603228"/>
    <w:rsid w:val="00604966"/>
    <w:rsid w:val="00605959"/>
    <w:rsid w:val="00605B70"/>
    <w:rsid w:val="00607000"/>
    <w:rsid w:val="0061765C"/>
    <w:rsid w:val="006179EA"/>
    <w:rsid w:val="00623F0C"/>
    <w:rsid w:val="00625953"/>
    <w:rsid w:val="00625A6B"/>
    <w:rsid w:val="006261FF"/>
    <w:rsid w:val="00626534"/>
    <w:rsid w:val="00631A14"/>
    <w:rsid w:val="00632808"/>
    <w:rsid w:val="00636CCE"/>
    <w:rsid w:val="00636D7B"/>
    <w:rsid w:val="006371B0"/>
    <w:rsid w:val="00637EE9"/>
    <w:rsid w:val="00640902"/>
    <w:rsid w:val="00640AA0"/>
    <w:rsid w:val="00644FA5"/>
    <w:rsid w:val="00644FC6"/>
    <w:rsid w:val="00647B06"/>
    <w:rsid w:val="006531B1"/>
    <w:rsid w:val="00655521"/>
    <w:rsid w:val="006555CC"/>
    <w:rsid w:val="00661178"/>
    <w:rsid w:val="006619BF"/>
    <w:rsid w:val="00664DCB"/>
    <w:rsid w:val="006701D3"/>
    <w:rsid w:val="00671A39"/>
    <w:rsid w:val="00672A8E"/>
    <w:rsid w:val="00674503"/>
    <w:rsid w:val="00674ACF"/>
    <w:rsid w:val="00674B8D"/>
    <w:rsid w:val="00675440"/>
    <w:rsid w:val="00676824"/>
    <w:rsid w:val="00677DBB"/>
    <w:rsid w:val="006828DD"/>
    <w:rsid w:val="00682B5E"/>
    <w:rsid w:val="00683306"/>
    <w:rsid w:val="00685091"/>
    <w:rsid w:val="0068675B"/>
    <w:rsid w:val="00694B48"/>
    <w:rsid w:val="006952D0"/>
    <w:rsid w:val="00695FD4"/>
    <w:rsid w:val="006973D2"/>
    <w:rsid w:val="006A337C"/>
    <w:rsid w:val="006A45D6"/>
    <w:rsid w:val="006A4A40"/>
    <w:rsid w:val="006A5FAF"/>
    <w:rsid w:val="006B29C5"/>
    <w:rsid w:val="006B62FC"/>
    <w:rsid w:val="006B6821"/>
    <w:rsid w:val="006C2364"/>
    <w:rsid w:val="006C4EB4"/>
    <w:rsid w:val="006C55B5"/>
    <w:rsid w:val="006C6EAB"/>
    <w:rsid w:val="006C798A"/>
    <w:rsid w:val="006D0F0E"/>
    <w:rsid w:val="006D46BB"/>
    <w:rsid w:val="006D54CF"/>
    <w:rsid w:val="006D6443"/>
    <w:rsid w:val="006E02CA"/>
    <w:rsid w:val="006E5A6A"/>
    <w:rsid w:val="006E7834"/>
    <w:rsid w:val="006F00B1"/>
    <w:rsid w:val="006F0EC9"/>
    <w:rsid w:val="006F73C1"/>
    <w:rsid w:val="00701A0E"/>
    <w:rsid w:val="00703330"/>
    <w:rsid w:val="00703483"/>
    <w:rsid w:val="00704C59"/>
    <w:rsid w:val="00705E7F"/>
    <w:rsid w:val="00712A8E"/>
    <w:rsid w:val="00712DAE"/>
    <w:rsid w:val="00713934"/>
    <w:rsid w:val="00713BC5"/>
    <w:rsid w:val="00714643"/>
    <w:rsid w:val="0071512F"/>
    <w:rsid w:val="00716F94"/>
    <w:rsid w:val="00726CDE"/>
    <w:rsid w:val="007311F2"/>
    <w:rsid w:val="00732388"/>
    <w:rsid w:val="00732BB3"/>
    <w:rsid w:val="00735169"/>
    <w:rsid w:val="0074033E"/>
    <w:rsid w:val="00741EBB"/>
    <w:rsid w:val="00741FC0"/>
    <w:rsid w:val="0074241B"/>
    <w:rsid w:val="00745905"/>
    <w:rsid w:val="007509B0"/>
    <w:rsid w:val="00750A0B"/>
    <w:rsid w:val="007544F6"/>
    <w:rsid w:val="00761FCD"/>
    <w:rsid w:val="00762B32"/>
    <w:rsid w:val="0076558A"/>
    <w:rsid w:val="007663B2"/>
    <w:rsid w:val="00766F27"/>
    <w:rsid w:val="00777704"/>
    <w:rsid w:val="00777915"/>
    <w:rsid w:val="0078021C"/>
    <w:rsid w:val="007808C1"/>
    <w:rsid w:val="0078114E"/>
    <w:rsid w:val="00782A06"/>
    <w:rsid w:val="00786565"/>
    <w:rsid w:val="007867F1"/>
    <w:rsid w:val="00786E8E"/>
    <w:rsid w:val="007879E8"/>
    <w:rsid w:val="007901BE"/>
    <w:rsid w:val="00791183"/>
    <w:rsid w:val="007946FF"/>
    <w:rsid w:val="00797A21"/>
    <w:rsid w:val="007A022B"/>
    <w:rsid w:val="007A0693"/>
    <w:rsid w:val="007A1B25"/>
    <w:rsid w:val="007A5769"/>
    <w:rsid w:val="007B1A41"/>
    <w:rsid w:val="007B4E2B"/>
    <w:rsid w:val="007B53E0"/>
    <w:rsid w:val="007B572D"/>
    <w:rsid w:val="007B5852"/>
    <w:rsid w:val="007B6DEC"/>
    <w:rsid w:val="007B74E8"/>
    <w:rsid w:val="007C100E"/>
    <w:rsid w:val="007C1A91"/>
    <w:rsid w:val="007C30A0"/>
    <w:rsid w:val="007C4AF6"/>
    <w:rsid w:val="007C6071"/>
    <w:rsid w:val="007C6085"/>
    <w:rsid w:val="007D25F9"/>
    <w:rsid w:val="007D4338"/>
    <w:rsid w:val="007D4A90"/>
    <w:rsid w:val="007D4F29"/>
    <w:rsid w:val="007D61E0"/>
    <w:rsid w:val="007E26FD"/>
    <w:rsid w:val="007E4256"/>
    <w:rsid w:val="007E4EE1"/>
    <w:rsid w:val="007E554B"/>
    <w:rsid w:val="007E6FF6"/>
    <w:rsid w:val="007E718F"/>
    <w:rsid w:val="007F128C"/>
    <w:rsid w:val="007F4D2C"/>
    <w:rsid w:val="007F54A0"/>
    <w:rsid w:val="007F5E42"/>
    <w:rsid w:val="007F6D85"/>
    <w:rsid w:val="008013DA"/>
    <w:rsid w:val="00803CDF"/>
    <w:rsid w:val="00806C99"/>
    <w:rsid w:val="0081056D"/>
    <w:rsid w:val="0081337F"/>
    <w:rsid w:val="008144EA"/>
    <w:rsid w:val="008164AC"/>
    <w:rsid w:val="00816C07"/>
    <w:rsid w:val="00817127"/>
    <w:rsid w:val="0081745B"/>
    <w:rsid w:val="00822005"/>
    <w:rsid w:val="008232C1"/>
    <w:rsid w:val="008273C9"/>
    <w:rsid w:val="00827696"/>
    <w:rsid w:val="00830D5E"/>
    <w:rsid w:val="0083129F"/>
    <w:rsid w:val="008350CB"/>
    <w:rsid w:val="008355FB"/>
    <w:rsid w:val="00843079"/>
    <w:rsid w:val="00845847"/>
    <w:rsid w:val="00846DF0"/>
    <w:rsid w:val="0085130D"/>
    <w:rsid w:val="0086001E"/>
    <w:rsid w:val="008621FA"/>
    <w:rsid w:val="0086234F"/>
    <w:rsid w:val="00862720"/>
    <w:rsid w:val="00864907"/>
    <w:rsid w:val="008675AF"/>
    <w:rsid w:val="008706BD"/>
    <w:rsid w:val="00872748"/>
    <w:rsid w:val="00872A01"/>
    <w:rsid w:val="00873A93"/>
    <w:rsid w:val="00873C38"/>
    <w:rsid w:val="00874BFF"/>
    <w:rsid w:val="00874CF4"/>
    <w:rsid w:val="008769A1"/>
    <w:rsid w:val="00884B71"/>
    <w:rsid w:val="0089138A"/>
    <w:rsid w:val="0089166F"/>
    <w:rsid w:val="00893C3B"/>
    <w:rsid w:val="00894787"/>
    <w:rsid w:val="00895000"/>
    <w:rsid w:val="008A0CF6"/>
    <w:rsid w:val="008A0EDF"/>
    <w:rsid w:val="008A25E9"/>
    <w:rsid w:val="008A5229"/>
    <w:rsid w:val="008A65A1"/>
    <w:rsid w:val="008A6FEF"/>
    <w:rsid w:val="008A70AE"/>
    <w:rsid w:val="008B0B3E"/>
    <w:rsid w:val="008B24BF"/>
    <w:rsid w:val="008B684C"/>
    <w:rsid w:val="008B6AA7"/>
    <w:rsid w:val="008B7C80"/>
    <w:rsid w:val="008C1E1F"/>
    <w:rsid w:val="008C2602"/>
    <w:rsid w:val="008C5459"/>
    <w:rsid w:val="008C750F"/>
    <w:rsid w:val="008D0789"/>
    <w:rsid w:val="008D633A"/>
    <w:rsid w:val="008D6AE1"/>
    <w:rsid w:val="008E2D72"/>
    <w:rsid w:val="008E34BC"/>
    <w:rsid w:val="008E5031"/>
    <w:rsid w:val="008F32E8"/>
    <w:rsid w:val="00900D4E"/>
    <w:rsid w:val="00901BC1"/>
    <w:rsid w:val="00905E3A"/>
    <w:rsid w:val="00911E05"/>
    <w:rsid w:val="00911EFA"/>
    <w:rsid w:val="0091606F"/>
    <w:rsid w:val="009169C4"/>
    <w:rsid w:val="00916E49"/>
    <w:rsid w:val="009238F2"/>
    <w:rsid w:val="00923A3D"/>
    <w:rsid w:val="00924122"/>
    <w:rsid w:val="0092475B"/>
    <w:rsid w:val="00925F54"/>
    <w:rsid w:val="00930DF1"/>
    <w:rsid w:val="00936999"/>
    <w:rsid w:val="00942538"/>
    <w:rsid w:val="009467EB"/>
    <w:rsid w:val="00946E39"/>
    <w:rsid w:val="00955D34"/>
    <w:rsid w:val="009561E2"/>
    <w:rsid w:val="00961467"/>
    <w:rsid w:val="00961733"/>
    <w:rsid w:val="00962433"/>
    <w:rsid w:val="00965AE7"/>
    <w:rsid w:val="0096602F"/>
    <w:rsid w:val="00970092"/>
    <w:rsid w:val="00971F29"/>
    <w:rsid w:val="0097365F"/>
    <w:rsid w:val="009741FD"/>
    <w:rsid w:val="00974BFE"/>
    <w:rsid w:val="00977119"/>
    <w:rsid w:val="009801C6"/>
    <w:rsid w:val="0098317F"/>
    <w:rsid w:val="00983F09"/>
    <w:rsid w:val="00984B58"/>
    <w:rsid w:val="00985D20"/>
    <w:rsid w:val="00987A97"/>
    <w:rsid w:val="009918AA"/>
    <w:rsid w:val="00992274"/>
    <w:rsid w:val="0099313C"/>
    <w:rsid w:val="009A0340"/>
    <w:rsid w:val="009A55AA"/>
    <w:rsid w:val="009A702F"/>
    <w:rsid w:val="009B15B5"/>
    <w:rsid w:val="009C04D6"/>
    <w:rsid w:val="009C103E"/>
    <w:rsid w:val="009C1B00"/>
    <w:rsid w:val="009C255E"/>
    <w:rsid w:val="009C468D"/>
    <w:rsid w:val="009D1C4F"/>
    <w:rsid w:val="009D49AD"/>
    <w:rsid w:val="009D5A91"/>
    <w:rsid w:val="009D7E66"/>
    <w:rsid w:val="009E0E57"/>
    <w:rsid w:val="009E7BB3"/>
    <w:rsid w:val="009F0065"/>
    <w:rsid w:val="009F1574"/>
    <w:rsid w:val="009F215C"/>
    <w:rsid w:val="009F4770"/>
    <w:rsid w:val="009F58CE"/>
    <w:rsid w:val="009F7BFD"/>
    <w:rsid w:val="009F7D20"/>
    <w:rsid w:val="00A02029"/>
    <w:rsid w:val="00A02D5C"/>
    <w:rsid w:val="00A04F7C"/>
    <w:rsid w:val="00A1036A"/>
    <w:rsid w:val="00A12C5A"/>
    <w:rsid w:val="00A15425"/>
    <w:rsid w:val="00A159B3"/>
    <w:rsid w:val="00A16BB1"/>
    <w:rsid w:val="00A17E2E"/>
    <w:rsid w:val="00A25907"/>
    <w:rsid w:val="00A30ECC"/>
    <w:rsid w:val="00A352F0"/>
    <w:rsid w:val="00A36981"/>
    <w:rsid w:val="00A37531"/>
    <w:rsid w:val="00A41EE3"/>
    <w:rsid w:val="00A4270D"/>
    <w:rsid w:val="00A4552C"/>
    <w:rsid w:val="00A46B8C"/>
    <w:rsid w:val="00A476D3"/>
    <w:rsid w:val="00A515FB"/>
    <w:rsid w:val="00A531C8"/>
    <w:rsid w:val="00A53ED8"/>
    <w:rsid w:val="00A550E0"/>
    <w:rsid w:val="00A551E4"/>
    <w:rsid w:val="00A56BF2"/>
    <w:rsid w:val="00A57958"/>
    <w:rsid w:val="00A64062"/>
    <w:rsid w:val="00A70040"/>
    <w:rsid w:val="00A70CAB"/>
    <w:rsid w:val="00A71667"/>
    <w:rsid w:val="00A749FB"/>
    <w:rsid w:val="00A805B9"/>
    <w:rsid w:val="00A853F0"/>
    <w:rsid w:val="00A856F1"/>
    <w:rsid w:val="00A85AAF"/>
    <w:rsid w:val="00A93DEE"/>
    <w:rsid w:val="00A94FB4"/>
    <w:rsid w:val="00A95A78"/>
    <w:rsid w:val="00A96746"/>
    <w:rsid w:val="00AA0569"/>
    <w:rsid w:val="00AA073E"/>
    <w:rsid w:val="00AA1820"/>
    <w:rsid w:val="00AA19A2"/>
    <w:rsid w:val="00AA49C0"/>
    <w:rsid w:val="00AA7986"/>
    <w:rsid w:val="00AB23BE"/>
    <w:rsid w:val="00AB26E1"/>
    <w:rsid w:val="00AB6C52"/>
    <w:rsid w:val="00AC01B9"/>
    <w:rsid w:val="00AC0781"/>
    <w:rsid w:val="00AC3802"/>
    <w:rsid w:val="00AC380A"/>
    <w:rsid w:val="00AC3FE4"/>
    <w:rsid w:val="00AC6E8F"/>
    <w:rsid w:val="00AD1997"/>
    <w:rsid w:val="00AD5E82"/>
    <w:rsid w:val="00AD6C4D"/>
    <w:rsid w:val="00AE2F3C"/>
    <w:rsid w:val="00AE5E11"/>
    <w:rsid w:val="00AE5F60"/>
    <w:rsid w:val="00AE79CA"/>
    <w:rsid w:val="00AF13FC"/>
    <w:rsid w:val="00AF29A9"/>
    <w:rsid w:val="00AF4509"/>
    <w:rsid w:val="00AF6206"/>
    <w:rsid w:val="00AF6C21"/>
    <w:rsid w:val="00B00CC6"/>
    <w:rsid w:val="00B05C88"/>
    <w:rsid w:val="00B0669A"/>
    <w:rsid w:val="00B07AF0"/>
    <w:rsid w:val="00B125BE"/>
    <w:rsid w:val="00B127E8"/>
    <w:rsid w:val="00B170B2"/>
    <w:rsid w:val="00B23EB7"/>
    <w:rsid w:val="00B27306"/>
    <w:rsid w:val="00B40062"/>
    <w:rsid w:val="00B40718"/>
    <w:rsid w:val="00B438E6"/>
    <w:rsid w:val="00B450F2"/>
    <w:rsid w:val="00B533ED"/>
    <w:rsid w:val="00B57494"/>
    <w:rsid w:val="00B62712"/>
    <w:rsid w:val="00B64558"/>
    <w:rsid w:val="00B7101D"/>
    <w:rsid w:val="00B72388"/>
    <w:rsid w:val="00B73194"/>
    <w:rsid w:val="00B74B22"/>
    <w:rsid w:val="00B768CF"/>
    <w:rsid w:val="00B76D53"/>
    <w:rsid w:val="00B77634"/>
    <w:rsid w:val="00B808BC"/>
    <w:rsid w:val="00B80B5D"/>
    <w:rsid w:val="00B8148E"/>
    <w:rsid w:val="00B834FB"/>
    <w:rsid w:val="00B8505C"/>
    <w:rsid w:val="00B875E8"/>
    <w:rsid w:val="00B876B0"/>
    <w:rsid w:val="00B90144"/>
    <w:rsid w:val="00B9315B"/>
    <w:rsid w:val="00B939BA"/>
    <w:rsid w:val="00B94DCB"/>
    <w:rsid w:val="00B96E93"/>
    <w:rsid w:val="00BA0B8C"/>
    <w:rsid w:val="00BA2E97"/>
    <w:rsid w:val="00BA3101"/>
    <w:rsid w:val="00BA4D78"/>
    <w:rsid w:val="00BA52AA"/>
    <w:rsid w:val="00BA5A45"/>
    <w:rsid w:val="00BB2F81"/>
    <w:rsid w:val="00BB57C2"/>
    <w:rsid w:val="00BB5FC3"/>
    <w:rsid w:val="00BB64B1"/>
    <w:rsid w:val="00BB6E92"/>
    <w:rsid w:val="00BC14D7"/>
    <w:rsid w:val="00BC4881"/>
    <w:rsid w:val="00BC6E7C"/>
    <w:rsid w:val="00BD16BB"/>
    <w:rsid w:val="00BD2889"/>
    <w:rsid w:val="00BD53AE"/>
    <w:rsid w:val="00BD5D12"/>
    <w:rsid w:val="00BD76CD"/>
    <w:rsid w:val="00BE2BB9"/>
    <w:rsid w:val="00BE6B0F"/>
    <w:rsid w:val="00BE75A6"/>
    <w:rsid w:val="00BF083E"/>
    <w:rsid w:val="00BF1113"/>
    <w:rsid w:val="00BF16A2"/>
    <w:rsid w:val="00BF6B6D"/>
    <w:rsid w:val="00BF6DEF"/>
    <w:rsid w:val="00C02422"/>
    <w:rsid w:val="00C04914"/>
    <w:rsid w:val="00C10628"/>
    <w:rsid w:val="00C106BB"/>
    <w:rsid w:val="00C16704"/>
    <w:rsid w:val="00C20CD5"/>
    <w:rsid w:val="00C231D3"/>
    <w:rsid w:val="00C23710"/>
    <w:rsid w:val="00C24574"/>
    <w:rsid w:val="00C26C3B"/>
    <w:rsid w:val="00C32077"/>
    <w:rsid w:val="00C3218A"/>
    <w:rsid w:val="00C33D55"/>
    <w:rsid w:val="00C35F7D"/>
    <w:rsid w:val="00C36296"/>
    <w:rsid w:val="00C36E32"/>
    <w:rsid w:val="00C40398"/>
    <w:rsid w:val="00C41FFD"/>
    <w:rsid w:val="00C42159"/>
    <w:rsid w:val="00C42379"/>
    <w:rsid w:val="00C42BA1"/>
    <w:rsid w:val="00C4455C"/>
    <w:rsid w:val="00C467B0"/>
    <w:rsid w:val="00C479D1"/>
    <w:rsid w:val="00C53A03"/>
    <w:rsid w:val="00C564F6"/>
    <w:rsid w:val="00C5790F"/>
    <w:rsid w:val="00C60DC5"/>
    <w:rsid w:val="00C60F80"/>
    <w:rsid w:val="00C645B1"/>
    <w:rsid w:val="00C64C0F"/>
    <w:rsid w:val="00C65956"/>
    <w:rsid w:val="00C66A4A"/>
    <w:rsid w:val="00C66D62"/>
    <w:rsid w:val="00C67C3E"/>
    <w:rsid w:val="00C74CD6"/>
    <w:rsid w:val="00C74E26"/>
    <w:rsid w:val="00C760FD"/>
    <w:rsid w:val="00C77E82"/>
    <w:rsid w:val="00C8077E"/>
    <w:rsid w:val="00C82FBC"/>
    <w:rsid w:val="00C83275"/>
    <w:rsid w:val="00C84FE2"/>
    <w:rsid w:val="00C85A29"/>
    <w:rsid w:val="00C86492"/>
    <w:rsid w:val="00C8742A"/>
    <w:rsid w:val="00C91F93"/>
    <w:rsid w:val="00C9395C"/>
    <w:rsid w:val="00C95F28"/>
    <w:rsid w:val="00CA1C07"/>
    <w:rsid w:val="00CA33F1"/>
    <w:rsid w:val="00CA46AB"/>
    <w:rsid w:val="00CB3368"/>
    <w:rsid w:val="00CB6AE4"/>
    <w:rsid w:val="00CB71DF"/>
    <w:rsid w:val="00CC0E20"/>
    <w:rsid w:val="00CC2192"/>
    <w:rsid w:val="00CC44B7"/>
    <w:rsid w:val="00CC7A28"/>
    <w:rsid w:val="00CC7B70"/>
    <w:rsid w:val="00CD032B"/>
    <w:rsid w:val="00CD0792"/>
    <w:rsid w:val="00CD12E3"/>
    <w:rsid w:val="00CD2354"/>
    <w:rsid w:val="00CD3E0B"/>
    <w:rsid w:val="00CD5BE0"/>
    <w:rsid w:val="00CD6A13"/>
    <w:rsid w:val="00CD7096"/>
    <w:rsid w:val="00CE0501"/>
    <w:rsid w:val="00CE5BBA"/>
    <w:rsid w:val="00CE6991"/>
    <w:rsid w:val="00CE6DE0"/>
    <w:rsid w:val="00CE79AF"/>
    <w:rsid w:val="00CF14D3"/>
    <w:rsid w:val="00CF2CB8"/>
    <w:rsid w:val="00CF316B"/>
    <w:rsid w:val="00CF3866"/>
    <w:rsid w:val="00CF3FD3"/>
    <w:rsid w:val="00CF62C1"/>
    <w:rsid w:val="00D0434D"/>
    <w:rsid w:val="00D0472A"/>
    <w:rsid w:val="00D048AA"/>
    <w:rsid w:val="00D14885"/>
    <w:rsid w:val="00D16E3B"/>
    <w:rsid w:val="00D17FFE"/>
    <w:rsid w:val="00D21458"/>
    <w:rsid w:val="00D263F1"/>
    <w:rsid w:val="00D275CF"/>
    <w:rsid w:val="00D313A3"/>
    <w:rsid w:val="00D330BB"/>
    <w:rsid w:val="00D344E4"/>
    <w:rsid w:val="00D36C92"/>
    <w:rsid w:val="00D424CE"/>
    <w:rsid w:val="00D42C94"/>
    <w:rsid w:val="00D4535E"/>
    <w:rsid w:val="00D5020A"/>
    <w:rsid w:val="00D5212B"/>
    <w:rsid w:val="00D524E8"/>
    <w:rsid w:val="00D56804"/>
    <w:rsid w:val="00D568BE"/>
    <w:rsid w:val="00D60C32"/>
    <w:rsid w:val="00D623A6"/>
    <w:rsid w:val="00D63944"/>
    <w:rsid w:val="00D6543A"/>
    <w:rsid w:val="00D66019"/>
    <w:rsid w:val="00D6702E"/>
    <w:rsid w:val="00D67B52"/>
    <w:rsid w:val="00D72D3A"/>
    <w:rsid w:val="00D75211"/>
    <w:rsid w:val="00D775AF"/>
    <w:rsid w:val="00D80371"/>
    <w:rsid w:val="00D83D28"/>
    <w:rsid w:val="00D841A5"/>
    <w:rsid w:val="00D855D8"/>
    <w:rsid w:val="00D85714"/>
    <w:rsid w:val="00D874F5"/>
    <w:rsid w:val="00D87971"/>
    <w:rsid w:val="00D87F2B"/>
    <w:rsid w:val="00D94316"/>
    <w:rsid w:val="00D958C8"/>
    <w:rsid w:val="00D97A9D"/>
    <w:rsid w:val="00DA1501"/>
    <w:rsid w:val="00DA1E86"/>
    <w:rsid w:val="00DA4475"/>
    <w:rsid w:val="00DA4DFD"/>
    <w:rsid w:val="00DA6116"/>
    <w:rsid w:val="00DA746A"/>
    <w:rsid w:val="00DB0F7F"/>
    <w:rsid w:val="00DC0AEB"/>
    <w:rsid w:val="00DC24CB"/>
    <w:rsid w:val="00DC4C61"/>
    <w:rsid w:val="00DC6B19"/>
    <w:rsid w:val="00DD14DC"/>
    <w:rsid w:val="00DD47E0"/>
    <w:rsid w:val="00DE0648"/>
    <w:rsid w:val="00DE3E8D"/>
    <w:rsid w:val="00DF26C5"/>
    <w:rsid w:val="00DF53B6"/>
    <w:rsid w:val="00DF59FF"/>
    <w:rsid w:val="00DF6C19"/>
    <w:rsid w:val="00E03157"/>
    <w:rsid w:val="00E04086"/>
    <w:rsid w:val="00E0488F"/>
    <w:rsid w:val="00E064FC"/>
    <w:rsid w:val="00E11B95"/>
    <w:rsid w:val="00E11F7A"/>
    <w:rsid w:val="00E12A02"/>
    <w:rsid w:val="00E17010"/>
    <w:rsid w:val="00E24D94"/>
    <w:rsid w:val="00E26E78"/>
    <w:rsid w:val="00E270D3"/>
    <w:rsid w:val="00E27131"/>
    <w:rsid w:val="00E300C3"/>
    <w:rsid w:val="00E34980"/>
    <w:rsid w:val="00E369F8"/>
    <w:rsid w:val="00E36B82"/>
    <w:rsid w:val="00E414C7"/>
    <w:rsid w:val="00E4409C"/>
    <w:rsid w:val="00E45D76"/>
    <w:rsid w:val="00E45E14"/>
    <w:rsid w:val="00E52893"/>
    <w:rsid w:val="00E54932"/>
    <w:rsid w:val="00E54958"/>
    <w:rsid w:val="00E55EB5"/>
    <w:rsid w:val="00E5612E"/>
    <w:rsid w:val="00E5676B"/>
    <w:rsid w:val="00E56A0E"/>
    <w:rsid w:val="00E60C86"/>
    <w:rsid w:val="00E61A0E"/>
    <w:rsid w:val="00E623F9"/>
    <w:rsid w:val="00E63417"/>
    <w:rsid w:val="00E65D97"/>
    <w:rsid w:val="00E730FD"/>
    <w:rsid w:val="00E730FE"/>
    <w:rsid w:val="00E819FF"/>
    <w:rsid w:val="00E81FFA"/>
    <w:rsid w:val="00E83B5D"/>
    <w:rsid w:val="00E8480D"/>
    <w:rsid w:val="00E85AC7"/>
    <w:rsid w:val="00E863AF"/>
    <w:rsid w:val="00E92BB2"/>
    <w:rsid w:val="00E930CB"/>
    <w:rsid w:val="00E94062"/>
    <w:rsid w:val="00E94EDD"/>
    <w:rsid w:val="00E95717"/>
    <w:rsid w:val="00EA04A3"/>
    <w:rsid w:val="00EA28C3"/>
    <w:rsid w:val="00EA49CC"/>
    <w:rsid w:val="00EA524A"/>
    <w:rsid w:val="00EA5A07"/>
    <w:rsid w:val="00EA73C1"/>
    <w:rsid w:val="00EB54F6"/>
    <w:rsid w:val="00EB591A"/>
    <w:rsid w:val="00EC0F55"/>
    <w:rsid w:val="00EC134A"/>
    <w:rsid w:val="00EC1B12"/>
    <w:rsid w:val="00EC1B77"/>
    <w:rsid w:val="00EC1FDD"/>
    <w:rsid w:val="00EC2731"/>
    <w:rsid w:val="00EC2A35"/>
    <w:rsid w:val="00EC5DED"/>
    <w:rsid w:val="00ED09BE"/>
    <w:rsid w:val="00ED103C"/>
    <w:rsid w:val="00ED41DB"/>
    <w:rsid w:val="00ED5092"/>
    <w:rsid w:val="00ED6081"/>
    <w:rsid w:val="00ED70B9"/>
    <w:rsid w:val="00EE07A9"/>
    <w:rsid w:val="00EE18CC"/>
    <w:rsid w:val="00EF08D7"/>
    <w:rsid w:val="00EF2A78"/>
    <w:rsid w:val="00EF6F10"/>
    <w:rsid w:val="00EF7114"/>
    <w:rsid w:val="00EF7A4E"/>
    <w:rsid w:val="00F007D7"/>
    <w:rsid w:val="00F05BCC"/>
    <w:rsid w:val="00F06C1B"/>
    <w:rsid w:val="00F1325E"/>
    <w:rsid w:val="00F13544"/>
    <w:rsid w:val="00F16055"/>
    <w:rsid w:val="00F17333"/>
    <w:rsid w:val="00F17D02"/>
    <w:rsid w:val="00F17E1A"/>
    <w:rsid w:val="00F20704"/>
    <w:rsid w:val="00F22DF8"/>
    <w:rsid w:val="00F2435A"/>
    <w:rsid w:val="00F251D8"/>
    <w:rsid w:val="00F339B9"/>
    <w:rsid w:val="00F3488F"/>
    <w:rsid w:val="00F351B5"/>
    <w:rsid w:val="00F352A5"/>
    <w:rsid w:val="00F36D7D"/>
    <w:rsid w:val="00F37734"/>
    <w:rsid w:val="00F37F4A"/>
    <w:rsid w:val="00F43CD1"/>
    <w:rsid w:val="00F472A4"/>
    <w:rsid w:val="00F50376"/>
    <w:rsid w:val="00F53F66"/>
    <w:rsid w:val="00F54E55"/>
    <w:rsid w:val="00F66066"/>
    <w:rsid w:val="00F71634"/>
    <w:rsid w:val="00F71CEC"/>
    <w:rsid w:val="00F763E7"/>
    <w:rsid w:val="00F76423"/>
    <w:rsid w:val="00F7738E"/>
    <w:rsid w:val="00F87CB0"/>
    <w:rsid w:val="00F92569"/>
    <w:rsid w:val="00F927DB"/>
    <w:rsid w:val="00F92E2C"/>
    <w:rsid w:val="00FA0CB2"/>
    <w:rsid w:val="00FA28A3"/>
    <w:rsid w:val="00FA3FD9"/>
    <w:rsid w:val="00FA48C3"/>
    <w:rsid w:val="00FA4934"/>
    <w:rsid w:val="00FB244E"/>
    <w:rsid w:val="00FB323A"/>
    <w:rsid w:val="00FC353A"/>
    <w:rsid w:val="00FC3977"/>
    <w:rsid w:val="00FC6C0B"/>
    <w:rsid w:val="00FD0FB1"/>
    <w:rsid w:val="00FD5688"/>
    <w:rsid w:val="00FE11B1"/>
    <w:rsid w:val="00FE3A7A"/>
    <w:rsid w:val="00FE61B6"/>
    <w:rsid w:val="00FF005B"/>
    <w:rsid w:val="00FF6940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EE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uiPriority w:val="99"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Style1">
    <w:name w:val="Style1"/>
    <w:basedOn w:val="Normal"/>
    <w:link w:val="Style1Char"/>
    <w:qFormat/>
    <w:rsid w:val="00874CF4"/>
    <w:pPr>
      <w:spacing w:after="100" w:afterAutospacing="1" w:line="300" w:lineRule="auto"/>
      <w:ind w:firstLine="360"/>
      <w:contextualSpacing/>
      <w:jc w:val="both"/>
    </w:pPr>
    <w:rPr>
      <w:rFonts w:eastAsia="SimSun"/>
      <w:sz w:val="20"/>
      <w:szCs w:val="20"/>
    </w:rPr>
  </w:style>
  <w:style w:type="character" w:customStyle="1" w:styleId="Style1Char">
    <w:name w:val="Style1 Char"/>
    <w:link w:val="Style1"/>
    <w:qFormat/>
    <w:rsid w:val="00874CF4"/>
    <w:rPr>
      <w:rFonts w:ascii="Times New Roman" w:eastAsia="SimSu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863AF"/>
    <w:pPr>
      <w:spacing w:before="100" w:beforeAutospacing="1" w:after="100" w:afterAutospacing="1"/>
    </w:pPr>
  </w:style>
  <w:style w:type="paragraph" w:customStyle="1" w:styleId="00Text">
    <w:name w:val="00_Text"/>
    <w:basedOn w:val="Normal"/>
    <w:link w:val="00TextChar"/>
    <w:qFormat/>
    <w:rsid w:val="006C2364"/>
    <w:pPr>
      <w:spacing w:after="100" w:afterAutospacing="1" w:line="264" w:lineRule="auto"/>
      <w:jc w:val="both"/>
    </w:pPr>
    <w:rPr>
      <w:rFonts w:eastAsia="SimSun"/>
      <w:sz w:val="20"/>
    </w:rPr>
  </w:style>
  <w:style w:type="character" w:customStyle="1" w:styleId="00TextChar">
    <w:name w:val="00_Text Char"/>
    <w:basedOn w:val="DefaultParagraphFont"/>
    <w:link w:val="00Text"/>
    <w:qFormat/>
    <w:rsid w:val="006C2364"/>
    <w:rPr>
      <w:rFonts w:ascii="Times New Roman" w:eastAsia="SimSun" w:hAnsi="Times New Roman" w:cs="Times New Roman"/>
      <w:sz w:val="20"/>
    </w:rPr>
  </w:style>
  <w:style w:type="paragraph" w:customStyle="1" w:styleId="xmsonormal">
    <w:name w:val="x_msonormal"/>
    <w:basedOn w:val="Normal"/>
    <w:uiPriority w:val="99"/>
    <w:qFormat/>
    <w:rsid w:val="0047202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Apple</cp:lastModifiedBy>
  <cp:revision>846</cp:revision>
  <dcterms:created xsi:type="dcterms:W3CDTF">2020-02-04T02:31:00Z</dcterms:created>
  <dcterms:modified xsi:type="dcterms:W3CDTF">2021-11-11T03:15:00Z</dcterms:modified>
</cp:coreProperties>
</file>