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323826F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F58F4">
        <w:rPr>
          <w:sz w:val="24"/>
          <w:lang w:eastAsia="zh-CN"/>
        </w:rPr>
        <w:t>7</w:t>
      </w:r>
      <w:r w:rsidRPr="00F001F6">
        <w:rPr>
          <w:rFonts w:hint="eastAsia"/>
          <w:sz w:val="24"/>
          <w:lang w:eastAsia="zh-CN"/>
        </w:rPr>
        <w:t>-e</w:t>
      </w:r>
      <w:r w:rsidRPr="00F001F6">
        <w:rPr>
          <w:bCs/>
          <w:sz w:val="24"/>
        </w:rPr>
        <w:tab/>
      </w:r>
      <w:r w:rsidRPr="003F58F4">
        <w:rPr>
          <w:sz w:val="24"/>
          <w:highlight w:val="yellow"/>
          <w:lang w:eastAsia="zh-CN"/>
        </w:rPr>
        <w:t>R1-21</w:t>
      </w:r>
      <w:r w:rsidR="005250F0" w:rsidRPr="003F58F4">
        <w:rPr>
          <w:sz w:val="24"/>
          <w:highlight w:val="yellow"/>
          <w:lang w:eastAsia="zh-CN"/>
        </w:rPr>
        <w:t>10687</w:t>
      </w:r>
    </w:p>
    <w:p w14:paraId="6654FEE9" w14:textId="4517DF0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3F58F4">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0A8428E8"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005250F0">
        <w:rPr>
          <w:rFonts w:ascii="Arial" w:hAnsi="Arial" w:cs="Arial"/>
          <w:b/>
          <w:bCs/>
          <w:sz w:val="24"/>
        </w:rPr>
        <w:t>WI r</w:t>
      </w:r>
      <w:r w:rsidR="00A1387E" w:rsidRPr="00FE2372">
        <w:rPr>
          <w:rFonts w:ascii="Arial" w:hAnsi="Arial" w:cs="Arial"/>
          <w:b/>
          <w:bCs/>
          <w:sz w:val="24"/>
        </w:rPr>
        <w:t>apporteur (</w:t>
      </w:r>
      <w:r w:rsidR="00A1387E">
        <w:rPr>
          <w:rFonts w:ascii="Arial" w:hAnsi="Arial" w:cs="Arial"/>
          <w:b/>
          <w:bCs/>
          <w:sz w:val="24"/>
        </w:rPr>
        <w:t>China Telecom</w:t>
      </w:r>
      <w:r w:rsidR="00A1387E" w:rsidRPr="00FE2372">
        <w:rPr>
          <w:rFonts w:ascii="Arial" w:hAnsi="Arial" w:cs="Arial"/>
          <w:b/>
          <w:bCs/>
          <w:sz w:val="24"/>
        </w:rPr>
        <w:t>)</w:t>
      </w:r>
    </w:p>
    <w:p w14:paraId="0C49B147" w14:textId="6896D90F"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C34A5">
        <w:rPr>
          <w:rFonts w:ascii="Arial" w:hAnsi="Arial" w:cs="Arial"/>
          <w:b/>
          <w:bCs/>
          <w:sz w:val="24"/>
        </w:rPr>
        <w:t xml:space="preserve">RAN1 </w:t>
      </w:r>
      <w:r w:rsidR="00E210A8">
        <w:rPr>
          <w:rFonts w:ascii="Arial" w:hAnsi="Arial" w:cs="Arial" w:hint="eastAsia"/>
          <w:b/>
          <w:bCs/>
          <w:sz w:val="24"/>
          <w:lang w:eastAsia="zh-CN"/>
        </w:rPr>
        <w:t>a</w:t>
      </w:r>
      <w:r w:rsidR="00297D70" w:rsidRPr="00297D70">
        <w:rPr>
          <w:rFonts w:ascii="Arial" w:hAnsi="Arial" w:cs="Arial"/>
          <w:b/>
          <w:bCs/>
          <w:sz w:val="24"/>
        </w:rPr>
        <w:t>greements for Rel-17 Tx switching</w:t>
      </w:r>
    </w:p>
    <w:p w14:paraId="0222BA74" w14:textId="06A1B06E" w:rsidR="003E2811" w:rsidRPr="00242FBB" w:rsidRDefault="00A1387E" w:rsidP="003E281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hint="eastAsia"/>
          <w:b/>
          <w:bCs/>
          <w:sz w:val="24"/>
          <w:lang w:eastAsia="zh-CN"/>
        </w:rPr>
        <w:t>Information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lastRenderedPageBreak/>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5C6CB8A4" w14:textId="593FA000" w:rsidR="00D01314" w:rsidRDefault="00D01314" w:rsidP="00D01314">
      <w:pPr>
        <w:spacing w:after="120" w:line="240" w:lineRule="auto"/>
        <w:rPr>
          <w:szCs w:val="21"/>
          <w:lang w:val="en-GB"/>
        </w:rPr>
      </w:pPr>
      <w:r w:rsidRPr="00EB3B3B">
        <w:rPr>
          <w:szCs w:val="21"/>
          <w:lang w:val="en-GB"/>
        </w:rPr>
        <w:t xml:space="preserve">This contribution is a summary of </w:t>
      </w:r>
      <w:r w:rsidR="00700263">
        <w:rPr>
          <w:szCs w:val="21"/>
          <w:lang w:val="en-GB"/>
        </w:rPr>
        <w:t xml:space="preserve">RAN1 </w:t>
      </w:r>
      <w:r w:rsidR="00437796">
        <w:rPr>
          <w:szCs w:val="21"/>
          <w:lang w:val="en-GB"/>
        </w:rPr>
        <w:t>agreements till RAN1 #107</w:t>
      </w:r>
      <w:bookmarkStart w:id="3" w:name="_GoBack"/>
      <w:bookmarkEnd w:id="3"/>
      <w:r>
        <w:rPr>
          <w:szCs w:val="21"/>
          <w:lang w:val="en-GB"/>
        </w:rPr>
        <w:t>-e</w:t>
      </w:r>
      <w:r w:rsidRPr="00EB3B3B">
        <w:rPr>
          <w:szCs w:val="21"/>
          <w:lang w:val="en-GB"/>
        </w:rPr>
        <w:t>.</w:t>
      </w:r>
    </w:p>
    <w:p w14:paraId="36202504" w14:textId="77777777" w:rsidR="005D117E" w:rsidRDefault="005D117E" w:rsidP="007A79B0">
      <w:pPr>
        <w:pStyle w:val="ad"/>
        <w:spacing w:beforeLines="50" w:before="120"/>
        <w:jc w:val="both"/>
        <w:rPr>
          <w:sz w:val="21"/>
          <w:szCs w:val="21"/>
          <w:lang w:eastAsia="zh-CN"/>
        </w:rPr>
      </w:pPr>
    </w:p>
    <w:p w14:paraId="77D063BE" w14:textId="354955A7" w:rsidR="003E2811" w:rsidRPr="0078053A" w:rsidRDefault="003E2811" w:rsidP="003E2811">
      <w:pPr>
        <w:pStyle w:val="1"/>
        <w:spacing w:line="240" w:lineRule="auto"/>
      </w:pPr>
      <w:r w:rsidRPr="0078053A">
        <w:t>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3EC4E7D3" w:rsidR="003E2811" w:rsidRDefault="003E2811" w:rsidP="003E2811">
      <w:pPr>
        <w:pStyle w:val="ad"/>
        <w:spacing w:beforeLines="50" w:before="120"/>
        <w:jc w:val="both"/>
        <w:rPr>
          <w:sz w:val="21"/>
          <w:szCs w:val="21"/>
          <w:lang w:eastAsia="zh-CN"/>
        </w:rPr>
      </w:pPr>
    </w:p>
    <w:p w14:paraId="50E35904" w14:textId="1E49C6D8" w:rsidR="00377132" w:rsidRPr="0078053A" w:rsidRDefault="00377132" w:rsidP="00377132">
      <w:pPr>
        <w:pStyle w:val="1"/>
        <w:spacing w:line="240" w:lineRule="auto"/>
      </w:pPr>
      <w:r>
        <w:t>RAN1#105</w:t>
      </w:r>
      <w:r w:rsidRPr="0078053A">
        <w:t>-e</w:t>
      </w:r>
    </w:p>
    <w:p w14:paraId="3CDAC572" w14:textId="77777777" w:rsidR="00377132" w:rsidRPr="0078053A" w:rsidRDefault="00377132" w:rsidP="00377132">
      <w:pPr>
        <w:rPr>
          <w:b/>
          <w:sz w:val="21"/>
          <w:szCs w:val="21"/>
          <w:highlight w:val="green"/>
        </w:rPr>
      </w:pPr>
      <w:r w:rsidRPr="0078053A">
        <w:rPr>
          <w:b/>
          <w:sz w:val="21"/>
          <w:szCs w:val="21"/>
          <w:highlight w:val="green"/>
        </w:rPr>
        <w:t>Agreements:</w:t>
      </w:r>
    </w:p>
    <w:p w14:paraId="2FD57BD5" w14:textId="77777777" w:rsidR="00377132" w:rsidRPr="00CB65A3" w:rsidRDefault="00377132" w:rsidP="00377132">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2BFC76EB" w14:textId="77777777" w:rsidR="00377132" w:rsidRDefault="00377132" w:rsidP="00377132">
      <w:pPr>
        <w:snapToGrid w:val="0"/>
        <w:spacing w:after="100"/>
        <w:jc w:val="both"/>
        <w:rPr>
          <w:b/>
          <w:sz w:val="21"/>
          <w:szCs w:val="21"/>
          <w:highlight w:val="yellow"/>
          <w:lang w:val="en-GB" w:eastAsia="zh-CN"/>
        </w:rPr>
      </w:pPr>
    </w:p>
    <w:p w14:paraId="0F6AD55D" w14:textId="77777777" w:rsidR="00377132" w:rsidRPr="0078053A" w:rsidRDefault="00377132" w:rsidP="00377132">
      <w:pPr>
        <w:rPr>
          <w:b/>
          <w:sz w:val="21"/>
          <w:szCs w:val="21"/>
          <w:highlight w:val="green"/>
        </w:rPr>
      </w:pPr>
      <w:r w:rsidRPr="0078053A">
        <w:rPr>
          <w:b/>
          <w:sz w:val="21"/>
          <w:szCs w:val="21"/>
          <w:highlight w:val="green"/>
        </w:rPr>
        <w:t>Agreements:</w:t>
      </w:r>
    </w:p>
    <w:p w14:paraId="108808E9" w14:textId="77777777" w:rsidR="00377132" w:rsidRPr="00CB65A3" w:rsidRDefault="00377132" w:rsidP="00377132">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4DCA87FE" w14:textId="77777777" w:rsidR="00377132" w:rsidRPr="00CB65A3" w:rsidRDefault="00377132" w:rsidP="00377132">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6DD001B3" w14:textId="77777777" w:rsidR="00377132" w:rsidRDefault="00377132" w:rsidP="00377132">
      <w:pPr>
        <w:pStyle w:val="ad"/>
        <w:spacing w:beforeLines="50" w:before="120"/>
        <w:jc w:val="both"/>
        <w:rPr>
          <w:b/>
          <w:sz w:val="21"/>
          <w:szCs w:val="21"/>
          <w:highlight w:val="yellow"/>
        </w:rPr>
      </w:pPr>
    </w:p>
    <w:p w14:paraId="5FDE157B" w14:textId="77777777" w:rsidR="00377132" w:rsidRPr="0078053A" w:rsidRDefault="00377132" w:rsidP="00377132">
      <w:pPr>
        <w:rPr>
          <w:b/>
          <w:sz w:val="21"/>
          <w:szCs w:val="21"/>
          <w:highlight w:val="green"/>
        </w:rPr>
      </w:pPr>
      <w:r w:rsidRPr="0078053A">
        <w:rPr>
          <w:b/>
          <w:sz w:val="21"/>
          <w:szCs w:val="21"/>
          <w:highlight w:val="green"/>
        </w:rPr>
        <w:t>Agreements:</w:t>
      </w:r>
    </w:p>
    <w:p w14:paraId="65EAE76C" w14:textId="77777777" w:rsidR="00377132" w:rsidRPr="00CB65A3" w:rsidRDefault="00377132" w:rsidP="00377132">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7FBD0EF8" w14:textId="77777777" w:rsidR="00377132" w:rsidRPr="00CB65A3" w:rsidRDefault="00377132" w:rsidP="00377132">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12F44026" w14:textId="77777777" w:rsidR="00377132" w:rsidRPr="00CB65A3" w:rsidRDefault="00377132" w:rsidP="00377132">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3F4DB59D"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233D30A3"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7D7FA691" w14:textId="77777777" w:rsidR="00377132" w:rsidRPr="00CB65A3" w:rsidRDefault="00377132" w:rsidP="00377132">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25260236" w14:textId="77777777" w:rsidR="00377132" w:rsidRPr="00CB65A3" w:rsidRDefault="00377132" w:rsidP="00377132">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3E2F9D12" w14:textId="77777777" w:rsidR="00377132" w:rsidRPr="00CB65A3" w:rsidRDefault="00377132" w:rsidP="00377132">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43A99202" w14:textId="599E9D5F" w:rsidR="00377132" w:rsidRDefault="00377132" w:rsidP="00377132">
      <w:pPr>
        <w:pStyle w:val="ad"/>
        <w:spacing w:beforeLines="50" w:before="120"/>
        <w:jc w:val="both"/>
        <w:rPr>
          <w:sz w:val="21"/>
          <w:szCs w:val="21"/>
          <w:lang w:val="en-US" w:eastAsia="zh-CN"/>
        </w:rPr>
      </w:pPr>
    </w:p>
    <w:p w14:paraId="3508280B" w14:textId="77777777" w:rsidR="00A717D7" w:rsidRDefault="00A717D7" w:rsidP="00377132">
      <w:pPr>
        <w:pStyle w:val="ad"/>
        <w:spacing w:beforeLines="50" w:before="120"/>
        <w:jc w:val="both"/>
        <w:rPr>
          <w:sz w:val="21"/>
          <w:szCs w:val="21"/>
          <w:lang w:val="en-US" w:eastAsia="zh-CN"/>
        </w:rPr>
      </w:pPr>
    </w:p>
    <w:p w14:paraId="5B5321BA" w14:textId="77777777" w:rsidR="00377132" w:rsidRPr="00D06B57" w:rsidRDefault="00377132" w:rsidP="00377132">
      <w:pPr>
        <w:rPr>
          <w:b/>
          <w:sz w:val="21"/>
          <w:szCs w:val="21"/>
          <w:highlight w:val="green"/>
          <w:lang w:eastAsia="x-none"/>
        </w:rPr>
      </w:pPr>
      <w:r w:rsidRPr="00D06B57">
        <w:rPr>
          <w:b/>
          <w:sz w:val="21"/>
          <w:szCs w:val="21"/>
          <w:highlight w:val="green"/>
          <w:lang w:eastAsia="x-none"/>
        </w:rPr>
        <w:lastRenderedPageBreak/>
        <w:t>Agreement:</w:t>
      </w:r>
    </w:p>
    <w:p w14:paraId="1F41D5F5" w14:textId="77777777" w:rsidR="00377132" w:rsidRPr="00D06B57" w:rsidRDefault="00377132" w:rsidP="00377132">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3BB9D55F" w14:textId="77777777" w:rsidR="00377132" w:rsidRPr="00D06B57" w:rsidRDefault="00377132" w:rsidP="00377132">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22FE4C6A" w14:textId="77AE7334" w:rsidR="00377132" w:rsidRDefault="00377132" w:rsidP="003E2811">
      <w:pPr>
        <w:pStyle w:val="ad"/>
        <w:spacing w:beforeLines="50" w:before="120"/>
        <w:jc w:val="both"/>
        <w:rPr>
          <w:sz w:val="21"/>
          <w:szCs w:val="21"/>
          <w:lang w:eastAsia="zh-CN"/>
        </w:rPr>
      </w:pPr>
    </w:p>
    <w:p w14:paraId="7860CE42" w14:textId="09198888" w:rsidR="00377132" w:rsidRPr="0078053A" w:rsidRDefault="00377132" w:rsidP="00377132">
      <w:pPr>
        <w:pStyle w:val="1"/>
        <w:spacing w:line="240" w:lineRule="auto"/>
      </w:pPr>
      <w:r>
        <w:t>RAN1#106</w:t>
      </w:r>
      <w:r w:rsidRPr="0078053A">
        <w:t>-e</w:t>
      </w:r>
    </w:p>
    <w:p w14:paraId="34D5C56B" w14:textId="77777777" w:rsidR="00377132" w:rsidRPr="0078053A" w:rsidRDefault="00377132" w:rsidP="00377132">
      <w:pPr>
        <w:rPr>
          <w:b/>
          <w:sz w:val="21"/>
          <w:szCs w:val="21"/>
          <w:highlight w:val="green"/>
        </w:rPr>
      </w:pPr>
      <w:r w:rsidRPr="0078053A">
        <w:rPr>
          <w:b/>
          <w:sz w:val="21"/>
          <w:szCs w:val="21"/>
          <w:highlight w:val="green"/>
        </w:rPr>
        <w:t>Agreements:</w:t>
      </w:r>
    </w:p>
    <w:p w14:paraId="08037510" w14:textId="77777777" w:rsidR="00377132" w:rsidRDefault="00377132" w:rsidP="00377132">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7AE9C77" w14:textId="77777777" w:rsidR="00377132" w:rsidRDefault="00377132" w:rsidP="00377132">
      <w:pPr>
        <w:pStyle w:val="ad"/>
        <w:spacing w:beforeLines="50" w:before="120"/>
        <w:jc w:val="both"/>
        <w:rPr>
          <w:sz w:val="21"/>
          <w:szCs w:val="21"/>
          <w:lang w:eastAsia="zh-CN"/>
        </w:rPr>
      </w:pPr>
    </w:p>
    <w:p w14:paraId="50B536CE" w14:textId="77777777" w:rsidR="00377132" w:rsidRPr="0078053A" w:rsidRDefault="00377132" w:rsidP="00377132">
      <w:pPr>
        <w:rPr>
          <w:b/>
          <w:sz w:val="21"/>
          <w:szCs w:val="21"/>
          <w:highlight w:val="green"/>
        </w:rPr>
      </w:pPr>
      <w:r w:rsidRPr="0078053A">
        <w:rPr>
          <w:b/>
          <w:sz w:val="21"/>
          <w:szCs w:val="21"/>
          <w:highlight w:val="green"/>
        </w:rPr>
        <w:t>Agreements:</w:t>
      </w:r>
    </w:p>
    <w:p w14:paraId="530451CE" w14:textId="77777777" w:rsidR="00377132" w:rsidRPr="00CB2840" w:rsidRDefault="00377132" w:rsidP="00377132">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67C324EC" w14:textId="77777777" w:rsidR="00377132" w:rsidRPr="00CB2840" w:rsidRDefault="00377132" w:rsidP="00377132">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446C70D0" w14:textId="77777777" w:rsidR="00377132" w:rsidRPr="00CB2840" w:rsidRDefault="00377132" w:rsidP="00377132">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F30B7CD" w14:textId="77777777" w:rsidR="00377132" w:rsidRPr="00CB2840" w:rsidRDefault="00377132" w:rsidP="00377132">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B07FDF3" w14:textId="77777777" w:rsidR="00377132" w:rsidRPr="00CB2840" w:rsidRDefault="00377132" w:rsidP="00377132">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5CA6423F" w14:textId="77777777" w:rsidR="00377132" w:rsidRDefault="00377132" w:rsidP="00377132">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71484519" w14:textId="77777777" w:rsidR="00377132" w:rsidRDefault="00377132" w:rsidP="00377132">
      <w:pPr>
        <w:pStyle w:val="ad"/>
        <w:spacing w:beforeLines="50" w:before="120"/>
        <w:jc w:val="both"/>
        <w:rPr>
          <w:sz w:val="21"/>
          <w:szCs w:val="21"/>
          <w:lang w:eastAsia="zh-CN"/>
        </w:rPr>
      </w:pPr>
    </w:p>
    <w:p w14:paraId="7C8FC498" w14:textId="77777777" w:rsidR="00377132" w:rsidRPr="0078053A" w:rsidRDefault="00377132" w:rsidP="00377132">
      <w:pPr>
        <w:rPr>
          <w:b/>
          <w:sz w:val="21"/>
          <w:szCs w:val="21"/>
          <w:highlight w:val="green"/>
        </w:rPr>
      </w:pPr>
      <w:r w:rsidRPr="0078053A">
        <w:rPr>
          <w:b/>
          <w:sz w:val="21"/>
          <w:szCs w:val="21"/>
          <w:highlight w:val="green"/>
        </w:rPr>
        <w:t>Agreements:</w:t>
      </w:r>
    </w:p>
    <w:p w14:paraId="3275E671" w14:textId="77777777" w:rsidR="00377132" w:rsidRPr="00770A7C" w:rsidRDefault="00377132" w:rsidP="00377132">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0165431" w14:textId="77777777" w:rsidR="00377132" w:rsidRPr="00FD1380" w:rsidRDefault="00377132" w:rsidP="00377132">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23A8BF28" w14:textId="77777777" w:rsidR="00377132" w:rsidRPr="00FD1380" w:rsidRDefault="00377132" w:rsidP="00377132">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1BBA35FA"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1B5867F"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BF58556" w14:textId="77777777" w:rsidR="00377132" w:rsidRPr="00FD1380" w:rsidRDefault="00377132" w:rsidP="00377132">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55090DDB" w14:textId="77777777" w:rsidR="00377132" w:rsidRPr="00FD1380" w:rsidRDefault="00377132" w:rsidP="00377132">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7656DB0" w14:textId="77777777" w:rsidR="00377132" w:rsidRDefault="00377132" w:rsidP="00377132">
      <w:pPr>
        <w:pStyle w:val="ad"/>
        <w:spacing w:beforeLines="50" w:before="120"/>
        <w:jc w:val="both"/>
        <w:rPr>
          <w:sz w:val="21"/>
          <w:szCs w:val="21"/>
          <w:lang w:eastAsia="zh-CN"/>
        </w:rPr>
      </w:pPr>
    </w:p>
    <w:p w14:paraId="692DDEB0" w14:textId="77777777" w:rsidR="00377132" w:rsidRPr="00651DC4" w:rsidRDefault="00377132" w:rsidP="00377132">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1FC4F967" w14:textId="77777777" w:rsidR="00377132" w:rsidRPr="000C2A33" w:rsidRDefault="00377132" w:rsidP="00377132">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62A0BABC" w14:textId="77777777" w:rsidR="00377132" w:rsidRPr="000C2A33" w:rsidRDefault="00377132" w:rsidP="00377132">
      <w:pPr>
        <w:pStyle w:val="ad"/>
        <w:numPr>
          <w:ilvl w:val="1"/>
          <w:numId w:val="28"/>
        </w:numPr>
        <w:spacing w:beforeLines="50" w:before="120"/>
        <w:jc w:val="both"/>
        <w:rPr>
          <w:sz w:val="21"/>
          <w:szCs w:val="21"/>
          <w:lang w:eastAsia="zh-CN"/>
        </w:rPr>
      </w:pPr>
      <w:r w:rsidRPr="000C2A33">
        <w:rPr>
          <w:sz w:val="21"/>
          <w:szCs w:val="21"/>
          <w:lang w:eastAsia="zh-CN"/>
        </w:rPr>
        <w:lastRenderedPageBreak/>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4B28A1BA" w14:textId="77777777" w:rsidR="00377132" w:rsidRPr="000C2A33" w:rsidRDefault="00377132" w:rsidP="00377132">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0D137D5" w14:textId="77777777" w:rsidR="00377132" w:rsidRPr="008137F9" w:rsidRDefault="00377132" w:rsidP="00377132">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557C95C" w14:textId="77777777" w:rsidR="00377132" w:rsidRPr="000C2A33" w:rsidRDefault="00377132" w:rsidP="00377132">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3D4A650" w14:textId="77777777" w:rsidR="00377132" w:rsidRDefault="00377132" w:rsidP="00377132">
      <w:pPr>
        <w:pStyle w:val="ad"/>
        <w:spacing w:beforeLines="50" w:before="120"/>
        <w:jc w:val="both"/>
        <w:rPr>
          <w:sz w:val="21"/>
          <w:szCs w:val="21"/>
          <w:lang w:eastAsia="zh-CN"/>
        </w:rPr>
      </w:pPr>
    </w:p>
    <w:p w14:paraId="7FFD275F" w14:textId="77777777" w:rsidR="00377132" w:rsidRPr="00CF4D75" w:rsidRDefault="00377132" w:rsidP="00377132">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2DDC5F53" w14:textId="77777777" w:rsidR="00377132" w:rsidRPr="00440609" w:rsidRDefault="00377132" w:rsidP="00377132">
      <w:pPr>
        <w:rPr>
          <w:rFonts w:eastAsiaTheme="minorEastAsia"/>
          <w:b/>
          <w:sz w:val="21"/>
          <w:szCs w:val="21"/>
          <w:lang w:val="en-GB" w:eastAsia="zh-CN"/>
        </w:rPr>
      </w:pPr>
      <w:r>
        <w:rPr>
          <w:rFonts w:eastAsiaTheme="minorEastAsia"/>
          <w:b/>
          <w:sz w:val="21"/>
          <w:szCs w:val="21"/>
          <w:lang w:val="en-GB" w:eastAsia="zh-CN"/>
        </w:rPr>
        <w:t>Option 1:</w:t>
      </w:r>
    </w:p>
    <w:p w14:paraId="7A41B7B5" w14:textId="77777777" w:rsidR="00377132" w:rsidRPr="00BE159C" w:rsidRDefault="00377132" w:rsidP="00377132">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631A2AC"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793A8D80"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65372B7" w14:textId="77777777" w:rsidR="00377132" w:rsidRPr="00BE159C"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5A64C333" w14:textId="77777777" w:rsidR="00377132" w:rsidRDefault="00377132" w:rsidP="00377132">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6A16ADE" w14:textId="77777777" w:rsidR="00377132" w:rsidRPr="00A373E5" w:rsidRDefault="00377132" w:rsidP="00377132">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598DC3B4" w14:textId="77777777" w:rsidR="00377132" w:rsidRPr="00A373E5" w:rsidRDefault="00377132" w:rsidP="00377132">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99B04D" w14:textId="77777777" w:rsidR="00377132" w:rsidRPr="00440609" w:rsidRDefault="00377132" w:rsidP="00377132">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90D40A1" w14:textId="77777777" w:rsidR="00377132" w:rsidRPr="0028306C" w:rsidRDefault="00377132" w:rsidP="00377132">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7A867F5C" w14:textId="7B630B87" w:rsidR="00377132" w:rsidRDefault="00377132" w:rsidP="003E2811">
      <w:pPr>
        <w:pStyle w:val="ad"/>
        <w:spacing w:beforeLines="50" w:before="120"/>
        <w:jc w:val="both"/>
        <w:rPr>
          <w:sz w:val="21"/>
          <w:szCs w:val="21"/>
          <w:lang w:eastAsia="zh-CN"/>
        </w:rPr>
      </w:pPr>
    </w:p>
    <w:p w14:paraId="45954EE0" w14:textId="5DFB7B38" w:rsidR="004F6B64" w:rsidRPr="0078053A" w:rsidRDefault="004F6B64" w:rsidP="004F6B64">
      <w:pPr>
        <w:pStyle w:val="1"/>
        <w:spacing w:line="240" w:lineRule="auto"/>
      </w:pPr>
      <w:r>
        <w:t>RAN1#106b</w:t>
      </w:r>
      <w:r w:rsidRPr="0078053A">
        <w:t>-e</w:t>
      </w:r>
    </w:p>
    <w:p w14:paraId="0BFFBDFF" w14:textId="77777777" w:rsidR="004F6B64" w:rsidRPr="00085282" w:rsidRDefault="004F6B64" w:rsidP="004F6B64">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6D289236" w14:textId="77777777" w:rsidR="004F6B64" w:rsidRPr="004E2EA9" w:rsidRDefault="004F6B64" w:rsidP="004F6B64">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487E12C2" w14:textId="77777777" w:rsidR="004F6B64" w:rsidRPr="004E2EA9" w:rsidRDefault="004F6B64" w:rsidP="004F6B64">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7A2811B" w14:textId="77777777" w:rsidR="004F6B64" w:rsidRPr="004E2EA9" w:rsidRDefault="004F6B64" w:rsidP="004F6B64">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1D032CF0" w14:textId="1F4EB693" w:rsidR="00377132" w:rsidRDefault="00377132" w:rsidP="003E2811">
      <w:pPr>
        <w:pStyle w:val="ad"/>
        <w:spacing w:beforeLines="50" w:before="120"/>
        <w:jc w:val="both"/>
        <w:rPr>
          <w:sz w:val="21"/>
          <w:szCs w:val="21"/>
          <w:lang w:eastAsia="zh-CN"/>
        </w:rPr>
      </w:pPr>
    </w:p>
    <w:p w14:paraId="0721DD49" w14:textId="77777777" w:rsidR="00994A39" w:rsidRPr="0078053A" w:rsidRDefault="00994A39" w:rsidP="00994A39">
      <w:pPr>
        <w:pStyle w:val="1"/>
        <w:spacing w:line="240" w:lineRule="auto"/>
      </w:pPr>
      <w:r>
        <w:t>RAN1#107</w:t>
      </w:r>
      <w:r w:rsidRPr="0078053A">
        <w:t>-e</w:t>
      </w:r>
    </w:p>
    <w:p w14:paraId="6D3B8631" w14:textId="77777777" w:rsidR="00A717D7" w:rsidRDefault="00A717D7" w:rsidP="00994A39">
      <w:pPr>
        <w:pStyle w:val="ad"/>
        <w:spacing w:beforeLines="50" w:before="120"/>
        <w:jc w:val="both"/>
        <w:rPr>
          <w:b/>
          <w:sz w:val="21"/>
          <w:szCs w:val="21"/>
          <w:lang w:eastAsia="zh-CN"/>
        </w:rPr>
      </w:pPr>
    </w:p>
    <w:p w14:paraId="3932DD7C" w14:textId="53C5FB03" w:rsidR="00994A39" w:rsidRPr="009870E5" w:rsidRDefault="00994A39" w:rsidP="00994A39">
      <w:pPr>
        <w:pStyle w:val="ad"/>
        <w:spacing w:beforeLines="50" w:before="120"/>
        <w:jc w:val="both"/>
        <w:rPr>
          <w:b/>
          <w:sz w:val="21"/>
          <w:szCs w:val="21"/>
          <w:lang w:eastAsia="zh-CN"/>
        </w:rPr>
      </w:pPr>
      <w:r w:rsidRPr="009E46E6">
        <w:rPr>
          <w:b/>
          <w:sz w:val="21"/>
          <w:szCs w:val="21"/>
          <w:lang w:eastAsia="zh-CN"/>
        </w:rPr>
        <w:lastRenderedPageBreak/>
        <w:t>Conclusion:</w:t>
      </w:r>
    </w:p>
    <w:p w14:paraId="6F67BF14" w14:textId="77777777" w:rsidR="00994A39" w:rsidRPr="002F38DD" w:rsidRDefault="00994A39" w:rsidP="00994A3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7A1A44B8" w14:textId="77777777" w:rsidR="00994A39" w:rsidRDefault="00994A39" w:rsidP="00994A39">
      <w:pPr>
        <w:pStyle w:val="ad"/>
        <w:spacing w:beforeLines="50" w:before="120"/>
        <w:jc w:val="both"/>
        <w:rPr>
          <w:sz w:val="21"/>
          <w:szCs w:val="21"/>
          <w:lang w:eastAsia="zh-CN"/>
        </w:rPr>
      </w:pPr>
    </w:p>
    <w:p w14:paraId="5CCB3AC2" w14:textId="77777777" w:rsidR="00994A39" w:rsidRPr="00085282" w:rsidRDefault="00994A39" w:rsidP="00994A39">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7B99FE50" w14:textId="77777777" w:rsidR="00994A39" w:rsidRPr="0014270E" w:rsidRDefault="00994A39" w:rsidP="00994A39">
      <w:pPr>
        <w:pStyle w:val="ad"/>
        <w:numPr>
          <w:ilvl w:val="0"/>
          <w:numId w:val="29"/>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DBE3B19" w14:textId="77777777" w:rsidR="00994A39" w:rsidRPr="00326BAD" w:rsidRDefault="00994A39" w:rsidP="00994A39">
      <w:pPr>
        <w:pStyle w:val="aff"/>
        <w:numPr>
          <w:ilvl w:val="0"/>
          <w:numId w:val="31"/>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65EE079F" w14:textId="77777777" w:rsidR="00994A39" w:rsidRPr="00326BAD" w:rsidRDefault="00994A39" w:rsidP="00994A39">
      <w:pPr>
        <w:pStyle w:val="aff"/>
        <w:numPr>
          <w:ilvl w:val="0"/>
          <w:numId w:val="31"/>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 default value of the new RRC parameter is 1Tx-2Tx switching mode.</w:t>
      </w:r>
    </w:p>
    <w:p w14:paraId="77A73AEC" w14:textId="77777777" w:rsidR="00994A39" w:rsidRPr="00326BAD" w:rsidRDefault="00994A39" w:rsidP="00994A39">
      <w:pPr>
        <w:pStyle w:val="aff"/>
        <w:numPr>
          <w:ilvl w:val="0"/>
          <w:numId w:val="31"/>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58C599B" w14:textId="77777777" w:rsidR="00994A39" w:rsidRPr="00BA17EC" w:rsidRDefault="00994A39" w:rsidP="00994A39">
      <w:pPr>
        <w:pStyle w:val="aff"/>
        <w:numPr>
          <w:ilvl w:val="0"/>
          <w:numId w:val="31"/>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14D562DB" w14:textId="77777777" w:rsidR="00994A39" w:rsidRDefault="00994A39"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1C11E" w14:textId="77777777" w:rsidR="00F660E3" w:rsidRDefault="00F660E3">
      <w:pPr>
        <w:spacing w:after="0" w:line="240" w:lineRule="auto"/>
      </w:pPr>
      <w:r>
        <w:separator/>
      </w:r>
    </w:p>
  </w:endnote>
  <w:endnote w:type="continuationSeparator" w:id="0">
    <w:p w14:paraId="62118CB5" w14:textId="77777777" w:rsidR="00F660E3" w:rsidRDefault="00F6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45C9F5C9"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7796">
      <w:rPr>
        <w:rFonts w:ascii="Arial" w:hAnsi="Arial" w:cs="Arial"/>
        <w:b/>
        <w:noProof/>
        <w:sz w:val="18"/>
        <w:szCs w:val="18"/>
      </w:rPr>
      <w:t>2</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CC6F" w14:textId="77777777" w:rsidR="00F660E3" w:rsidRDefault="00F660E3">
      <w:pPr>
        <w:spacing w:after="0" w:line="240" w:lineRule="auto"/>
      </w:pPr>
      <w:r>
        <w:separator/>
      </w:r>
    </w:p>
  </w:footnote>
  <w:footnote w:type="continuationSeparator" w:id="0">
    <w:p w14:paraId="149115A7" w14:textId="77777777" w:rsidR="00F660E3" w:rsidRDefault="00F66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9"/>
  </w:num>
  <w:num w:numId="15">
    <w:abstractNumId w:val="27"/>
  </w:num>
  <w:num w:numId="16">
    <w:abstractNumId w:val="34"/>
  </w:num>
  <w:num w:numId="17">
    <w:abstractNumId w:val="6"/>
  </w:num>
  <w:num w:numId="18">
    <w:abstractNumId w:val="33"/>
  </w:num>
  <w:num w:numId="19">
    <w:abstractNumId w:val="20"/>
  </w:num>
  <w:num w:numId="20">
    <w:abstractNumId w:val="12"/>
  </w:num>
  <w:num w:numId="21">
    <w:abstractNumId w:val="31"/>
  </w:num>
  <w:num w:numId="22">
    <w:abstractNumId w:val="4"/>
  </w:num>
  <w:num w:numId="23">
    <w:abstractNumId w:val="14"/>
  </w:num>
  <w:num w:numId="24">
    <w:abstractNumId w:val="24"/>
  </w:num>
  <w:num w:numId="25">
    <w:abstractNumId w:val="2"/>
  </w:num>
  <w:num w:numId="26">
    <w:abstractNumId w:val="15"/>
  </w:num>
  <w:num w:numId="27">
    <w:abstractNumId w:val="8"/>
  </w:num>
  <w:num w:numId="28">
    <w:abstractNumId w:val="5"/>
  </w:num>
  <w:num w:numId="29">
    <w:abstractNumId w:val="3"/>
  </w:num>
  <w:num w:numId="30">
    <w:abstractNumId w:val="35"/>
  </w:num>
  <w:num w:numId="31">
    <w:abstractNumId w:val="22"/>
  </w:num>
  <w:num w:numId="32">
    <w:abstractNumId w:val="23"/>
  </w:num>
  <w:num w:numId="33">
    <w:abstractNumId w:val="37"/>
  </w:num>
  <w:num w:numId="34">
    <w:abstractNumId w:val="19"/>
  </w:num>
  <w:num w:numId="35">
    <w:abstractNumId w:val="10"/>
  </w:num>
  <w:num w:numId="36">
    <w:abstractNumId w:val="36"/>
  </w:num>
  <w:num w:numId="37">
    <w:abstractNumId w:val="13"/>
  </w:num>
  <w:num w:numId="38">
    <w:abstractNumId w:val="7"/>
  </w:num>
  <w:num w:numId="39">
    <w:abstractNumId w:val="21"/>
  </w:num>
  <w:num w:numId="40">
    <w:abstractNumId w:val="11"/>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F6"/>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382A"/>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C7E3C"/>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97D70"/>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A5"/>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212"/>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13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8F4"/>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6E5"/>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79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07"/>
    <w:rsid w:val="00456A24"/>
    <w:rsid w:val="00456D77"/>
    <w:rsid w:val="004571DE"/>
    <w:rsid w:val="0045775B"/>
    <w:rsid w:val="00457AF7"/>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8CD"/>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B64"/>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0F0"/>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1D1F"/>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FB9"/>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263"/>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1"/>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4BB"/>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39"/>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87E"/>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D7"/>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314"/>
    <w:rsid w:val="00D01435"/>
    <w:rsid w:val="00D01940"/>
    <w:rsid w:val="00D019FE"/>
    <w:rsid w:val="00D01D89"/>
    <w:rsid w:val="00D0213B"/>
    <w:rsid w:val="00D02403"/>
    <w:rsid w:val="00D0258C"/>
    <w:rsid w:val="00D0270E"/>
    <w:rsid w:val="00D027A2"/>
    <w:rsid w:val="00D02B9B"/>
    <w:rsid w:val="00D02E1D"/>
    <w:rsid w:val="00D03189"/>
    <w:rsid w:val="00D03394"/>
    <w:rsid w:val="00D033EC"/>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A8"/>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0E3"/>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7AA"/>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Task Body,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7216CA4-447E-4C52-9B07-80B14652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354</TotalTime>
  <Pages>7</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275</cp:revision>
  <cp:lastPrinted>2004-04-14T09:17:00Z</cp:lastPrinted>
  <dcterms:created xsi:type="dcterms:W3CDTF">2021-08-27T06:30:00Z</dcterms:created>
  <dcterms:modified xsi:type="dcterms:W3CDTF">2021-11-23T07:01:00Z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1630038100</vt:lpwstr>
  </property>
</Properties>
</file>