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w:t>
      </w:r>
      <w:proofErr w:type="spellStart"/>
      <w:proofErr w:type="gramStart"/>
      <w:r w:rsidRPr="002727AD">
        <w:rPr>
          <w:rFonts w:ascii="Arial" w:hAnsi="Arial" w:cs="Arial"/>
          <w:b/>
          <w:bCs/>
          <w:sz w:val="24"/>
        </w:rPr>
        <w:t>Tx</w:t>
      </w:r>
      <w:proofErr w:type="spellEnd"/>
      <w:proofErr w:type="gramEnd"/>
      <w:r w:rsidRPr="002727AD">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9"/>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9"/>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af9"/>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Huawei, </w:t>
      </w:r>
      <w:proofErr w:type="spellStart"/>
      <w:r w:rsidRPr="00154B2B">
        <w:rPr>
          <w:sz w:val="21"/>
          <w:szCs w:val="21"/>
          <w:highlight w:val="cyan"/>
          <w:lang w:val="en-GB" w:eastAsia="zh-CN"/>
        </w:rPr>
        <w:t>H</w:t>
      </w:r>
      <w:r w:rsidRPr="000766B1">
        <w:rPr>
          <w:sz w:val="21"/>
          <w:szCs w:val="21"/>
          <w:highlight w:val="cyan"/>
          <w:lang w:val="en-GB" w:eastAsia="zh-CN"/>
        </w:rPr>
        <w:t>iSilicon</w:t>
      </w:r>
      <w:proofErr w:type="spellEnd"/>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2D0D427F" w14:textId="77777777" w:rsidR="00A23CCD" w:rsidRPr="00430912" w:rsidRDefault="00A23CCD" w:rsidP="00A23CCD">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states. </w:t>
      </w:r>
    </w:p>
    <w:p w14:paraId="70BCDB39" w14:textId="77777777" w:rsidR="00A23CCD" w:rsidRPr="00430912" w:rsidRDefault="00A23CCD" w:rsidP="00A23CCD">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xml:space="preserve">: This RRC parameter is used to differentiate the table (mapping between UL transmission ports and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 xml:space="preserve">r with UL </w:t>
      </w:r>
      <w:proofErr w:type="spellStart"/>
      <w:r w:rsidRPr="00430912">
        <w:rPr>
          <w:rFonts w:ascii="Times New Roman" w:hAnsi="Times New Roman"/>
          <w:color w:val="FF0000"/>
          <w:sz w:val="21"/>
          <w:szCs w:val="21"/>
          <w:lang w:val="en-GB" w:eastAsia="zh-CN"/>
        </w:rPr>
        <w:t>Tx</w:t>
      </w:r>
      <w:proofErr w:type="spellEnd"/>
      <w:r w:rsidRPr="00430912">
        <w:rPr>
          <w:rFonts w:ascii="Times New Roman" w:hAnsi="Times New Roman"/>
          <w:color w:val="FF0000"/>
          <w:sz w:val="21"/>
          <w:szCs w:val="21"/>
          <w:lang w:val="en-GB" w:eastAsia="zh-CN"/>
        </w:rPr>
        <w:t xml:space="preserve">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a"/>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a"/>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af9"/>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af9"/>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aa"/>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w:t>
            </w:r>
            <w:proofErr w:type="spellStart"/>
            <w:proofErr w:type="gramStart"/>
            <w:r>
              <w:rPr>
                <w:sz w:val="21"/>
                <w:szCs w:val="21"/>
                <w:lang w:eastAsia="zh-CN"/>
              </w:rPr>
              <w:t>Tx</w:t>
            </w:r>
            <w:proofErr w:type="spellEnd"/>
            <w:proofErr w:type="gramEnd"/>
            <w:r>
              <w:rPr>
                <w:sz w:val="21"/>
                <w:szCs w:val="21"/>
                <w:lang w:eastAsia="zh-CN"/>
              </w:rPr>
              <w:t xml:space="preserve">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w:t>
            </w:r>
            <w:proofErr w:type="spellStart"/>
            <w:proofErr w:type="gramStart"/>
            <w:r>
              <w:rPr>
                <w:sz w:val="21"/>
                <w:szCs w:val="21"/>
                <w:lang w:eastAsia="zh-CN"/>
              </w:rPr>
              <w:t>Tx</w:t>
            </w:r>
            <w:proofErr w:type="spellEnd"/>
            <w:proofErr w:type="gramEnd"/>
            <w:r>
              <w:rPr>
                <w:sz w:val="21"/>
                <w:szCs w:val="21"/>
                <w:lang w:eastAsia="zh-CN"/>
              </w:rPr>
              <w:t xml:space="preserve"> and thus implement shorter switching time. </w:t>
            </w:r>
          </w:p>
          <w:p w14:paraId="343B9423" w14:textId="056B7FE3" w:rsidR="00804B2C" w:rsidRPr="007264BD" w:rsidRDefault="00804B2C" w:rsidP="00BD1AB2">
            <w:pPr>
              <w:pStyle w:val="aa"/>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a"/>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a"/>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a"/>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a"/>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a"/>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1"/>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aa"/>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a"/>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aa"/>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aa"/>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aa"/>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aa"/>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aa"/>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502C01A2" w14:textId="77777777" w:rsidR="0031310F" w:rsidRPr="00CD381E" w:rsidRDefault="0031310F" w:rsidP="00C539B3">
            <w:pPr>
              <w:pStyle w:val="aa"/>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aa"/>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aa"/>
              <w:jc w:val="both"/>
              <w:rPr>
                <w:sz w:val="21"/>
                <w:szCs w:val="21"/>
                <w:lang w:eastAsia="zh-CN"/>
              </w:rPr>
            </w:pPr>
            <w:r>
              <w:rPr>
                <w:sz w:val="21"/>
                <w:szCs w:val="21"/>
                <w:lang w:eastAsia="zh-CN"/>
              </w:rPr>
              <w:t>@ZTE, Not sure why RAN2 guidance is quoted. It is quite clear that Option 1 is reusing the existing RRC configurations instead of UE capability.</w:t>
            </w:r>
          </w:p>
          <w:p w14:paraId="1505503A" w14:textId="42A9A402" w:rsidR="0058438E" w:rsidRPr="007264BD" w:rsidRDefault="0058438E" w:rsidP="00C539B3">
            <w:pPr>
              <w:pStyle w:val="aa"/>
              <w:jc w:val="both"/>
              <w:rPr>
                <w:sz w:val="21"/>
                <w:szCs w:val="21"/>
                <w:lang w:eastAsia="zh-CN"/>
              </w:rPr>
            </w:pPr>
            <w:r>
              <w:rPr>
                <w:sz w:val="21"/>
                <w:szCs w:val="21"/>
                <w:lang w:eastAsia="zh-CN"/>
              </w:rPr>
              <w:t xml:space="preserve">@OPPO, in our understanding, Option 2 looks simple only because it hides all the clarifications done by Option 1 within Note 2, which can cost misunderstanding between </w:t>
            </w:r>
            <w:proofErr w:type="spellStart"/>
            <w:r>
              <w:rPr>
                <w:sz w:val="21"/>
                <w:szCs w:val="21"/>
                <w:lang w:eastAsia="zh-CN"/>
              </w:rPr>
              <w:t>gNB</w:t>
            </w:r>
            <w:proofErr w:type="spellEnd"/>
            <w:r>
              <w:rPr>
                <w:sz w:val="21"/>
                <w:szCs w:val="21"/>
                <w:lang w:eastAsia="zh-CN"/>
              </w:rPr>
              <w:t xml:space="preserve">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aa"/>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aa"/>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xml:space="preserve"> among the carriers on Band B is configured as 2 antenna ports and the state of </w:t>
      </w:r>
      <w:proofErr w:type="spellStart"/>
      <w:r w:rsidRPr="00EA1795">
        <w:rPr>
          <w:color w:val="FF0000"/>
          <w:sz w:val="21"/>
          <w:szCs w:val="21"/>
        </w:rPr>
        <w:t>Tx</w:t>
      </w:r>
      <w:proofErr w:type="spellEnd"/>
      <w:r w:rsidRPr="00EA1795">
        <w:rPr>
          <w:color w:val="FF0000"/>
          <w:sz w:val="21"/>
          <w:szCs w:val="21"/>
        </w:rPr>
        <w:t xml:space="preserve"> chains is 1 </w:t>
      </w:r>
      <w:proofErr w:type="spellStart"/>
      <w:r w:rsidRPr="00EA1795">
        <w:rPr>
          <w:color w:val="FF0000"/>
          <w:sz w:val="21"/>
          <w:szCs w:val="21"/>
        </w:rPr>
        <w:t>Tx</w:t>
      </w:r>
      <w:proofErr w:type="spellEnd"/>
      <w:r w:rsidRPr="00EA1795">
        <w:rPr>
          <w:color w:val="FF0000"/>
          <w:sz w:val="21"/>
          <w:szCs w:val="21"/>
        </w:rPr>
        <w:t xml:space="preserve">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a"/>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a"/>
              <w:jc w:val="both"/>
              <w:rPr>
                <w:sz w:val="21"/>
                <w:szCs w:val="21"/>
                <w:lang w:eastAsia="zh-CN"/>
              </w:rPr>
            </w:pPr>
            <w:r>
              <w:rPr>
                <w:sz w:val="21"/>
                <w:szCs w:val="21"/>
                <w:lang w:eastAsia="zh-CN"/>
              </w:rPr>
              <w:t>We support Alt 1.</w:t>
            </w:r>
          </w:p>
          <w:p w14:paraId="3EB0011E" w14:textId="77777777" w:rsidR="00CD46CF" w:rsidRDefault="00CD46CF" w:rsidP="00CD46CF">
            <w:pPr>
              <w:pStyle w:val="aa"/>
              <w:rPr>
                <w:sz w:val="21"/>
                <w:szCs w:val="21"/>
                <w:lang w:eastAsia="zh-CN"/>
              </w:rPr>
            </w:pPr>
            <w:r>
              <w:rPr>
                <w:sz w:val="21"/>
                <w:szCs w:val="21"/>
                <w:lang w:eastAsia="zh-CN"/>
              </w:rPr>
              <w:t xml:space="preserve">This UL </w:t>
            </w:r>
            <w:proofErr w:type="spellStart"/>
            <w:r>
              <w:rPr>
                <w:sz w:val="21"/>
                <w:szCs w:val="21"/>
                <w:lang w:eastAsia="zh-CN"/>
              </w:rPr>
              <w:t>Tx</w:t>
            </w:r>
            <w:proofErr w:type="spellEnd"/>
            <w:r>
              <w:rPr>
                <w:sz w:val="21"/>
                <w:szCs w:val="21"/>
                <w:lang w:eastAsia="zh-CN"/>
              </w:rPr>
              <w:t xml:space="preserve">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 xml:space="preserve">-Ports among the carriers on Band B is configured as 2 antenna ports and the state of </w:t>
            </w:r>
            <w:proofErr w:type="spellStart"/>
            <w:r w:rsidRPr="00467C87">
              <w:rPr>
                <w:sz w:val="21"/>
                <w:szCs w:val="21"/>
                <w:lang w:eastAsia="zh-CN"/>
              </w:rPr>
              <w:t>Tx</w:t>
            </w:r>
            <w:proofErr w:type="spellEnd"/>
            <w:r w:rsidRPr="00467C87">
              <w:rPr>
                <w:sz w:val="21"/>
                <w:szCs w:val="21"/>
                <w:lang w:eastAsia="zh-CN"/>
              </w:rPr>
              <w:t xml:space="preserve"> chains is 1 </w:t>
            </w:r>
            <w:proofErr w:type="spellStart"/>
            <w:r w:rsidRPr="00467C87">
              <w:rPr>
                <w:sz w:val="21"/>
                <w:szCs w:val="21"/>
                <w:lang w:eastAsia="zh-CN"/>
              </w:rPr>
              <w:t>Tx</w:t>
            </w:r>
            <w:proofErr w:type="spellEnd"/>
            <w:r w:rsidRPr="00467C87">
              <w:rPr>
                <w:sz w:val="21"/>
                <w:szCs w:val="21"/>
                <w:lang w:eastAsia="zh-CN"/>
              </w:rPr>
              <w:t xml:space="preserve">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w:t>
            </w:r>
            <w:proofErr w:type="spellStart"/>
            <w:r>
              <w:rPr>
                <w:sz w:val="21"/>
                <w:szCs w:val="21"/>
                <w:lang w:eastAsia="zh-CN"/>
              </w:rPr>
              <w:t>Tx</w:t>
            </w:r>
            <w:proofErr w:type="spellEnd"/>
            <w:r>
              <w:rPr>
                <w:sz w:val="21"/>
                <w:szCs w:val="21"/>
                <w:lang w:eastAsia="zh-CN"/>
              </w:rPr>
              <w:t xml:space="preserve">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a"/>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a"/>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2" w:type="dxa"/>
            <w:shd w:val="clear" w:color="auto" w:fill="auto"/>
          </w:tcPr>
          <w:p w14:paraId="62911603" w14:textId="77777777" w:rsidR="0031310F" w:rsidRDefault="0031310F" w:rsidP="00C539B3">
            <w:pPr>
              <w:pStyle w:val="aa"/>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aa"/>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a"/>
              <w:jc w:val="both"/>
              <w:rPr>
                <w:sz w:val="21"/>
                <w:szCs w:val="21"/>
                <w:lang w:eastAsia="zh-CN"/>
              </w:rPr>
            </w:pPr>
          </w:p>
        </w:tc>
        <w:tc>
          <w:tcPr>
            <w:tcW w:w="7442" w:type="dxa"/>
            <w:shd w:val="clear" w:color="auto" w:fill="auto"/>
          </w:tcPr>
          <w:p w14:paraId="5E5A64F0" w14:textId="04271791" w:rsidR="00035952" w:rsidRPr="003442AF" w:rsidRDefault="00035952" w:rsidP="00035952">
            <w:pPr>
              <w:pStyle w:val="aa"/>
              <w:jc w:val="both"/>
              <w:rPr>
                <w:sz w:val="21"/>
                <w:szCs w:val="21"/>
                <w:lang w:eastAsia="zh-CN"/>
              </w:rPr>
            </w:pPr>
          </w:p>
        </w:tc>
      </w:tr>
    </w:tbl>
    <w:p w14:paraId="0FF85C50" w14:textId="77777777" w:rsidR="00926378" w:rsidRDefault="00926378" w:rsidP="003E2811">
      <w:pPr>
        <w:pStyle w:val="aa"/>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 xml:space="preserve">the state of </w:t>
      </w:r>
      <w:proofErr w:type="spellStart"/>
      <w:r w:rsidR="00235789" w:rsidRPr="008215FC">
        <w:rPr>
          <w:sz w:val="21"/>
          <w:szCs w:val="21"/>
          <w:lang w:val="en-GB"/>
        </w:rPr>
        <w:t>Tx</w:t>
      </w:r>
      <w:proofErr w:type="spellEnd"/>
      <w:r w:rsidR="00235789" w:rsidRPr="008215FC">
        <w:rPr>
          <w:sz w:val="21"/>
          <w:szCs w:val="21"/>
          <w:lang w:val="en-GB"/>
        </w:rPr>
        <w:t xml:space="preserve"> chains after the UL </w:t>
      </w:r>
      <w:proofErr w:type="spellStart"/>
      <w:r w:rsidR="00235789" w:rsidRPr="008215FC">
        <w:rPr>
          <w:sz w:val="21"/>
          <w:szCs w:val="21"/>
          <w:lang w:val="en-GB"/>
        </w:rPr>
        <w:t>Tx</w:t>
      </w:r>
      <w:proofErr w:type="spellEnd"/>
      <w:r w:rsidR="00235789" w:rsidRPr="008215FC">
        <w:rPr>
          <w:sz w:val="21"/>
          <w:szCs w:val="21"/>
          <w:lang w:val="en-GB"/>
        </w:rPr>
        <w:t xml:space="preserve">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 xml:space="preserve">ndicate the state of chain if the state of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chains after the UL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a"/>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aa"/>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aa"/>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aa"/>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a"/>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a"/>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a"/>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a"/>
              <w:ind w:leftChars="200" w:left="400"/>
              <w:jc w:val="both"/>
              <w:rPr>
                <w:sz w:val="21"/>
                <w:szCs w:val="21"/>
                <w:lang w:eastAsia="zh-CN"/>
              </w:rPr>
            </w:pPr>
            <w:proofErr w:type="gramStart"/>
            <w:r w:rsidRPr="00CF6C42">
              <w:rPr>
                <w:sz w:val="21"/>
                <w:szCs w:val="21"/>
                <w:lang w:eastAsia="zh-CN"/>
              </w:rPr>
              <w:t>if</w:t>
            </w:r>
            <w:proofErr w:type="gramEnd"/>
            <w:r w:rsidRPr="00CF6C42">
              <w:rPr>
                <w:sz w:val="21"/>
                <w:szCs w:val="21"/>
                <w:lang w:eastAsia="zh-CN"/>
              </w:rPr>
              <w:t xml:space="preserve">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a"/>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aa"/>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aa"/>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8" w:type="dxa"/>
            <w:shd w:val="clear" w:color="auto" w:fill="auto"/>
          </w:tcPr>
          <w:p w14:paraId="76F139DE" w14:textId="77777777" w:rsidR="0031310F" w:rsidRPr="007264BD" w:rsidRDefault="0031310F" w:rsidP="00C539B3">
            <w:pPr>
              <w:pStyle w:val="aa"/>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aa"/>
        <w:spacing w:beforeLines="50" w:before="120"/>
        <w:jc w:val="both"/>
        <w:rPr>
          <w:sz w:val="21"/>
          <w:szCs w:val="21"/>
          <w:lang w:eastAsia="zh-CN"/>
        </w:rPr>
      </w:pPr>
    </w:p>
    <w:p w14:paraId="27F1F04D" w14:textId="3CA9A2E4" w:rsidR="005D3CF9" w:rsidRPr="002C524A" w:rsidRDefault="001D69C9" w:rsidP="005D3CF9">
      <w:pPr>
        <w:pStyle w:val="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aa"/>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aa"/>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487E2C">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487E2C">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63B00A80" w14:textId="77777777" w:rsidR="00487E2C" w:rsidRPr="00430912" w:rsidRDefault="00487E2C" w:rsidP="00487E2C">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states. </w:t>
      </w:r>
    </w:p>
    <w:p w14:paraId="738FB26E" w14:textId="77777777" w:rsidR="00487E2C" w:rsidRPr="00430912" w:rsidRDefault="00487E2C" w:rsidP="00487E2C">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xml:space="preserve">: This RRC parameter is used to differentiate the table (mapping between UL transmission ports and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 xml:space="preserve">r with UL </w:t>
      </w:r>
      <w:proofErr w:type="spellStart"/>
      <w:r w:rsidRPr="00430912">
        <w:rPr>
          <w:rFonts w:ascii="Times New Roman" w:hAnsi="Times New Roman"/>
          <w:color w:val="FF0000"/>
          <w:sz w:val="21"/>
          <w:szCs w:val="21"/>
          <w:lang w:val="en-GB" w:eastAsia="zh-CN"/>
        </w:rPr>
        <w:t>Tx</w:t>
      </w:r>
      <w:proofErr w:type="spellEnd"/>
      <w:r w:rsidRPr="00430912">
        <w:rPr>
          <w:rFonts w:ascii="Times New Roman" w:hAnsi="Times New Roman"/>
          <w:color w:val="FF0000"/>
          <w:sz w:val="21"/>
          <w:szCs w:val="21"/>
          <w:lang w:val="en-GB" w:eastAsia="zh-CN"/>
        </w:rPr>
        <w:t xml:space="preserve"> switching.</w:t>
      </w:r>
    </w:p>
    <w:p w14:paraId="1C8B7F5C" w14:textId="1C0E65DE" w:rsidR="00487E2C" w:rsidRDefault="00487E2C"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3C8FB13E" w:rsidR="00155A63" w:rsidRPr="007264BD" w:rsidRDefault="00DC08ED" w:rsidP="00C539B3">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8" w:type="dxa"/>
            <w:shd w:val="clear" w:color="auto" w:fill="auto"/>
          </w:tcPr>
          <w:p w14:paraId="65C9EA6A" w14:textId="4E349E31" w:rsidR="00155A63" w:rsidRPr="005B1EFE" w:rsidRDefault="00DC08ED" w:rsidP="00C539B3">
            <w:pPr>
              <w:pStyle w:val="aa"/>
              <w:jc w:val="both"/>
              <w:rPr>
                <w:lang w:eastAsia="zh-CN"/>
              </w:rPr>
            </w:pPr>
            <w:r>
              <w:rPr>
                <w:lang w:eastAsia="zh-CN"/>
              </w:rPr>
              <w:t>We support FL’s proposal.</w:t>
            </w:r>
          </w:p>
        </w:tc>
      </w:tr>
      <w:tr w:rsidR="00155A63" w:rsidRPr="007264BD" w14:paraId="71D2B3D4" w14:textId="77777777" w:rsidTr="00C539B3">
        <w:tc>
          <w:tcPr>
            <w:tcW w:w="2088" w:type="dxa"/>
            <w:shd w:val="clear" w:color="auto" w:fill="auto"/>
          </w:tcPr>
          <w:p w14:paraId="4D8090B4" w14:textId="5437C104" w:rsidR="00155A63" w:rsidRPr="007264BD" w:rsidRDefault="001E05A5" w:rsidP="00C539B3">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CDC7DCB" w14:textId="52F215C4" w:rsidR="00155A63" w:rsidRPr="007264BD" w:rsidRDefault="001E05A5" w:rsidP="00C539B3">
            <w:pPr>
              <w:pStyle w:val="aa"/>
              <w:jc w:val="both"/>
              <w:rPr>
                <w:sz w:val="21"/>
                <w:szCs w:val="21"/>
                <w:lang w:eastAsia="zh-CN"/>
              </w:rPr>
            </w:pPr>
            <w:r>
              <w:rPr>
                <w:rFonts w:hint="eastAsia"/>
                <w:sz w:val="21"/>
                <w:szCs w:val="21"/>
                <w:lang w:eastAsia="zh-CN"/>
              </w:rPr>
              <w:t>W</w:t>
            </w:r>
            <w:r>
              <w:rPr>
                <w:sz w:val="21"/>
                <w:szCs w:val="21"/>
                <w:lang w:eastAsia="zh-CN"/>
              </w:rPr>
              <w:t>e support FL’s proposal.</w:t>
            </w:r>
          </w:p>
        </w:tc>
      </w:tr>
      <w:tr w:rsidR="00155A63" w:rsidRPr="007264BD" w14:paraId="7C2FC2B8" w14:textId="77777777" w:rsidTr="00C539B3">
        <w:tc>
          <w:tcPr>
            <w:tcW w:w="2088" w:type="dxa"/>
            <w:shd w:val="clear" w:color="auto" w:fill="auto"/>
          </w:tcPr>
          <w:p w14:paraId="3B49B91D" w14:textId="2CA08471" w:rsidR="00155A63" w:rsidRPr="007264BD" w:rsidRDefault="00155A63" w:rsidP="00C539B3">
            <w:pPr>
              <w:pStyle w:val="aa"/>
              <w:jc w:val="both"/>
              <w:rPr>
                <w:sz w:val="21"/>
                <w:szCs w:val="21"/>
                <w:lang w:eastAsia="zh-CN"/>
              </w:rPr>
            </w:pPr>
          </w:p>
        </w:tc>
        <w:tc>
          <w:tcPr>
            <w:tcW w:w="7428" w:type="dxa"/>
            <w:shd w:val="clear" w:color="auto" w:fill="auto"/>
          </w:tcPr>
          <w:p w14:paraId="164F52FF" w14:textId="12D26605" w:rsidR="00155A63" w:rsidRPr="007264BD" w:rsidRDefault="00155A63" w:rsidP="00C539B3">
            <w:pPr>
              <w:pStyle w:val="aa"/>
              <w:jc w:val="both"/>
              <w:rPr>
                <w:sz w:val="21"/>
                <w:szCs w:val="21"/>
                <w:lang w:eastAsia="zh-CN"/>
              </w:rPr>
            </w:pPr>
          </w:p>
        </w:tc>
      </w:tr>
    </w:tbl>
    <w:p w14:paraId="6C28B98B" w14:textId="20D9DD5F" w:rsidR="005D3CF9" w:rsidRDefault="005D3CF9" w:rsidP="00BB5C81">
      <w:pPr>
        <w:pStyle w:val="aa"/>
        <w:spacing w:beforeLines="50" w:before="120"/>
        <w:jc w:val="both"/>
        <w:rPr>
          <w:sz w:val="21"/>
          <w:szCs w:val="21"/>
          <w:lang w:eastAsia="zh-CN"/>
        </w:rPr>
      </w:pPr>
    </w:p>
    <w:p w14:paraId="058AC554" w14:textId="77777777" w:rsidR="009A00E1" w:rsidRPr="007759C6" w:rsidRDefault="009A00E1" w:rsidP="009A00E1">
      <w:pPr>
        <w:pStyle w:val="2"/>
        <w:spacing w:line="240" w:lineRule="auto"/>
      </w:pPr>
      <w:r w:rsidRPr="007759C6">
        <w:t>1-port transmission via DCI format 0_1 for UL CA option 2</w:t>
      </w:r>
    </w:p>
    <w:p w14:paraId="24ADAC20" w14:textId="7E2D7C88" w:rsidR="009870E5" w:rsidRDefault="003222E3" w:rsidP="009870E5">
      <w:pPr>
        <w:pStyle w:val="aa"/>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aa"/>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870E5">
      <w:pPr>
        <w:pStyle w:val="aa"/>
        <w:numPr>
          <w:ilvl w:val="0"/>
          <w:numId w:val="29"/>
        </w:numPr>
        <w:spacing w:beforeLines="50" w:before="120"/>
        <w:jc w:val="both"/>
        <w:rPr>
          <w:sz w:val="21"/>
          <w:szCs w:val="21"/>
          <w:lang w:val="en-US" w:eastAsia="zh-CN"/>
        </w:rPr>
      </w:pPr>
      <w:r w:rsidRPr="009870E5">
        <w:rPr>
          <w:sz w:val="21"/>
          <w:szCs w:val="21"/>
          <w:lang w:val="en-US" w:eastAsia="zh-CN"/>
        </w:rPr>
        <w:t xml:space="preserve">For Rel-17 </w:t>
      </w:r>
      <w:proofErr w:type="spellStart"/>
      <w:r w:rsidRPr="009870E5">
        <w:rPr>
          <w:sz w:val="21"/>
          <w:szCs w:val="21"/>
          <w:lang w:val="en-US" w:eastAsia="zh-CN"/>
        </w:rPr>
        <w:t>Tx</w:t>
      </w:r>
      <w:proofErr w:type="spellEnd"/>
      <w:r w:rsidRPr="009870E5">
        <w:rPr>
          <w:sz w:val="21"/>
          <w:szCs w:val="21"/>
          <w:lang w:val="en-US" w:eastAsia="zh-CN"/>
        </w:rPr>
        <w:t xml:space="preserve">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5285A452" w:rsidR="009870E5" w:rsidRPr="007264BD" w:rsidRDefault="00DC08ED" w:rsidP="00C539B3">
            <w:pPr>
              <w:pStyle w:val="aa"/>
              <w:jc w:val="both"/>
              <w:rPr>
                <w:sz w:val="21"/>
                <w:szCs w:val="21"/>
                <w:lang w:eastAsia="zh-CN"/>
              </w:rPr>
            </w:pPr>
            <w:r>
              <w:rPr>
                <w:sz w:val="21"/>
                <w:szCs w:val="21"/>
                <w:lang w:eastAsia="zh-CN"/>
              </w:rPr>
              <w:t>Qualcomm</w:t>
            </w:r>
          </w:p>
        </w:tc>
        <w:tc>
          <w:tcPr>
            <w:tcW w:w="7428" w:type="dxa"/>
            <w:shd w:val="clear" w:color="auto" w:fill="auto"/>
          </w:tcPr>
          <w:p w14:paraId="6A2FCCB5" w14:textId="77777777" w:rsidR="009870E5" w:rsidRPr="00753493" w:rsidRDefault="00DC08ED" w:rsidP="00C539B3">
            <w:pPr>
              <w:pStyle w:val="aa"/>
              <w:jc w:val="both"/>
              <w:rPr>
                <w:sz w:val="21"/>
                <w:szCs w:val="21"/>
                <w:lang w:eastAsia="zh-CN"/>
              </w:rPr>
            </w:pPr>
            <w:r w:rsidRPr="00753493">
              <w:rPr>
                <w:sz w:val="21"/>
                <w:szCs w:val="21"/>
                <w:lang w:eastAsia="zh-CN"/>
              </w:rPr>
              <w:t>Thanks for the efforts from Mr. Chairman and FL.</w:t>
            </w:r>
          </w:p>
          <w:p w14:paraId="170EA6BC" w14:textId="77777777" w:rsidR="00437876" w:rsidRDefault="00E051A0" w:rsidP="00C539B3">
            <w:pPr>
              <w:pStyle w:val="aa"/>
              <w:jc w:val="both"/>
              <w:rPr>
                <w:sz w:val="21"/>
                <w:szCs w:val="21"/>
                <w:lang w:eastAsia="zh-CN"/>
              </w:rPr>
            </w:pPr>
            <w:r>
              <w:rPr>
                <w:sz w:val="21"/>
                <w:szCs w:val="21"/>
                <w:lang w:eastAsia="zh-CN"/>
              </w:rPr>
              <w:t>We d</w:t>
            </w:r>
            <w:r w:rsidR="00393E76">
              <w:rPr>
                <w:sz w:val="21"/>
                <w:szCs w:val="21"/>
                <w:lang w:eastAsia="zh-CN"/>
              </w:rPr>
              <w:t xml:space="preserve">on’t agree with the proposed conclusion. </w:t>
            </w:r>
          </w:p>
          <w:p w14:paraId="4EF514A7" w14:textId="55F5CD7D" w:rsidR="00DC08ED" w:rsidRPr="00753493" w:rsidRDefault="00437876" w:rsidP="00C539B3">
            <w:pPr>
              <w:pStyle w:val="aa"/>
              <w:jc w:val="both"/>
              <w:rPr>
                <w:sz w:val="21"/>
                <w:szCs w:val="21"/>
                <w:lang w:eastAsia="zh-CN"/>
              </w:rPr>
            </w:pPr>
            <w:r>
              <w:rPr>
                <w:sz w:val="21"/>
                <w:szCs w:val="21"/>
                <w:lang w:eastAsia="zh-CN"/>
              </w:rPr>
              <w:t xml:space="preserve">As a compromise, we can accept Alt.2 from the </w:t>
            </w:r>
            <w:r w:rsidR="00873E66">
              <w:rPr>
                <w:sz w:val="21"/>
                <w:szCs w:val="21"/>
                <w:lang w:eastAsia="zh-CN"/>
              </w:rPr>
              <w:t>1</w:t>
            </w:r>
            <w:r w:rsidR="00873E66" w:rsidRPr="009545E3">
              <w:rPr>
                <w:sz w:val="21"/>
                <w:szCs w:val="21"/>
                <w:vertAlign w:val="superscript"/>
                <w:lang w:eastAsia="zh-CN"/>
              </w:rPr>
              <w:t>st</w:t>
            </w:r>
            <w:r w:rsidR="00873E66">
              <w:rPr>
                <w:sz w:val="21"/>
                <w:szCs w:val="21"/>
                <w:lang w:eastAsia="zh-CN"/>
              </w:rPr>
              <w:t xml:space="preserve"> round discussion. Since that was agreed by Hu</w:t>
            </w:r>
            <w:r w:rsidR="00F90496">
              <w:rPr>
                <w:sz w:val="21"/>
                <w:szCs w:val="21"/>
                <w:lang w:eastAsia="zh-CN"/>
              </w:rPr>
              <w:t xml:space="preserve">awei, </w:t>
            </w:r>
            <w:r w:rsidR="00D63CF5">
              <w:rPr>
                <w:sz w:val="21"/>
                <w:szCs w:val="21"/>
                <w:lang w:eastAsia="zh-CN"/>
              </w:rPr>
              <w:t xml:space="preserve">this </w:t>
            </w:r>
            <w:r w:rsidR="00F90496">
              <w:rPr>
                <w:sz w:val="21"/>
                <w:szCs w:val="21"/>
                <w:lang w:eastAsia="zh-CN"/>
              </w:rPr>
              <w:t>would need</w:t>
            </w:r>
            <w:r w:rsidR="00D63CF5">
              <w:rPr>
                <w:sz w:val="21"/>
                <w:szCs w:val="21"/>
                <w:lang w:eastAsia="zh-CN"/>
              </w:rPr>
              <w:t xml:space="preserve"> to be confirmed by ZTE only. </w:t>
            </w:r>
            <w:r w:rsidR="0069442D">
              <w:rPr>
                <w:sz w:val="21"/>
                <w:szCs w:val="21"/>
                <w:lang w:eastAsia="zh-CN"/>
              </w:rPr>
              <w:t xml:space="preserve"> </w:t>
            </w:r>
            <w:r w:rsidR="00753493">
              <w:rPr>
                <w:sz w:val="21"/>
                <w:szCs w:val="21"/>
                <w:lang w:eastAsia="zh-CN"/>
              </w:rPr>
              <w:t xml:space="preserve">  </w:t>
            </w:r>
          </w:p>
        </w:tc>
      </w:tr>
      <w:tr w:rsidR="009870E5" w:rsidRPr="007264BD" w14:paraId="2EEFB2CE" w14:textId="77777777" w:rsidTr="00C539B3">
        <w:tc>
          <w:tcPr>
            <w:tcW w:w="2088" w:type="dxa"/>
            <w:shd w:val="clear" w:color="auto" w:fill="auto"/>
          </w:tcPr>
          <w:p w14:paraId="7078EAB9" w14:textId="7C81551D" w:rsidR="009870E5" w:rsidRPr="007264BD" w:rsidRDefault="001E05A5" w:rsidP="00C539B3">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A2DB62F" w14:textId="0773349F" w:rsidR="009870E5" w:rsidRDefault="001E05A5" w:rsidP="00DC08ED">
            <w:pPr>
              <w:pStyle w:val="aa"/>
              <w:jc w:val="both"/>
              <w:rPr>
                <w:sz w:val="21"/>
                <w:szCs w:val="21"/>
                <w:lang w:eastAsia="zh-CN"/>
              </w:rPr>
            </w:pPr>
            <w:r>
              <w:rPr>
                <w:sz w:val="21"/>
                <w:szCs w:val="21"/>
                <w:lang w:eastAsia="zh-CN"/>
              </w:rPr>
              <w:t>For progress, we can compromise to the previous Alt.2.</w:t>
            </w:r>
          </w:p>
          <w:p w14:paraId="69B66FF5" w14:textId="77777777" w:rsidR="001E05A5" w:rsidRDefault="001E05A5" w:rsidP="00DC08ED">
            <w:pPr>
              <w:pStyle w:val="aa"/>
              <w:jc w:val="both"/>
              <w:rPr>
                <w:sz w:val="21"/>
                <w:szCs w:val="21"/>
                <w:lang w:eastAsia="zh-CN"/>
              </w:rPr>
            </w:pPr>
          </w:p>
          <w:p w14:paraId="36B2E77E" w14:textId="77777777" w:rsidR="001E05A5" w:rsidRPr="00B0520E" w:rsidRDefault="001E05A5" w:rsidP="001E05A5">
            <w:pPr>
              <w:rPr>
                <w:rFonts w:eastAsiaTheme="minorEastAsia"/>
                <w:b/>
                <w:sz w:val="21"/>
                <w:szCs w:val="21"/>
                <w:lang w:val="en-GB" w:eastAsia="zh-CN"/>
              </w:rPr>
            </w:pPr>
            <w:r>
              <w:rPr>
                <w:rFonts w:eastAsiaTheme="minorEastAsia"/>
                <w:b/>
                <w:sz w:val="21"/>
                <w:szCs w:val="21"/>
                <w:lang w:val="en-GB" w:eastAsia="zh-CN"/>
              </w:rPr>
              <w:t xml:space="preserve">Alt 2: </w:t>
            </w:r>
          </w:p>
          <w:p w14:paraId="69D1C140" w14:textId="7015B131" w:rsidR="001E05A5" w:rsidRPr="00B6654F" w:rsidRDefault="001E05A5" w:rsidP="00DC08ED">
            <w:pPr>
              <w:pStyle w:val="aa"/>
              <w:numPr>
                <w:ilvl w:val="0"/>
                <w:numId w:val="29"/>
              </w:numPr>
              <w:spacing w:beforeLines="50" w:before="120"/>
              <w:jc w:val="both"/>
              <w:rPr>
                <w:rFonts w:hint="eastAsia"/>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bookmarkStart w:id="4" w:name="_GoBack"/>
            <w:bookmarkEnd w:id="4"/>
          </w:p>
        </w:tc>
      </w:tr>
      <w:tr w:rsidR="009870E5" w:rsidRPr="007264BD" w14:paraId="68E37D67" w14:textId="77777777" w:rsidTr="00C539B3">
        <w:tc>
          <w:tcPr>
            <w:tcW w:w="2088" w:type="dxa"/>
            <w:shd w:val="clear" w:color="auto" w:fill="auto"/>
          </w:tcPr>
          <w:p w14:paraId="3CAB5AA8" w14:textId="77777777" w:rsidR="009870E5" w:rsidRPr="007264BD" w:rsidRDefault="009870E5" w:rsidP="00C539B3">
            <w:pPr>
              <w:pStyle w:val="aa"/>
              <w:jc w:val="both"/>
              <w:rPr>
                <w:sz w:val="21"/>
                <w:szCs w:val="21"/>
                <w:lang w:eastAsia="zh-CN"/>
              </w:rPr>
            </w:pPr>
          </w:p>
        </w:tc>
        <w:tc>
          <w:tcPr>
            <w:tcW w:w="7428" w:type="dxa"/>
            <w:shd w:val="clear" w:color="auto" w:fill="auto"/>
          </w:tcPr>
          <w:p w14:paraId="14C1C65C" w14:textId="77777777" w:rsidR="009870E5" w:rsidRPr="007264BD" w:rsidRDefault="009870E5" w:rsidP="00C539B3">
            <w:pPr>
              <w:pStyle w:val="aa"/>
              <w:jc w:val="both"/>
              <w:rPr>
                <w:sz w:val="21"/>
                <w:szCs w:val="21"/>
                <w:lang w:eastAsia="zh-CN"/>
              </w:rPr>
            </w:pPr>
          </w:p>
        </w:tc>
      </w:tr>
    </w:tbl>
    <w:p w14:paraId="39F23973" w14:textId="77777777" w:rsidR="009870E5" w:rsidRDefault="009870E5" w:rsidP="00BB5C81">
      <w:pPr>
        <w:pStyle w:val="aa"/>
        <w:spacing w:beforeLines="50" w:before="120"/>
        <w:jc w:val="both"/>
        <w:rPr>
          <w:sz w:val="21"/>
          <w:szCs w:val="21"/>
          <w:lang w:eastAsia="zh-CN"/>
        </w:rPr>
      </w:pP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2A9C2BA" w14:textId="1E38B22C" w:rsidR="00F045FF" w:rsidRPr="002258C9" w:rsidRDefault="001769C4" w:rsidP="00BB5C81">
      <w:pPr>
        <w:pStyle w:val="aa"/>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aa"/>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 xml:space="preserve">ndicate the state of chain if the state of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chains after the UL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triggered for 1-port transmission on a carrier and the state of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chains after the UL </w:t>
            </w:r>
            <w:proofErr w:type="spellStart"/>
            <w:r w:rsidRPr="008D25E2">
              <w:rPr>
                <w:rFonts w:ascii="Arial" w:eastAsia="等线" w:hAnsi="Arial" w:cs="Arial"/>
                <w:sz w:val="16"/>
                <w:szCs w:val="16"/>
                <w:lang w:eastAsia="zh-CN"/>
              </w:rPr>
              <w:t>Tx</w:t>
            </w:r>
            <w:proofErr w:type="spellEnd"/>
            <w:r w:rsidRPr="008D25E2">
              <w:rPr>
                <w:rFonts w:ascii="Arial" w:eastAsia="等线" w:hAnsi="Arial" w:cs="Arial"/>
                <w:sz w:val="16"/>
                <w:szCs w:val="16"/>
                <w:lang w:eastAsia="zh-CN"/>
              </w:rPr>
              <w:t xml:space="preserve">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w:t>
            </w:r>
            <w:proofErr w:type="spellStart"/>
            <w:r w:rsidRPr="008D25E2">
              <w:rPr>
                <w:rFonts w:ascii="Arial" w:eastAsia="等线" w:hAnsi="Arial" w:cs="Arial" w:hint="eastAsia"/>
                <w:sz w:val="16"/>
                <w:szCs w:val="16"/>
                <w:lang w:eastAsia="zh-CN"/>
              </w:rPr>
              <w:t>Tx</w:t>
            </w:r>
            <w:proofErr w:type="spellEnd"/>
            <w:r w:rsidRPr="008D25E2">
              <w:rPr>
                <w:rFonts w:ascii="Arial" w:eastAsia="等线" w:hAnsi="Arial" w:cs="Arial" w:hint="eastAsia"/>
                <w:sz w:val="16"/>
                <w:szCs w:val="16"/>
                <w:lang w:eastAsia="zh-CN"/>
              </w:rPr>
              <w:t xml:space="preserve">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3C5B5E">
        <w:tc>
          <w:tcPr>
            <w:tcW w:w="2088" w:type="dxa"/>
            <w:shd w:val="clear" w:color="auto" w:fill="auto"/>
          </w:tcPr>
          <w:p w14:paraId="4FD3607F" w14:textId="77777777" w:rsidR="00F0746E" w:rsidRPr="007264BD" w:rsidRDefault="00F0746E" w:rsidP="003C5B5E">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3C5B5E">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3C5B5E">
        <w:tc>
          <w:tcPr>
            <w:tcW w:w="2088" w:type="dxa"/>
            <w:shd w:val="clear" w:color="auto" w:fill="auto"/>
          </w:tcPr>
          <w:p w14:paraId="2A3BF203" w14:textId="52E7B372" w:rsidR="00F0746E" w:rsidRPr="007264BD" w:rsidRDefault="0069442D" w:rsidP="003C5B5E">
            <w:pPr>
              <w:pStyle w:val="aa"/>
              <w:jc w:val="both"/>
              <w:rPr>
                <w:sz w:val="21"/>
                <w:szCs w:val="21"/>
                <w:lang w:eastAsia="zh-CN"/>
              </w:rPr>
            </w:pPr>
            <w:r>
              <w:rPr>
                <w:sz w:val="21"/>
                <w:szCs w:val="21"/>
                <w:lang w:eastAsia="zh-CN"/>
              </w:rPr>
              <w:t>Qualcomm</w:t>
            </w:r>
          </w:p>
        </w:tc>
        <w:tc>
          <w:tcPr>
            <w:tcW w:w="7428" w:type="dxa"/>
            <w:shd w:val="clear" w:color="auto" w:fill="auto"/>
          </w:tcPr>
          <w:p w14:paraId="58C02ADD" w14:textId="20C815B3" w:rsidR="00F0746E" w:rsidRPr="005B1EFE" w:rsidRDefault="0069442D" w:rsidP="003C5B5E">
            <w:pPr>
              <w:pStyle w:val="aa"/>
              <w:jc w:val="both"/>
              <w:rPr>
                <w:lang w:eastAsia="zh-CN"/>
              </w:rPr>
            </w:pPr>
            <w:r>
              <w:rPr>
                <w:lang w:eastAsia="zh-CN"/>
              </w:rPr>
              <w:t>We support FL’s proposal.</w:t>
            </w:r>
          </w:p>
        </w:tc>
      </w:tr>
      <w:tr w:rsidR="00F0746E" w:rsidRPr="007264BD" w14:paraId="64F37698" w14:textId="77777777" w:rsidTr="003C5B5E">
        <w:tc>
          <w:tcPr>
            <w:tcW w:w="2088" w:type="dxa"/>
            <w:shd w:val="clear" w:color="auto" w:fill="auto"/>
          </w:tcPr>
          <w:p w14:paraId="3496CB58" w14:textId="7993B890" w:rsidR="00F0746E" w:rsidRPr="007264BD" w:rsidRDefault="001E05A5" w:rsidP="003C5B5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803CD9B" w14:textId="36DAC1D7" w:rsidR="00F0746E" w:rsidRPr="007264BD" w:rsidRDefault="001E05A5" w:rsidP="003C5B5E">
            <w:pPr>
              <w:pStyle w:val="aa"/>
              <w:jc w:val="both"/>
              <w:rPr>
                <w:sz w:val="21"/>
                <w:szCs w:val="21"/>
                <w:lang w:eastAsia="zh-CN"/>
              </w:rPr>
            </w:pPr>
            <w:r>
              <w:rPr>
                <w:rFonts w:hint="eastAsia"/>
                <w:sz w:val="21"/>
                <w:szCs w:val="21"/>
                <w:lang w:eastAsia="zh-CN"/>
              </w:rPr>
              <w:t>W</w:t>
            </w:r>
            <w:r>
              <w:rPr>
                <w:sz w:val="21"/>
                <w:szCs w:val="21"/>
                <w:lang w:eastAsia="zh-CN"/>
              </w:rPr>
              <w:t>e are ok with the FL’s proposal.</w:t>
            </w:r>
          </w:p>
        </w:tc>
      </w:tr>
      <w:tr w:rsidR="00F0746E" w:rsidRPr="007264BD" w14:paraId="52CC604F" w14:textId="77777777" w:rsidTr="003C5B5E">
        <w:tc>
          <w:tcPr>
            <w:tcW w:w="2088" w:type="dxa"/>
            <w:shd w:val="clear" w:color="auto" w:fill="auto"/>
          </w:tcPr>
          <w:p w14:paraId="6B198367" w14:textId="77777777" w:rsidR="00F0746E" w:rsidRPr="007264BD" w:rsidRDefault="00F0746E" w:rsidP="003C5B5E">
            <w:pPr>
              <w:pStyle w:val="aa"/>
              <w:jc w:val="both"/>
              <w:rPr>
                <w:sz w:val="21"/>
                <w:szCs w:val="21"/>
                <w:lang w:eastAsia="zh-CN"/>
              </w:rPr>
            </w:pPr>
          </w:p>
        </w:tc>
        <w:tc>
          <w:tcPr>
            <w:tcW w:w="7428" w:type="dxa"/>
            <w:shd w:val="clear" w:color="auto" w:fill="auto"/>
          </w:tcPr>
          <w:p w14:paraId="4CD2EC9F" w14:textId="77777777" w:rsidR="00F0746E" w:rsidRPr="007264BD" w:rsidRDefault="00F0746E" w:rsidP="003C5B5E">
            <w:pPr>
              <w:pStyle w:val="aa"/>
              <w:jc w:val="both"/>
              <w:rPr>
                <w:sz w:val="21"/>
                <w:szCs w:val="21"/>
                <w:lang w:eastAsia="zh-CN"/>
              </w:rPr>
            </w:pPr>
          </w:p>
        </w:tc>
      </w:tr>
    </w:tbl>
    <w:p w14:paraId="665A77E8" w14:textId="77777777" w:rsidR="00006DBC" w:rsidRPr="005D3CF9" w:rsidRDefault="00006DBC"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lastRenderedPageBreak/>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3DF1EF9" w14:textId="77777777" w:rsidR="00C06112" w:rsidRPr="004E2EA9" w:rsidRDefault="00C06112" w:rsidP="00C06112">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21B3E8BC" w14:textId="77777777" w:rsidR="00C06112" w:rsidRPr="004E2EA9" w:rsidRDefault="00C06112" w:rsidP="00C06112">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a"/>
        <w:numPr>
          <w:ilvl w:val="0"/>
          <w:numId w:val="28"/>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020368">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a"/>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020368">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9"/>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9"/>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9"/>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a"/>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9"/>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a"/>
        <w:numPr>
          <w:ilvl w:val="0"/>
          <w:numId w:val="27"/>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020368">
      <w:pPr>
        <w:pStyle w:val="aa"/>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w:t>
      </w:r>
      <w:proofErr w:type="spellStart"/>
      <w:proofErr w:type="gramStart"/>
      <w:r w:rsidR="007F4BDD" w:rsidRPr="00AA0C59">
        <w:rPr>
          <w:lang w:eastAsia="zh-CN"/>
        </w:rPr>
        <w:t>Tx</w:t>
      </w:r>
      <w:proofErr w:type="spellEnd"/>
      <w:proofErr w:type="gramEnd"/>
      <w:r w:rsidR="007F4BDD" w:rsidRPr="00AA0C59">
        <w:rPr>
          <w:lang w:eastAsia="zh-CN"/>
        </w:rPr>
        <w:t xml:space="preserve"> switching, </w:t>
      </w:r>
      <w:r w:rsidR="007F4BDD" w:rsidRPr="00AA0C59">
        <w:rPr>
          <w:rFonts w:hint="eastAsia"/>
          <w:lang w:eastAsia="zh-CN"/>
        </w:rPr>
        <w:t xml:space="preserve">Huawei, </w:t>
      </w:r>
      <w:proofErr w:type="spellStart"/>
      <w:r w:rsidR="007F4BDD" w:rsidRPr="00AA0C59">
        <w:rPr>
          <w:rFonts w:hint="eastAsia"/>
          <w:lang w:eastAsia="zh-CN"/>
        </w:rPr>
        <w:t>HiSilicon</w:t>
      </w:r>
      <w:proofErr w:type="spellEnd"/>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1-2110904, Remaining issues for Rel-17 UL </w:t>
      </w:r>
      <w:proofErr w:type="spellStart"/>
      <w:r w:rsidRPr="00AA0C59">
        <w:rPr>
          <w:lang w:eastAsia="zh-CN"/>
        </w:rPr>
        <w:t>Tx</w:t>
      </w:r>
      <w:proofErr w:type="spellEnd"/>
      <w:r w:rsidRPr="00AA0C59">
        <w:rPr>
          <w:lang w:eastAsia="zh-CN"/>
        </w:rPr>
        <w:t xml:space="preserve">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R1-2110972, Remaining issues on Rel-17 </w:t>
      </w:r>
      <w:proofErr w:type="spellStart"/>
      <w:r w:rsidRPr="00AA0C59">
        <w:rPr>
          <w:lang w:eastAsia="zh-CN"/>
        </w:rPr>
        <w:t>Tx</w:t>
      </w:r>
      <w:proofErr w:type="spellEnd"/>
      <w:r w:rsidRPr="00AA0C59">
        <w:rPr>
          <w:lang w:eastAsia="zh-CN"/>
        </w:rPr>
        <w:t xml:space="preserve">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 xml:space="preserve">iscussion on Rel-17 </w:t>
      </w:r>
      <w:proofErr w:type="spellStart"/>
      <w:proofErr w:type="gramStart"/>
      <w:r w:rsidRPr="00AA0C59">
        <w:rPr>
          <w:lang w:eastAsia="zh-CN"/>
        </w:rPr>
        <w:t>Tx</w:t>
      </w:r>
      <w:proofErr w:type="spellEnd"/>
      <w:proofErr w:type="gramEnd"/>
      <w:r w:rsidRPr="00AA0C59">
        <w:rPr>
          <w:lang w:eastAsia="zh-CN"/>
        </w:rPr>
        <w:t xml:space="preserve">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1-2111933, Discussion on the remaining problems of supporting </w:t>
      </w:r>
      <w:proofErr w:type="spellStart"/>
      <w:r w:rsidRPr="00AA0C59">
        <w:rPr>
          <w:lang w:eastAsia="zh-CN"/>
        </w:rPr>
        <w:t>Tx</w:t>
      </w:r>
      <w:proofErr w:type="spellEnd"/>
      <w:r w:rsidRPr="00AA0C59">
        <w:rPr>
          <w:lang w:eastAsia="zh-CN"/>
        </w:rPr>
        <w:t xml:space="preserve"> switching between two uplink carriers, Huawei, </w:t>
      </w:r>
      <w:proofErr w:type="spellStart"/>
      <w:r w:rsidRPr="00AA0C59">
        <w:rPr>
          <w:lang w:eastAsia="zh-CN"/>
        </w:rPr>
        <w:t>HiSilicon</w:t>
      </w:r>
      <w:proofErr w:type="spellEnd"/>
      <w:r w:rsidRPr="00AA0C59">
        <w:rPr>
          <w:lang w:eastAsia="zh-CN"/>
        </w:rPr>
        <w:t>, RAN1 #107-e, November 11th – 19th, 2021</w:t>
      </w:r>
    </w:p>
    <w:p w14:paraId="6D82AECE" w14:textId="57BA1775" w:rsidR="00D913BB" w:rsidRPr="00AA0C59" w:rsidRDefault="007B3078" w:rsidP="00C539B3">
      <w:pPr>
        <w:pStyle w:val="20"/>
        <w:numPr>
          <w:ilvl w:val="0"/>
          <w:numId w:val="11"/>
        </w:numPr>
        <w:overflowPunct/>
        <w:autoSpaceDE/>
        <w:autoSpaceDN/>
        <w:adjustRightInd/>
        <w:spacing w:before="180" w:after="0" w:line="240" w:lineRule="auto"/>
        <w:jc w:val="both"/>
        <w:textAlignment w:val="auto"/>
      </w:pPr>
      <w:r w:rsidRPr="00AA0C59">
        <w:rPr>
          <w:lang w:eastAsia="zh-CN"/>
        </w:rPr>
        <w:t xml:space="preserve">R1-2112188, Discussion on Rel-17 UL </w:t>
      </w:r>
      <w:proofErr w:type="spellStart"/>
      <w:r w:rsidRPr="00AA0C59">
        <w:rPr>
          <w:lang w:eastAsia="zh-CN"/>
        </w:rPr>
        <w:t>Tx</w:t>
      </w:r>
      <w:proofErr w:type="spellEnd"/>
      <w:r w:rsidRPr="00AA0C59">
        <w:rPr>
          <w:lang w:eastAsia="zh-CN"/>
        </w:rPr>
        <w:t xml:space="preserve">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F33A8" w14:textId="77777777" w:rsidR="004F5195" w:rsidRDefault="004F5195">
      <w:pPr>
        <w:spacing w:after="0" w:line="240" w:lineRule="auto"/>
      </w:pPr>
      <w:r>
        <w:separator/>
      </w:r>
    </w:p>
  </w:endnote>
  <w:endnote w:type="continuationSeparator" w:id="0">
    <w:p w14:paraId="08645CBE" w14:textId="77777777" w:rsidR="004F5195" w:rsidRDefault="004F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4C41780" w:rsidR="00C539B3" w:rsidRDefault="00C539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654F">
      <w:rPr>
        <w:rFonts w:ascii="Arial" w:hAnsi="Arial" w:cs="Arial"/>
        <w:b/>
        <w:noProof/>
        <w:sz w:val="18"/>
        <w:szCs w:val="18"/>
      </w:rPr>
      <w:t>13</w:t>
    </w:r>
    <w:r>
      <w:rPr>
        <w:rFonts w:ascii="Arial" w:hAnsi="Arial" w:cs="Arial"/>
        <w:b/>
        <w:sz w:val="18"/>
        <w:szCs w:val="18"/>
      </w:rPr>
      <w:fldChar w:fldCharType="end"/>
    </w:r>
  </w:p>
  <w:p w14:paraId="0ABDEC68" w14:textId="77777777" w:rsidR="00C539B3" w:rsidRDefault="00C539B3">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942F" w14:textId="77777777" w:rsidR="004F5195" w:rsidRDefault="004F5195">
      <w:pPr>
        <w:spacing w:after="0" w:line="240" w:lineRule="auto"/>
      </w:pPr>
      <w:r>
        <w:separator/>
      </w:r>
    </w:p>
  </w:footnote>
  <w:footnote w:type="continuationSeparator" w:id="0">
    <w:p w14:paraId="428B6C2D" w14:textId="77777777" w:rsidR="004F5195" w:rsidRDefault="004F5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8C8A4AF-3726-47FC-B939-511752B7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13</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2021-11-15T11:08:00Z</dcterms:created>
  <dcterms:modified xsi:type="dcterms:W3CDTF">2021-11-15T11:09:00Z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