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2641E29A"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-e-NR-R17-TxSwitching-01] Email discussion on RAN1 Aspects for RF requirements for NR frequency range 1 (FR1) – Jianchi (China Telecom)</w:t>
      </w:r>
    </w:p>
    <w:p w14:paraId="01D9C1A1" w14:textId="77777777" w:rsidR="00CB77F7" w:rsidRPr="0012481F"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Including any Rel-17 RRC signalling aspects</w:t>
      </w:r>
    </w:p>
    <w:p w14:paraId="19E5E966"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f"/>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Tx switching via </w:t>
      </w:r>
      <w:r w:rsidRPr="00B40ADB">
        <w:rPr>
          <w:rFonts w:ascii="Times New Roman" w:hAnsi="Times New Roman"/>
          <w:i/>
          <w:sz w:val="21"/>
          <w:szCs w:val="21"/>
          <w:lang w:val="en-GB" w:eastAsia="zh-CN"/>
        </w:rPr>
        <w:t>uplinkTxSwitching</w:t>
      </w:r>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r w:rsidRPr="00B40ADB">
        <w:rPr>
          <w:rFonts w:ascii="Times New Roman" w:hAnsi="Times New Roman"/>
          <w:i/>
          <w:sz w:val="21"/>
          <w:szCs w:val="21"/>
          <w:lang w:val="en-GB" w:eastAsia="zh-CN"/>
        </w:rPr>
        <w:t>uplinkTxSwitching</w:t>
      </w:r>
    </w:p>
    <w:p w14:paraId="54CF510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r w:rsidRPr="00B40ADB">
        <w:rPr>
          <w:rFonts w:ascii="Times New Roman" w:hAnsi="Times New Roman"/>
          <w:i/>
          <w:sz w:val="21"/>
          <w:szCs w:val="21"/>
          <w:lang w:val="en-GB" w:eastAsia="zh-CN"/>
        </w:rPr>
        <w:t>uplinkTxSwitching</w:t>
      </w:r>
    </w:p>
    <w:p w14:paraId="30637A9E"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f"/>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f"/>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If any of the above SRS resources is configured with usage “noncodebook”,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6B6E69">
      <w:pPr>
        <w:pStyle w:val="aff"/>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upport: Huawei, H</w:t>
      </w:r>
      <w:r w:rsidRPr="000766B1">
        <w:rPr>
          <w:sz w:val="21"/>
          <w:szCs w:val="21"/>
          <w:highlight w:val="cyan"/>
          <w:lang w:val="en-GB" w:eastAsia="zh-CN"/>
        </w:rPr>
        <w:t>iSilicon</w:t>
      </w:r>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A23CCD">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A23CCD">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2D0D427F" w14:textId="77777777" w:rsidR="00A23CCD" w:rsidRPr="00430912" w:rsidRDefault="00A23CCD" w:rsidP="00A23CCD">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0BCDB39" w14:textId="77777777" w:rsidR="00A23CCD" w:rsidRPr="00430912" w:rsidRDefault="00A23CCD" w:rsidP="00A23CCD">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ad"/>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ad"/>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4F4EFB">
            <w:pPr>
              <w:pStyle w:val="aff"/>
              <w:numPr>
                <w:ilvl w:val="0"/>
                <w:numId w:val="36"/>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r w:rsidRPr="004F4EFB">
              <w:rPr>
                <w:rFonts w:ascii="Times New Roman" w:hAnsi="Times New Roman"/>
                <w:sz w:val="21"/>
                <w:szCs w:val="21"/>
                <w:lang w:val="en-US" w:eastAsia="zh-CN"/>
              </w:rPr>
              <w:t>noncodebook</w:t>
            </w:r>
            <w:bookmarkEnd w:id="3"/>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4F4EFB">
            <w:pPr>
              <w:pStyle w:val="aff"/>
              <w:numPr>
                <w:ilvl w:val="0"/>
                <w:numId w:val="36"/>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4F4EFB">
            <w:pPr>
              <w:pStyle w:val="ad"/>
              <w:numPr>
                <w:ilvl w:val="0"/>
                <w:numId w:val="36"/>
              </w:numPr>
              <w:spacing w:line="240" w:lineRule="auto"/>
              <w:jc w:val="both"/>
              <w:rPr>
                <w:sz w:val="21"/>
                <w:szCs w:val="21"/>
                <w:lang w:eastAsia="zh-CN"/>
              </w:rPr>
            </w:pPr>
            <w:r>
              <w:rPr>
                <w:sz w:val="21"/>
                <w:szCs w:val="21"/>
                <w:lang w:eastAsia="zh-CN"/>
              </w:rPr>
              <w:t xml:space="preserve">Option 1 only checks the SRS antenna port number which might NOT fully reveal the Tx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Tx and thus implement shorter switching time. </w:t>
            </w:r>
          </w:p>
          <w:p w14:paraId="343B9423" w14:textId="056B7FE3" w:rsidR="00804B2C" w:rsidRPr="007264BD" w:rsidRDefault="00804B2C" w:rsidP="00BD1AB2">
            <w:pPr>
              <w:pStyle w:val="ad"/>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ad"/>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ad"/>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ad"/>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ad"/>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ad"/>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af7"/>
              <w:tblW w:w="0" w:type="auto"/>
              <w:tblLook w:val="04A0" w:firstRow="1" w:lastRow="0" w:firstColumn="1" w:lastColumn="0" w:noHBand="0" w:noVBand="1"/>
            </w:tblPr>
            <w:tblGrid>
              <w:gridCol w:w="7201"/>
            </w:tblGrid>
            <w:tr w:rsidR="00DD48D4" w14:paraId="55F4B43B" w14:textId="77777777" w:rsidTr="00C539B3">
              <w:tc>
                <w:tcPr>
                  <w:tcW w:w="7201" w:type="dxa"/>
                </w:tcPr>
                <w:p w14:paraId="3F4BFAD0" w14:textId="77777777" w:rsidR="00DD48D4" w:rsidRPr="007D6CD5" w:rsidRDefault="00DD48D4" w:rsidP="00DD48D4">
                  <w:pPr>
                    <w:pStyle w:val="ad"/>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ad"/>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gNB should always configure the UE explicitly by DL RRC signalling, respecting  the reported capabilities. </w:t>
                  </w:r>
                </w:p>
                <w:p w14:paraId="540B70D6" w14:textId="77777777" w:rsidR="00DD48D4" w:rsidRDefault="00DD48D4" w:rsidP="00DD48D4">
                  <w:pPr>
                    <w:pStyle w:val="ad"/>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(maxLayersMIMO-Indication).</w:t>
                  </w:r>
                </w:p>
              </w:tc>
            </w:tr>
          </w:tbl>
          <w:p w14:paraId="1F68CBE5" w14:textId="0675FDB4" w:rsidR="00DD48D4" w:rsidRDefault="00DD48D4" w:rsidP="00DD48D4">
            <w:pPr>
              <w:pStyle w:val="ad"/>
              <w:jc w:val="both"/>
              <w:rPr>
                <w:sz w:val="21"/>
                <w:szCs w:val="21"/>
                <w:lang w:eastAsia="zh-CN"/>
              </w:rPr>
            </w:pPr>
            <w:r w:rsidRPr="007D6CD5">
              <w:rPr>
                <w:sz w:val="21"/>
                <w:szCs w:val="21"/>
                <w:lang w:eastAsia="zh-CN"/>
              </w:rPr>
              <w:t xml:space="preserve"> </w:t>
            </w:r>
          </w:p>
          <w:p w14:paraId="39C58602" w14:textId="1262C039" w:rsidR="00DD48D4" w:rsidRPr="006B59F9" w:rsidRDefault="00DD48D4" w:rsidP="00DD48D4">
            <w:pPr>
              <w:pStyle w:val="ad"/>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29926679" w:rsidR="00FE491D" w:rsidRPr="007264BD" w:rsidRDefault="00F3157B" w:rsidP="00FE491D">
            <w:pPr>
              <w:pStyle w:val="ad"/>
              <w:jc w:val="both"/>
              <w:rPr>
                <w:sz w:val="21"/>
                <w:szCs w:val="21"/>
                <w:lang w:eastAsia="zh-CN"/>
              </w:rPr>
            </w:pPr>
            <w:r>
              <w:rPr>
                <w:sz w:val="21"/>
                <w:szCs w:val="21"/>
                <w:lang w:eastAsia="zh-CN"/>
              </w:rPr>
              <w:lastRenderedPageBreak/>
              <w:t>OPPO</w:t>
            </w:r>
          </w:p>
        </w:tc>
        <w:tc>
          <w:tcPr>
            <w:tcW w:w="7427" w:type="dxa"/>
            <w:shd w:val="clear" w:color="auto" w:fill="auto"/>
          </w:tcPr>
          <w:p w14:paraId="69F6FB1D" w14:textId="58A6FB95" w:rsidR="00FE491D" w:rsidRPr="00F3157B" w:rsidRDefault="00F3157B" w:rsidP="00FE491D">
            <w:pPr>
              <w:pStyle w:val="ad"/>
              <w:jc w:val="both"/>
              <w:rPr>
                <w:sz w:val="21"/>
                <w:szCs w:val="21"/>
                <w:lang w:eastAsia="zh-CN"/>
              </w:rPr>
            </w:pPr>
            <w:r w:rsidRPr="00F3157B">
              <w:rPr>
                <w:sz w:val="21"/>
                <w:szCs w:val="21"/>
                <w:lang w:eastAsia="zh-CN"/>
              </w:rPr>
              <w:t xml:space="preserve">Support Option 2 since it is </w:t>
            </w:r>
            <w:r w:rsidR="00EC677B">
              <w:rPr>
                <w:sz w:val="21"/>
                <w:szCs w:val="21"/>
                <w:lang w:eastAsia="zh-CN"/>
              </w:rPr>
              <w:t xml:space="preserve">the </w:t>
            </w:r>
            <w:r w:rsidRPr="00F3157B">
              <w:rPr>
                <w:sz w:val="21"/>
                <w:szCs w:val="21"/>
                <w:lang w:eastAsia="zh-CN"/>
              </w:rPr>
              <w:t>simpler and cleaner solution</w:t>
            </w:r>
          </w:p>
        </w:tc>
      </w:tr>
      <w:tr w:rsidR="0031310F" w:rsidRPr="007264BD" w14:paraId="07E389E8" w14:textId="77777777" w:rsidTr="00C539B3">
        <w:tc>
          <w:tcPr>
            <w:tcW w:w="2089" w:type="dxa"/>
            <w:shd w:val="clear" w:color="auto" w:fill="auto"/>
          </w:tcPr>
          <w:p w14:paraId="72B2CB3E" w14:textId="77777777" w:rsidR="0031310F" w:rsidRPr="007264BD" w:rsidRDefault="0031310F" w:rsidP="00C539B3">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502C01A2" w14:textId="77777777" w:rsidR="0031310F" w:rsidRPr="00CD381E" w:rsidRDefault="0031310F" w:rsidP="00C539B3">
            <w:pPr>
              <w:pStyle w:val="ad"/>
              <w:jc w:val="both"/>
              <w:rPr>
                <w:sz w:val="21"/>
                <w:szCs w:val="21"/>
                <w:lang w:eastAsia="zh-CN"/>
              </w:rPr>
            </w:pPr>
            <w:r w:rsidRPr="00CD381E">
              <w:rPr>
                <w:sz w:val="21"/>
                <w:szCs w:val="21"/>
                <w:lang w:eastAsia="zh-CN"/>
              </w:rPr>
              <w:t>W</w:t>
            </w:r>
            <w:r w:rsidRPr="00CD381E">
              <w:rPr>
                <w:rFonts w:hint="eastAsia"/>
                <w:sz w:val="21"/>
                <w:szCs w:val="21"/>
                <w:lang w:eastAsia="zh-CN"/>
              </w:rPr>
              <w:t>e support Option 1.</w:t>
            </w:r>
          </w:p>
          <w:p w14:paraId="43478449" w14:textId="77777777" w:rsidR="0031310F" w:rsidRPr="00CD381E" w:rsidRDefault="0031310F" w:rsidP="00C539B3">
            <w:pPr>
              <w:rPr>
                <w:sz w:val="21"/>
                <w:szCs w:val="21"/>
                <w:lang w:eastAsia="zh-CN"/>
              </w:rPr>
            </w:pPr>
            <w:r w:rsidRPr="00CD381E">
              <w:rPr>
                <w:sz w:val="21"/>
                <w:szCs w:val="21"/>
              </w:rPr>
              <w:t xml:space="preserve">For Option 2, a new RRC parameter can conflict with existing RRC parameters, a clarification like Option 1 is inevitable. It is unclear in Note2 of Option 2 that what active RRC configuration is involved and how to determine a conflict. From this perspective, Option 2 requires a consensus on Option 1 first. For example, Option 2 would have these specification impacts “The UE is not expected to be configured with switch time of 1Tx-2Tx, when </w:t>
            </w:r>
            <w:r w:rsidRPr="00CD381E">
              <w:rPr>
                <w:rFonts w:hint="eastAsia"/>
                <w:sz w:val="21"/>
                <w:szCs w:val="21"/>
              </w:rPr>
              <w:t>the</w:t>
            </w:r>
            <w:r w:rsidRPr="00CD381E">
              <w:rPr>
                <w:sz w:val="21"/>
                <w:szCs w:val="21"/>
              </w:rPr>
              <w:t xml:space="preserve"> max number of antenna ports for SRS resources is 2.” This redundant RRC parameter only increases signaling overhead and possible conflicts. </w:t>
            </w:r>
            <w:r w:rsidRPr="00CD381E">
              <w:rPr>
                <w:sz w:val="21"/>
                <w:szCs w:val="21"/>
                <w:lang w:eastAsia="zh-CN"/>
              </w:rPr>
              <w:t>Therefore, Option 2 is far from good enough.</w:t>
            </w:r>
          </w:p>
          <w:p w14:paraId="29AAB598" w14:textId="77777777" w:rsidR="0031310F" w:rsidRDefault="0031310F" w:rsidP="00C539B3">
            <w:pPr>
              <w:pStyle w:val="ad"/>
              <w:jc w:val="both"/>
              <w:rPr>
                <w:sz w:val="21"/>
                <w:szCs w:val="21"/>
              </w:rPr>
            </w:pPr>
            <w:r w:rsidRPr="00CD381E">
              <w:rPr>
                <w:sz w:val="21"/>
                <w:szCs w:val="21"/>
                <w:lang w:eastAsia="zh-CN"/>
              </w:rPr>
              <w:t>In 2-port SP</w:t>
            </w:r>
            <w:r w:rsidRPr="00CD381E">
              <w:rPr>
                <w:rFonts w:hint="eastAsia"/>
                <w:sz w:val="21"/>
                <w:szCs w:val="21"/>
                <w:lang w:eastAsia="zh-CN"/>
              </w:rPr>
              <w:t>-</w:t>
            </w:r>
            <w:r w:rsidRPr="00CD381E">
              <w:rPr>
                <w:sz w:val="21"/>
                <w:szCs w:val="21"/>
                <w:lang w:eastAsia="zh-CN"/>
              </w:rPr>
              <w:t>SRS Scenario</w:t>
            </w:r>
            <w:r w:rsidRPr="00CD381E">
              <w:rPr>
                <w:rFonts w:hint="eastAsia"/>
                <w:sz w:val="21"/>
                <w:szCs w:val="21"/>
                <w:lang w:eastAsia="zh-CN"/>
              </w:rPr>
              <w:t>，</w:t>
            </w:r>
            <w:r w:rsidRPr="00CD381E">
              <w:rPr>
                <w:sz w:val="21"/>
                <w:szCs w:val="21"/>
              </w:rPr>
              <w:t>Option 2 would cause problem</w:t>
            </w:r>
            <w:r w:rsidRPr="00CD381E">
              <w:rPr>
                <w:rFonts w:hint="eastAsia"/>
                <w:sz w:val="21"/>
                <w:szCs w:val="21"/>
                <w:lang w:eastAsia="zh-CN"/>
              </w:rPr>
              <w:t>.</w:t>
            </w:r>
            <w:r w:rsidRPr="00CD381E">
              <w:rPr>
                <w:sz w:val="21"/>
                <w:szCs w:val="21"/>
                <w:lang w:eastAsia="zh-CN"/>
              </w:rPr>
              <w:t xml:space="preserve"> </w:t>
            </w:r>
            <w:r w:rsidRPr="00CD381E">
              <w:rPr>
                <w:sz w:val="21"/>
                <w:szCs w:val="21"/>
              </w:rPr>
              <w:t xml:space="preserve">If the </w:t>
            </w:r>
            <w:r w:rsidRPr="00CD381E">
              <w:rPr>
                <w:sz w:val="21"/>
                <w:szCs w:val="21"/>
                <w:lang w:eastAsia="zh-CN"/>
              </w:rPr>
              <w:t>new RRC parameter</w:t>
            </w:r>
            <w:r w:rsidRPr="00CD381E">
              <w:rPr>
                <w:sz w:val="21"/>
                <w:szCs w:val="21"/>
              </w:rPr>
              <w:t xml:space="preserve"> indicates the 1Tx-2Tx, the UE cannot work after </w:t>
            </w:r>
            <w:r w:rsidRPr="00CD381E">
              <w:rPr>
                <w:sz w:val="21"/>
                <w:szCs w:val="21"/>
                <w:lang w:eastAsia="zh-CN"/>
              </w:rPr>
              <w:t>the MAC-CE activates the 2-port SP-SRS</w:t>
            </w:r>
            <w:r w:rsidRPr="00CD381E">
              <w:rPr>
                <w:sz w:val="21"/>
                <w:szCs w:val="21"/>
              </w:rPr>
              <w:t xml:space="preserve"> due to the conflicting RRC indication. If the </w:t>
            </w:r>
            <w:r w:rsidRPr="00CD381E">
              <w:rPr>
                <w:sz w:val="21"/>
                <w:szCs w:val="21"/>
                <w:lang w:eastAsia="zh-CN"/>
              </w:rPr>
              <w:t>new RRC parameter</w:t>
            </w:r>
            <w:r w:rsidRPr="00CD381E">
              <w:rPr>
                <w:sz w:val="21"/>
                <w:szCs w:val="21"/>
              </w:rPr>
              <w:t xml:space="preserve"> indicates the 2Tx-2Tx, this method is no</w:t>
            </w:r>
            <w:r>
              <w:rPr>
                <w:rFonts w:hint="eastAsia"/>
                <w:sz w:val="21"/>
                <w:szCs w:val="21"/>
                <w:lang w:eastAsia="zh-CN"/>
              </w:rPr>
              <w:t>t</w:t>
            </w:r>
            <w:r w:rsidRPr="00CD381E">
              <w:rPr>
                <w:sz w:val="21"/>
                <w:szCs w:val="21"/>
              </w:rPr>
              <w:t xml:space="preserve"> different from directly predefining to use the longest switching time.</w:t>
            </w:r>
          </w:p>
          <w:p w14:paraId="1BB31461" w14:textId="77777777" w:rsidR="0031310F" w:rsidRDefault="0031310F" w:rsidP="00C539B3">
            <w:pPr>
              <w:pStyle w:val="ad"/>
              <w:jc w:val="both"/>
              <w:rPr>
                <w:sz w:val="21"/>
                <w:szCs w:val="21"/>
                <w:lang w:eastAsia="zh-CN"/>
              </w:rPr>
            </w:pPr>
            <w:r>
              <w:rPr>
                <w:sz w:val="21"/>
                <w:szCs w:val="21"/>
                <w:lang w:eastAsia="zh-CN"/>
              </w:rPr>
              <w:t>@ZTE, Not sure why RAN2 guidance is quoted. It is quite clear that Option 1 is reusing the existing RRC configurations instead of UE capability.</w:t>
            </w:r>
          </w:p>
          <w:p w14:paraId="1505503A" w14:textId="42A9A402" w:rsidR="0058438E" w:rsidRPr="007264BD" w:rsidRDefault="0058438E" w:rsidP="00C539B3">
            <w:pPr>
              <w:pStyle w:val="ad"/>
              <w:jc w:val="both"/>
              <w:rPr>
                <w:sz w:val="21"/>
                <w:szCs w:val="21"/>
                <w:lang w:eastAsia="zh-CN"/>
              </w:rPr>
            </w:pPr>
            <w:r>
              <w:rPr>
                <w:sz w:val="21"/>
                <w:szCs w:val="21"/>
                <w:lang w:eastAsia="zh-CN"/>
              </w:rPr>
              <w:t>@OPPO, in our understanding, Option 2 looks simple only because it hides all the clarifications done by Option 1 within Note 2, which can cost misunderstanding between gNB and UEs.</w:t>
            </w:r>
          </w:p>
        </w:tc>
      </w:tr>
      <w:tr w:rsidR="0099632B" w:rsidRPr="007264BD" w14:paraId="23EFEB50" w14:textId="77777777" w:rsidTr="00C539B3">
        <w:tc>
          <w:tcPr>
            <w:tcW w:w="2089" w:type="dxa"/>
            <w:shd w:val="clear" w:color="auto" w:fill="auto"/>
          </w:tcPr>
          <w:p w14:paraId="73DF6A7C" w14:textId="52D6DF11" w:rsidR="0099632B" w:rsidRDefault="0099632B" w:rsidP="00C539B3">
            <w:pPr>
              <w:pStyle w:val="ad"/>
              <w:jc w:val="both"/>
              <w:rPr>
                <w:sz w:val="21"/>
                <w:szCs w:val="21"/>
                <w:lang w:eastAsia="zh-CN"/>
              </w:rPr>
            </w:pPr>
            <w:r>
              <w:rPr>
                <w:rFonts w:hint="eastAsia"/>
                <w:sz w:val="21"/>
                <w:szCs w:val="21"/>
                <w:lang w:eastAsia="zh-CN"/>
              </w:rPr>
              <w:t>v</w:t>
            </w:r>
            <w:r>
              <w:rPr>
                <w:sz w:val="21"/>
                <w:szCs w:val="21"/>
                <w:lang w:eastAsia="zh-CN"/>
              </w:rPr>
              <w:t>ivo</w:t>
            </w:r>
          </w:p>
        </w:tc>
        <w:tc>
          <w:tcPr>
            <w:tcW w:w="7427" w:type="dxa"/>
            <w:shd w:val="clear" w:color="auto" w:fill="auto"/>
          </w:tcPr>
          <w:p w14:paraId="5D050078" w14:textId="4BD0AC77" w:rsidR="0099632B" w:rsidRPr="00CD381E" w:rsidRDefault="0099632B" w:rsidP="00C539B3">
            <w:pPr>
              <w:pStyle w:val="ad"/>
              <w:jc w:val="both"/>
              <w:rPr>
                <w:sz w:val="21"/>
                <w:szCs w:val="21"/>
                <w:lang w:eastAsia="zh-CN"/>
              </w:rPr>
            </w:pPr>
            <w:r>
              <w:rPr>
                <w:rFonts w:hint="eastAsia"/>
                <w:sz w:val="21"/>
                <w:szCs w:val="21"/>
                <w:lang w:eastAsia="zh-CN"/>
              </w:rPr>
              <w:t>O</w:t>
            </w:r>
            <w:r>
              <w:rPr>
                <w:sz w:val="21"/>
                <w:szCs w:val="21"/>
                <w:lang w:eastAsia="zh-CN"/>
              </w:rPr>
              <w:t xml:space="preserve">ption 1 and the updated Option 2 is now equivalent in terms of functionality from our understanding, while companies had different flavour on how it is to be specified. We are flexible to take either one of them and prefer to take a decision without repeated discussion again.  </w:t>
            </w:r>
          </w:p>
        </w:tc>
      </w:tr>
    </w:tbl>
    <w:p w14:paraId="38F9175A" w14:textId="77777777" w:rsidR="00CE2DE3" w:rsidRDefault="00CE2DE3"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lastRenderedPageBreak/>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496B19">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r w:rsidRPr="00EA1795">
        <w:rPr>
          <w:i/>
          <w:iCs/>
          <w:color w:val="FF0000"/>
        </w:rPr>
        <w:t>nrofSRS-Ports</w:t>
      </w:r>
      <w:r w:rsidRPr="00EA1795">
        <w:rPr>
          <w:color w:val="FF0000"/>
          <w:sz w:val="21"/>
          <w:szCs w:val="21"/>
        </w:rPr>
        <w:t> among the carriers on Band B is configured as 2 antenna ports and the state of Tx chains is 1 Tx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496B19">
      <w:pPr>
        <w:pStyle w:val="ad"/>
        <w:numPr>
          <w:ilvl w:val="0"/>
          <w:numId w:val="29"/>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ad"/>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ad"/>
              <w:jc w:val="both"/>
              <w:rPr>
                <w:sz w:val="21"/>
                <w:szCs w:val="21"/>
                <w:lang w:eastAsia="zh-CN"/>
              </w:rPr>
            </w:pPr>
            <w:r>
              <w:rPr>
                <w:sz w:val="21"/>
                <w:szCs w:val="21"/>
                <w:lang w:eastAsia="zh-CN"/>
              </w:rPr>
              <w:t>We support Alt 1.</w:t>
            </w:r>
          </w:p>
          <w:p w14:paraId="3EB0011E" w14:textId="77777777" w:rsidR="00CD46CF" w:rsidRDefault="00CD46CF" w:rsidP="00CD46CF">
            <w:pPr>
              <w:pStyle w:val="ad"/>
              <w:rPr>
                <w:sz w:val="21"/>
                <w:szCs w:val="21"/>
                <w:lang w:eastAsia="zh-CN"/>
              </w:rPr>
            </w:pPr>
            <w:r>
              <w:rPr>
                <w:sz w:val="21"/>
                <w:szCs w:val="21"/>
                <w:lang w:eastAsia="zh-CN"/>
              </w:rPr>
              <w:t>This UL Tx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when maximum nrofSRS-Ports among the carriers on Band B is configured as 2 antenna ports and the state of Tx chains is 1 Tx on Band A and 1Tx on Band B</w:t>
            </w:r>
            <w:r>
              <w:rPr>
                <w:sz w:val="21"/>
                <w:szCs w:val="21"/>
                <w:lang w:eastAsia="zh-CN"/>
              </w:rPr>
              <w:t>” is the most critical issue, as gNB &amp; UE may interpret codebook as different Tx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ad"/>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ad"/>
              <w:jc w:val="both"/>
              <w:rPr>
                <w:sz w:val="21"/>
                <w:szCs w:val="21"/>
                <w:lang w:eastAsia="zh-CN"/>
              </w:rPr>
            </w:pPr>
            <w:r>
              <w:rPr>
                <w:rFonts w:hint="eastAsia"/>
                <w:sz w:val="21"/>
                <w:szCs w:val="21"/>
                <w:lang w:eastAsia="zh-CN"/>
              </w:rPr>
              <w:t>Z</w:t>
            </w:r>
            <w:r>
              <w:rPr>
                <w:sz w:val="21"/>
                <w:szCs w:val="21"/>
                <w:lang w:eastAsia="zh-CN"/>
              </w:rPr>
              <w:t>TE</w:t>
            </w:r>
          </w:p>
        </w:tc>
        <w:tc>
          <w:tcPr>
            <w:tcW w:w="7442" w:type="dxa"/>
            <w:shd w:val="clear" w:color="auto" w:fill="auto"/>
          </w:tcPr>
          <w:p w14:paraId="5A612B8D" w14:textId="77777777" w:rsidR="00DD48D4" w:rsidRDefault="00DD48D4" w:rsidP="00DD48D4">
            <w:pPr>
              <w:pStyle w:val="ad"/>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ad"/>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31310F" w:rsidRPr="003442AF" w14:paraId="54CB6EBE" w14:textId="77777777" w:rsidTr="00C539B3">
        <w:tc>
          <w:tcPr>
            <w:tcW w:w="2074" w:type="dxa"/>
            <w:shd w:val="clear" w:color="auto" w:fill="auto"/>
          </w:tcPr>
          <w:p w14:paraId="118626F4" w14:textId="77777777" w:rsidR="0031310F" w:rsidRPr="007264BD" w:rsidRDefault="0031310F" w:rsidP="00C539B3">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2" w:type="dxa"/>
            <w:shd w:val="clear" w:color="auto" w:fill="auto"/>
          </w:tcPr>
          <w:p w14:paraId="62911603" w14:textId="77777777" w:rsidR="0031310F" w:rsidRDefault="0031310F" w:rsidP="00C539B3">
            <w:pPr>
              <w:pStyle w:val="ad"/>
              <w:jc w:val="both"/>
              <w:rPr>
                <w:sz w:val="21"/>
                <w:szCs w:val="21"/>
                <w:lang w:eastAsia="zh-CN"/>
              </w:rPr>
            </w:pPr>
            <w:r>
              <w:rPr>
                <w:sz w:val="21"/>
                <w:szCs w:val="21"/>
                <w:lang w:eastAsia="zh-CN"/>
              </w:rPr>
              <w:t>As a compromise, we can accept Alt 2.</w:t>
            </w:r>
          </w:p>
          <w:p w14:paraId="730653D8" w14:textId="77777777" w:rsidR="0031310F" w:rsidRPr="007264BD" w:rsidRDefault="0031310F" w:rsidP="00C539B3">
            <w:pPr>
              <w:pStyle w:val="ad"/>
              <w:jc w:val="both"/>
              <w:rPr>
                <w:sz w:val="21"/>
                <w:szCs w:val="21"/>
                <w:lang w:eastAsia="zh-CN"/>
              </w:rPr>
            </w:pPr>
            <w:r>
              <w:rPr>
                <w:sz w:val="21"/>
                <w:szCs w:val="21"/>
                <w:lang w:eastAsia="zh-CN"/>
              </w:rPr>
              <w:t xml:space="preserve">Since the discussion has last more than 16 months, we don’t prefer any further discussion. </w:t>
            </w:r>
            <w:r>
              <w:rPr>
                <w:rFonts w:hint="eastAsia"/>
                <w:sz w:val="21"/>
                <w:szCs w:val="21"/>
                <w:lang w:eastAsia="zh-CN"/>
              </w:rPr>
              <w:t>I</w:t>
            </w:r>
            <w:r>
              <w:rPr>
                <w:sz w:val="21"/>
                <w:szCs w:val="21"/>
                <w:lang w:eastAsia="zh-CN"/>
              </w:rPr>
              <w:t>f it is not acceptable, we request a conclusion to say no consensus on this issue or no consensus to further discuss it, which pretty reflects the real RAN1 situation.</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ad"/>
              <w:jc w:val="both"/>
              <w:rPr>
                <w:sz w:val="21"/>
                <w:szCs w:val="21"/>
                <w:lang w:eastAsia="zh-CN"/>
              </w:rPr>
            </w:pPr>
          </w:p>
        </w:tc>
        <w:tc>
          <w:tcPr>
            <w:tcW w:w="7442" w:type="dxa"/>
            <w:shd w:val="clear" w:color="auto" w:fill="auto"/>
          </w:tcPr>
          <w:p w14:paraId="5E5A64F0" w14:textId="04271791" w:rsidR="00035952" w:rsidRPr="003442AF" w:rsidRDefault="00035952" w:rsidP="00035952">
            <w:pPr>
              <w:pStyle w:val="ad"/>
              <w:jc w:val="both"/>
              <w:rPr>
                <w:sz w:val="21"/>
                <w:szCs w:val="21"/>
                <w:lang w:eastAsia="zh-CN"/>
              </w:rPr>
            </w:pPr>
          </w:p>
        </w:tc>
      </w:tr>
    </w:tbl>
    <w:p w14:paraId="0FF85C50" w14:textId="77777777" w:rsidR="00926378" w:rsidRDefault="00926378" w:rsidP="003E2811">
      <w:pPr>
        <w:pStyle w:val="ad"/>
        <w:spacing w:beforeLines="50" w:before="120"/>
        <w:jc w:val="both"/>
        <w:rPr>
          <w:sz w:val="21"/>
          <w:szCs w:val="21"/>
          <w:lang w:eastAsia="zh-CN"/>
        </w:rPr>
      </w:pPr>
    </w:p>
    <w:p w14:paraId="66037DA4" w14:textId="52ABC54A" w:rsidR="00E33AC7" w:rsidRPr="00ED1D4E" w:rsidRDefault="00E33AC7" w:rsidP="00ED1D4E">
      <w:pPr>
        <w:pStyle w:val="2"/>
        <w:spacing w:line="240" w:lineRule="auto"/>
      </w:pPr>
      <w:r w:rsidRPr="00ED1D4E">
        <w:rPr>
          <w:rFonts w:hint="eastAsia"/>
        </w:rPr>
        <w:lastRenderedPageBreak/>
        <w:t>R</w:t>
      </w:r>
      <w:r w:rsidRPr="00ED1D4E">
        <w:t>RC parameters</w:t>
      </w:r>
    </w:p>
    <w:p w14:paraId="0D3839F5" w14:textId="7B80AB2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the state of Tx chains after the UL Tx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1D69C9">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r w:rsidRPr="008215FC">
              <w:rPr>
                <w:rFonts w:ascii="Arial" w:eastAsia="等线" w:hAnsi="Arial" w:cs="Arial"/>
                <w:i/>
                <w:iCs/>
                <w:sz w:val="16"/>
                <w:szCs w:val="16"/>
                <w:lang w:eastAsia="zh-CN"/>
              </w:rPr>
              <w:t>uplinkTxSwitchingTxState</w:t>
            </w:r>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ad"/>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C539B3">
        <w:tc>
          <w:tcPr>
            <w:tcW w:w="2088" w:type="dxa"/>
            <w:shd w:val="clear" w:color="auto" w:fill="auto"/>
          </w:tcPr>
          <w:p w14:paraId="717FF60A" w14:textId="77777777" w:rsidR="00BB5C81" w:rsidRPr="007264BD" w:rsidRDefault="00BB5C81" w:rsidP="00C539B3">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C539B3">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C539B3">
        <w:tc>
          <w:tcPr>
            <w:tcW w:w="2088" w:type="dxa"/>
            <w:shd w:val="clear" w:color="auto" w:fill="auto"/>
          </w:tcPr>
          <w:p w14:paraId="3F94206D" w14:textId="19718B0F" w:rsidR="00BB5C81" w:rsidRPr="007264BD" w:rsidRDefault="00B13E53" w:rsidP="00C539B3">
            <w:pPr>
              <w:pStyle w:val="ad"/>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C539B3">
            <w:pPr>
              <w:pStyle w:val="ad"/>
              <w:jc w:val="both"/>
              <w:rPr>
                <w:sz w:val="21"/>
                <w:szCs w:val="21"/>
                <w:lang w:eastAsia="zh-CN"/>
              </w:rPr>
            </w:pPr>
            <w:r>
              <w:rPr>
                <w:sz w:val="21"/>
                <w:szCs w:val="21"/>
                <w:lang w:eastAsia="zh-CN"/>
              </w:rPr>
              <w:t>We support FL’s recommendation.</w:t>
            </w:r>
          </w:p>
          <w:p w14:paraId="30ACD2E2" w14:textId="140FB969" w:rsidR="005F2EF6" w:rsidRPr="005B1EFE" w:rsidRDefault="007C1BAE" w:rsidP="00C539B3">
            <w:pPr>
              <w:pStyle w:val="ad"/>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C539B3">
        <w:tc>
          <w:tcPr>
            <w:tcW w:w="2088" w:type="dxa"/>
            <w:shd w:val="clear" w:color="auto" w:fill="auto"/>
          </w:tcPr>
          <w:p w14:paraId="67E022C8" w14:textId="24C63386" w:rsidR="00DD48D4" w:rsidRPr="007264BD" w:rsidRDefault="00DD48D4" w:rsidP="00DD48D4">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ad"/>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ad"/>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ad"/>
              <w:ind w:leftChars="100" w:left="200"/>
              <w:jc w:val="both"/>
              <w:rPr>
                <w:sz w:val="21"/>
                <w:szCs w:val="21"/>
                <w:lang w:eastAsia="zh-CN"/>
              </w:rPr>
            </w:pPr>
            <w:r w:rsidRPr="00CF6C42">
              <w:rPr>
                <w:sz w:val="21"/>
                <w:szCs w:val="21"/>
                <w:lang w:eastAsia="zh-CN"/>
              </w:rPr>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ad"/>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ad"/>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ad"/>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C539B3">
        <w:tc>
          <w:tcPr>
            <w:tcW w:w="2088" w:type="dxa"/>
            <w:shd w:val="clear" w:color="auto" w:fill="auto"/>
          </w:tcPr>
          <w:p w14:paraId="3474AF48" w14:textId="5DA93A5D" w:rsidR="00BB5C81" w:rsidRPr="007264BD" w:rsidRDefault="00321CDD" w:rsidP="00C539B3">
            <w:pPr>
              <w:pStyle w:val="ad"/>
              <w:jc w:val="both"/>
              <w:rPr>
                <w:sz w:val="21"/>
                <w:szCs w:val="21"/>
                <w:lang w:eastAsia="zh-CN"/>
              </w:rPr>
            </w:pPr>
            <w:r>
              <w:rPr>
                <w:sz w:val="21"/>
                <w:szCs w:val="21"/>
                <w:lang w:eastAsia="zh-CN"/>
              </w:rPr>
              <w:t>OPPO</w:t>
            </w:r>
          </w:p>
        </w:tc>
        <w:tc>
          <w:tcPr>
            <w:tcW w:w="7428" w:type="dxa"/>
            <w:shd w:val="clear" w:color="auto" w:fill="auto"/>
          </w:tcPr>
          <w:p w14:paraId="7B75217D" w14:textId="7BCD606D" w:rsidR="00BB5C81" w:rsidRPr="007264BD" w:rsidRDefault="00321CDD" w:rsidP="00C539B3">
            <w:pPr>
              <w:pStyle w:val="ad"/>
              <w:jc w:val="both"/>
              <w:rPr>
                <w:sz w:val="21"/>
                <w:szCs w:val="21"/>
                <w:lang w:eastAsia="zh-CN"/>
              </w:rPr>
            </w:pPr>
            <w:r>
              <w:rPr>
                <w:sz w:val="21"/>
                <w:szCs w:val="21"/>
                <w:lang w:eastAsia="zh-CN"/>
              </w:rPr>
              <w:t>Support in principle</w:t>
            </w:r>
          </w:p>
        </w:tc>
      </w:tr>
      <w:tr w:rsidR="0031310F" w:rsidRPr="007264BD" w14:paraId="1F4601DF" w14:textId="77777777" w:rsidTr="00C539B3">
        <w:tc>
          <w:tcPr>
            <w:tcW w:w="2088" w:type="dxa"/>
            <w:shd w:val="clear" w:color="auto" w:fill="auto"/>
          </w:tcPr>
          <w:p w14:paraId="42E2194B" w14:textId="77777777" w:rsidR="0031310F" w:rsidRPr="007264BD" w:rsidRDefault="0031310F" w:rsidP="00C539B3">
            <w:pPr>
              <w:pStyle w:val="ad"/>
              <w:jc w:val="both"/>
              <w:rPr>
                <w:sz w:val="21"/>
                <w:szCs w:val="21"/>
                <w:lang w:eastAsia="zh-CN"/>
              </w:rPr>
            </w:pPr>
            <w:r>
              <w:rPr>
                <w:sz w:val="21"/>
                <w:szCs w:val="21"/>
                <w:lang w:eastAsia="zh-CN"/>
              </w:rPr>
              <w:t>Huawei, HiSilicon</w:t>
            </w:r>
          </w:p>
        </w:tc>
        <w:tc>
          <w:tcPr>
            <w:tcW w:w="7428" w:type="dxa"/>
            <w:shd w:val="clear" w:color="auto" w:fill="auto"/>
          </w:tcPr>
          <w:p w14:paraId="76F139DE" w14:textId="77777777" w:rsidR="0031310F" w:rsidRPr="007264BD" w:rsidRDefault="0031310F" w:rsidP="00C539B3">
            <w:pPr>
              <w:pStyle w:val="ad"/>
              <w:jc w:val="both"/>
              <w:rPr>
                <w:sz w:val="21"/>
                <w:szCs w:val="21"/>
                <w:lang w:eastAsia="zh-CN"/>
              </w:rPr>
            </w:pPr>
            <w:r>
              <w:rPr>
                <w:sz w:val="21"/>
                <w:szCs w:val="21"/>
                <w:lang w:eastAsia="zh-CN"/>
              </w:rPr>
              <w:t>In term of overhead, value range would better be {0 or 1} instead of string set {1T1T, 0T2T}. Then as usual the description can assign 0/1 to 1T1T/0T2T. Or up to RAN2 decision and we only provide the corresponding RAN1 agreement in the comment column which should be clear enough.</w:t>
            </w:r>
          </w:p>
        </w:tc>
      </w:tr>
    </w:tbl>
    <w:p w14:paraId="30C7478B" w14:textId="426747CE" w:rsidR="00BB5C81" w:rsidRDefault="00BB5C81" w:rsidP="00BB5C81">
      <w:pPr>
        <w:pStyle w:val="ad"/>
        <w:spacing w:beforeLines="50" w:before="120"/>
        <w:jc w:val="both"/>
        <w:rPr>
          <w:sz w:val="21"/>
          <w:szCs w:val="21"/>
          <w:lang w:eastAsia="zh-CN"/>
        </w:rPr>
      </w:pPr>
    </w:p>
    <w:p w14:paraId="27F1F04D" w14:textId="3CA9A2E4" w:rsidR="005D3CF9" w:rsidRPr="002C524A" w:rsidRDefault="001D69C9" w:rsidP="005D3CF9">
      <w:pPr>
        <w:pStyle w:val="1"/>
        <w:spacing w:line="240" w:lineRule="auto"/>
      </w:pPr>
      <w:r>
        <w:lastRenderedPageBreak/>
        <w:t>Email discussion (2</w:t>
      </w:r>
      <w:r w:rsidRPr="001D69C9">
        <w:rPr>
          <w:vertAlign w:val="superscript"/>
        </w:rPr>
        <w:t>nd</w:t>
      </w:r>
      <w:r>
        <w:t xml:space="preserve"> </w:t>
      </w:r>
      <w:r w:rsidR="005D3CF9">
        <w:t>round)</w:t>
      </w:r>
    </w:p>
    <w:p w14:paraId="7A710D94" w14:textId="77777777" w:rsidR="009A00E1" w:rsidRDefault="009A00E1" w:rsidP="009A00E1">
      <w:pPr>
        <w:pStyle w:val="2"/>
        <w:spacing w:line="240" w:lineRule="auto"/>
        <w:jc w:val="both"/>
      </w:pPr>
      <w:r>
        <w:t xml:space="preserve">Differentiation between </w:t>
      </w:r>
      <w:r w:rsidRPr="00CB4CA7">
        <w:t xml:space="preserve">1Tx-2Tx switching </w:t>
      </w:r>
      <w:r>
        <w:t>and 2Tx-2Tx switching</w:t>
      </w:r>
    </w:p>
    <w:p w14:paraId="0A99EAEE" w14:textId="384E4A0A" w:rsidR="001D69C9" w:rsidRDefault="003222E3" w:rsidP="00BB5C81">
      <w:pPr>
        <w:pStyle w:val="ad"/>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487E2C">
        <w:rPr>
          <w:sz w:val="21"/>
          <w:szCs w:val="21"/>
          <w:lang w:eastAsia="zh-CN"/>
        </w:rPr>
        <w:t>Per Chair’s guidance, let’s focus on the discussion on option 2.</w:t>
      </w:r>
    </w:p>
    <w:p w14:paraId="78283510" w14:textId="215387BF" w:rsidR="00487E2C" w:rsidRPr="00487E2C" w:rsidRDefault="00487E2C" w:rsidP="00BB5C81">
      <w:pPr>
        <w:pStyle w:val="ad"/>
        <w:spacing w:beforeLines="50" w:before="120"/>
        <w:jc w:val="both"/>
        <w:rPr>
          <w:b/>
          <w:sz w:val="21"/>
          <w:szCs w:val="21"/>
          <w:lang w:eastAsia="zh-CN"/>
        </w:rPr>
      </w:pPr>
      <w:r w:rsidRPr="00487E2C">
        <w:rPr>
          <w:b/>
          <w:sz w:val="21"/>
          <w:szCs w:val="21"/>
          <w:highlight w:val="yellow"/>
          <w:lang w:eastAsia="zh-CN"/>
        </w:rPr>
        <w:t>Proposal:</w:t>
      </w:r>
    </w:p>
    <w:p w14:paraId="644D1A2B" w14:textId="77777777" w:rsidR="00487E2C" w:rsidRPr="00777290" w:rsidRDefault="00487E2C" w:rsidP="00487E2C">
      <w:pPr>
        <w:pStyle w:val="ad"/>
        <w:numPr>
          <w:ilvl w:val="0"/>
          <w:numId w:val="29"/>
        </w:numPr>
        <w:spacing w:beforeLines="50" w:before="120"/>
        <w:jc w:val="both"/>
        <w:rPr>
          <w:sz w:val="21"/>
          <w:szCs w:val="21"/>
          <w:lang w:eastAsia="zh-CN"/>
        </w:rPr>
      </w:pPr>
      <w:r w:rsidRPr="00B40ADB">
        <w:rPr>
          <w:sz w:val="21"/>
          <w:szCs w:val="21"/>
          <w:lang w:val="en-US" w:eastAsia="zh-CN"/>
        </w:rPr>
        <w:t xml:space="preserve">For a UE configured with UL Tx switching via </w:t>
      </w:r>
      <w:r w:rsidRPr="00B40ADB">
        <w:rPr>
          <w:i/>
          <w:sz w:val="21"/>
          <w:szCs w:val="21"/>
          <w:lang w:val="en-US" w:eastAsia="zh-CN"/>
        </w:rPr>
        <w:t>uplinkTxSwitching</w:t>
      </w:r>
      <w:r w:rsidRPr="00B40ADB">
        <w:rPr>
          <w:sz w:val="21"/>
          <w:szCs w:val="21"/>
          <w:lang w:val="en-US" w:eastAsia="zh-CN"/>
        </w:rPr>
        <w:t>, a new RRC parameter is used to indicate 1Tx-2Tx switching mode or 2Tx-2Tx switching mode.</w:t>
      </w:r>
    </w:p>
    <w:p w14:paraId="7CF1CF71" w14:textId="77777777" w:rsidR="00487E2C" w:rsidRPr="00430912" w:rsidRDefault="00487E2C" w:rsidP="00487E2C">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r w:rsidRPr="00430912">
        <w:rPr>
          <w:rFonts w:ascii="Times New Roman" w:hAnsi="Times New Roman" w:hint="eastAsia"/>
          <w:color w:val="FF0000"/>
          <w:sz w:val="21"/>
          <w:szCs w:val="21"/>
          <w:lang w:val="en-GB" w:eastAsia="zh-CN"/>
        </w:rPr>
        <w:t>gNB would not configure 1Tx-2Tx mode where the assumed 1Tx CC is also configured with non-codebook based MIMO.</w:t>
      </w:r>
    </w:p>
    <w:p w14:paraId="63B00A80" w14:textId="77777777" w:rsidR="00487E2C" w:rsidRPr="00430912" w:rsidRDefault="00487E2C" w:rsidP="00487E2C">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Tx states. </w:t>
      </w:r>
    </w:p>
    <w:p w14:paraId="738FB26E" w14:textId="77777777" w:rsidR="00487E2C" w:rsidRPr="00430912" w:rsidRDefault="00487E2C" w:rsidP="00487E2C">
      <w:pPr>
        <w:pStyle w:val="aff"/>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This RRC parameter is used to differentiate the table (mapping between UL transmission ports and Tx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r with UL Tx switching.</w:t>
      </w:r>
    </w:p>
    <w:p w14:paraId="1C8B7F5C" w14:textId="1C0E65DE" w:rsidR="00487E2C" w:rsidRDefault="00487E2C" w:rsidP="00BB5C8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155A63" w:rsidRPr="007264BD" w14:paraId="4F098DAC" w14:textId="77777777" w:rsidTr="00C539B3">
        <w:tc>
          <w:tcPr>
            <w:tcW w:w="2088" w:type="dxa"/>
            <w:shd w:val="clear" w:color="auto" w:fill="auto"/>
          </w:tcPr>
          <w:p w14:paraId="4439FC89" w14:textId="77777777" w:rsidR="00155A63" w:rsidRPr="007264BD" w:rsidRDefault="00155A63" w:rsidP="00C539B3">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F99EC42" w14:textId="77777777" w:rsidR="00155A63" w:rsidRPr="007264BD" w:rsidRDefault="00155A63" w:rsidP="00C539B3">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155A63" w:rsidRPr="00017488" w14:paraId="0E32CA1E" w14:textId="77777777" w:rsidTr="00C539B3">
        <w:tc>
          <w:tcPr>
            <w:tcW w:w="2088" w:type="dxa"/>
            <w:shd w:val="clear" w:color="auto" w:fill="auto"/>
          </w:tcPr>
          <w:p w14:paraId="3C8CD654" w14:textId="0597AA4B" w:rsidR="00155A63" w:rsidRPr="007264BD" w:rsidRDefault="00155A63" w:rsidP="00C539B3">
            <w:pPr>
              <w:pStyle w:val="ad"/>
              <w:jc w:val="both"/>
              <w:rPr>
                <w:sz w:val="21"/>
                <w:szCs w:val="21"/>
                <w:lang w:eastAsia="zh-CN"/>
              </w:rPr>
            </w:pPr>
          </w:p>
        </w:tc>
        <w:tc>
          <w:tcPr>
            <w:tcW w:w="7428" w:type="dxa"/>
            <w:shd w:val="clear" w:color="auto" w:fill="auto"/>
          </w:tcPr>
          <w:p w14:paraId="65C9EA6A" w14:textId="1C691001" w:rsidR="00155A63" w:rsidRPr="005B1EFE" w:rsidRDefault="00155A63" w:rsidP="00C539B3">
            <w:pPr>
              <w:pStyle w:val="ad"/>
              <w:jc w:val="both"/>
              <w:rPr>
                <w:lang w:eastAsia="zh-CN"/>
              </w:rPr>
            </w:pPr>
          </w:p>
        </w:tc>
      </w:tr>
      <w:tr w:rsidR="00155A63" w:rsidRPr="007264BD" w14:paraId="71D2B3D4" w14:textId="77777777" w:rsidTr="00C539B3">
        <w:tc>
          <w:tcPr>
            <w:tcW w:w="2088" w:type="dxa"/>
            <w:shd w:val="clear" w:color="auto" w:fill="auto"/>
          </w:tcPr>
          <w:p w14:paraId="4D8090B4" w14:textId="325C1D07" w:rsidR="00155A63" w:rsidRPr="007264BD" w:rsidRDefault="00155A63" w:rsidP="00C539B3">
            <w:pPr>
              <w:pStyle w:val="ad"/>
              <w:jc w:val="both"/>
              <w:rPr>
                <w:sz w:val="21"/>
                <w:szCs w:val="21"/>
                <w:lang w:eastAsia="zh-CN"/>
              </w:rPr>
            </w:pPr>
          </w:p>
        </w:tc>
        <w:tc>
          <w:tcPr>
            <w:tcW w:w="7428" w:type="dxa"/>
            <w:shd w:val="clear" w:color="auto" w:fill="auto"/>
          </w:tcPr>
          <w:p w14:paraId="3CDC7DCB" w14:textId="266CAE01" w:rsidR="00155A63" w:rsidRPr="007264BD" w:rsidRDefault="00155A63" w:rsidP="00C539B3">
            <w:pPr>
              <w:pStyle w:val="ad"/>
              <w:jc w:val="both"/>
              <w:rPr>
                <w:sz w:val="21"/>
                <w:szCs w:val="21"/>
                <w:lang w:eastAsia="zh-CN"/>
              </w:rPr>
            </w:pPr>
          </w:p>
        </w:tc>
      </w:tr>
      <w:tr w:rsidR="00155A63" w:rsidRPr="007264BD" w14:paraId="7C2FC2B8" w14:textId="77777777" w:rsidTr="00C539B3">
        <w:tc>
          <w:tcPr>
            <w:tcW w:w="2088" w:type="dxa"/>
            <w:shd w:val="clear" w:color="auto" w:fill="auto"/>
          </w:tcPr>
          <w:p w14:paraId="3B49B91D" w14:textId="2CA08471" w:rsidR="00155A63" w:rsidRPr="007264BD" w:rsidRDefault="00155A63" w:rsidP="00C539B3">
            <w:pPr>
              <w:pStyle w:val="ad"/>
              <w:jc w:val="both"/>
              <w:rPr>
                <w:sz w:val="21"/>
                <w:szCs w:val="21"/>
                <w:lang w:eastAsia="zh-CN"/>
              </w:rPr>
            </w:pPr>
          </w:p>
        </w:tc>
        <w:tc>
          <w:tcPr>
            <w:tcW w:w="7428" w:type="dxa"/>
            <w:shd w:val="clear" w:color="auto" w:fill="auto"/>
          </w:tcPr>
          <w:p w14:paraId="164F52FF" w14:textId="12D26605" w:rsidR="00155A63" w:rsidRPr="007264BD" w:rsidRDefault="00155A63" w:rsidP="00C539B3">
            <w:pPr>
              <w:pStyle w:val="ad"/>
              <w:jc w:val="both"/>
              <w:rPr>
                <w:sz w:val="21"/>
                <w:szCs w:val="21"/>
                <w:lang w:eastAsia="zh-CN"/>
              </w:rPr>
            </w:pPr>
          </w:p>
        </w:tc>
      </w:tr>
    </w:tbl>
    <w:p w14:paraId="6C28B98B" w14:textId="20D9DD5F" w:rsidR="005D3CF9" w:rsidRDefault="005D3CF9" w:rsidP="00BB5C81">
      <w:pPr>
        <w:pStyle w:val="ad"/>
        <w:spacing w:beforeLines="50" w:before="120"/>
        <w:jc w:val="both"/>
        <w:rPr>
          <w:sz w:val="21"/>
          <w:szCs w:val="21"/>
          <w:lang w:eastAsia="zh-CN"/>
        </w:rPr>
      </w:pPr>
    </w:p>
    <w:p w14:paraId="058AC554" w14:textId="77777777" w:rsidR="009A00E1" w:rsidRPr="007759C6" w:rsidRDefault="009A00E1" w:rsidP="009A00E1">
      <w:pPr>
        <w:pStyle w:val="2"/>
        <w:spacing w:line="240" w:lineRule="auto"/>
      </w:pPr>
      <w:r w:rsidRPr="007759C6">
        <w:t>1-port transmission via DCI format 0_1 for UL CA option 2</w:t>
      </w:r>
    </w:p>
    <w:p w14:paraId="24ADAC20" w14:textId="7E2D7C88" w:rsidR="009870E5" w:rsidRDefault="003222E3" w:rsidP="009870E5">
      <w:pPr>
        <w:pStyle w:val="ad"/>
        <w:spacing w:beforeLines="50" w:before="120"/>
        <w:jc w:val="both"/>
        <w:rPr>
          <w:sz w:val="21"/>
          <w:szCs w:val="21"/>
          <w:lang w:eastAsia="zh-CN"/>
        </w:rPr>
      </w:pPr>
      <w:r w:rsidRPr="003222E3">
        <w:rPr>
          <w:b/>
          <w:sz w:val="21"/>
          <w:szCs w:val="21"/>
          <w:lang w:eastAsia="zh-CN"/>
        </w:rPr>
        <w:t>FL comments:</w:t>
      </w:r>
      <w:r>
        <w:rPr>
          <w:b/>
          <w:sz w:val="21"/>
          <w:szCs w:val="21"/>
          <w:lang w:eastAsia="zh-CN"/>
        </w:rPr>
        <w:t xml:space="preserve"> </w:t>
      </w:r>
      <w:r w:rsidR="009870E5">
        <w:rPr>
          <w:sz w:val="21"/>
          <w:szCs w:val="21"/>
          <w:lang w:eastAsia="zh-CN"/>
        </w:rPr>
        <w:t>Per Chair’s guidance, let’s focus on the discussion on the following proposed conclusion.</w:t>
      </w:r>
    </w:p>
    <w:p w14:paraId="3311FF78" w14:textId="44511E58" w:rsidR="00AF2E5B" w:rsidRPr="009870E5" w:rsidRDefault="009870E5" w:rsidP="00BB5C81">
      <w:pPr>
        <w:pStyle w:val="ad"/>
        <w:spacing w:beforeLines="50" w:before="120"/>
        <w:jc w:val="both"/>
        <w:rPr>
          <w:b/>
          <w:sz w:val="21"/>
          <w:szCs w:val="21"/>
          <w:lang w:eastAsia="zh-CN"/>
        </w:rPr>
      </w:pPr>
      <w:r w:rsidRPr="009870E5">
        <w:rPr>
          <w:rFonts w:hint="eastAsia"/>
          <w:b/>
          <w:sz w:val="21"/>
          <w:szCs w:val="21"/>
          <w:highlight w:val="yellow"/>
          <w:lang w:eastAsia="zh-CN"/>
        </w:rPr>
        <w:t>P</w:t>
      </w:r>
      <w:r w:rsidRPr="009870E5">
        <w:rPr>
          <w:b/>
          <w:sz w:val="21"/>
          <w:szCs w:val="21"/>
          <w:highlight w:val="yellow"/>
          <w:lang w:eastAsia="zh-CN"/>
        </w:rPr>
        <w:t>roposed conclusion:</w:t>
      </w:r>
    </w:p>
    <w:p w14:paraId="07C3AF20" w14:textId="7BCE9DEE" w:rsidR="009870E5" w:rsidRPr="009870E5" w:rsidRDefault="009870E5" w:rsidP="009870E5">
      <w:pPr>
        <w:pStyle w:val="ad"/>
        <w:numPr>
          <w:ilvl w:val="0"/>
          <w:numId w:val="29"/>
        </w:numPr>
        <w:spacing w:beforeLines="50" w:before="120"/>
        <w:jc w:val="both"/>
        <w:rPr>
          <w:sz w:val="21"/>
          <w:szCs w:val="21"/>
          <w:lang w:val="en-US" w:eastAsia="zh-CN"/>
        </w:rPr>
      </w:pPr>
      <w:r w:rsidRPr="009870E5">
        <w:rPr>
          <w:sz w:val="21"/>
          <w:szCs w:val="21"/>
          <w:lang w:val="en-US" w:eastAsia="zh-CN"/>
        </w:rPr>
        <w:t>For Rel-17 Tx switching between Band A and Band B, there is no consensus to introduce additional specification support for 1-port transmission via DCI format 0_1 for UL CA option 2</w:t>
      </w:r>
      <w:r>
        <w:rPr>
          <w:sz w:val="21"/>
          <w:szCs w:val="21"/>
          <w:lang w:val="en-US" w:eastAsia="zh-CN"/>
        </w:rPr>
        <w:t>.</w:t>
      </w:r>
    </w:p>
    <w:p w14:paraId="2F812F9B" w14:textId="727BFAE5" w:rsidR="009A00E1" w:rsidRDefault="009A00E1" w:rsidP="00BB5C8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9870E5" w:rsidRPr="007264BD" w14:paraId="3F7A488C" w14:textId="77777777" w:rsidTr="00C539B3">
        <w:tc>
          <w:tcPr>
            <w:tcW w:w="2088" w:type="dxa"/>
            <w:shd w:val="clear" w:color="auto" w:fill="auto"/>
          </w:tcPr>
          <w:p w14:paraId="43FB4C7D" w14:textId="77777777" w:rsidR="009870E5" w:rsidRPr="007264BD" w:rsidRDefault="009870E5" w:rsidP="00C539B3">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1AB22676" w14:textId="77777777" w:rsidR="009870E5" w:rsidRPr="007264BD" w:rsidRDefault="009870E5" w:rsidP="00C539B3">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70E5" w:rsidRPr="00017488" w14:paraId="2B261ED0" w14:textId="77777777" w:rsidTr="00C539B3">
        <w:tc>
          <w:tcPr>
            <w:tcW w:w="2088" w:type="dxa"/>
            <w:shd w:val="clear" w:color="auto" w:fill="auto"/>
          </w:tcPr>
          <w:p w14:paraId="513DE7DE" w14:textId="77777777" w:rsidR="009870E5" w:rsidRPr="007264BD" w:rsidRDefault="009870E5" w:rsidP="00C539B3">
            <w:pPr>
              <w:pStyle w:val="ad"/>
              <w:jc w:val="both"/>
              <w:rPr>
                <w:sz w:val="21"/>
                <w:szCs w:val="21"/>
                <w:lang w:eastAsia="zh-CN"/>
              </w:rPr>
            </w:pPr>
          </w:p>
        </w:tc>
        <w:tc>
          <w:tcPr>
            <w:tcW w:w="7428" w:type="dxa"/>
            <w:shd w:val="clear" w:color="auto" w:fill="auto"/>
          </w:tcPr>
          <w:p w14:paraId="4EF514A7" w14:textId="77777777" w:rsidR="009870E5" w:rsidRPr="005B1EFE" w:rsidRDefault="009870E5" w:rsidP="00C539B3">
            <w:pPr>
              <w:pStyle w:val="ad"/>
              <w:jc w:val="both"/>
              <w:rPr>
                <w:lang w:eastAsia="zh-CN"/>
              </w:rPr>
            </w:pPr>
          </w:p>
        </w:tc>
      </w:tr>
      <w:tr w:rsidR="009870E5" w:rsidRPr="007264BD" w14:paraId="2EEFB2CE" w14:textId="77777777" w:rsidTr="00C539B3">
        <w:tc>
          <w:tcPr>
            <w:tcW w:w="2088" w:type="dxa"/>
            <w:shd w:val="clear" w:color="auto" w:fill="auto"/>
          </w:tcPr>
          <w:p w14:paraId="7078EAB9" w14:textId="77777777" w:rsidR="009870E5" w:rsidRPr="007264BD" w:rsidRDefault="009870E5" w:rsidP="00C539B3">
            <w:pPr>
              <w:pStyle w:val="ad"/>
              <w:jc w:val="both"/>
              <w:rPr>
                <w:sz w:val="21"/>
                <w:szCs w:val="21"/>
                <w:lang w:eastAsia="zh-CN"/>
              </w:rPr>
            </w:pPr>
          </w:p>
        </w:tc>
        <w:tc>
          <w:tcPr>
            <w:tcW w:w="7428" w:type="dxa"/>
            <w:shd w:val="clear" w:color="auto" w:fill="auto"/>
          </w:tcPr>
          <w:p w14:paraId="69D1C140" w14:textId="77777777" w:rsidR="009870E5" w:rsidRPr="007264BD" w:rsidRDefault="009870E5" w:rsidP="00C539B3">
            <w:pPr>
              <w:pStyle w:val="ad"/>
              <w:jc w:val="both"/>
              <w:rPr>
                <w:sz w:val="21"/>
                <w:szCs w:val="21"/>
                <w:lang w:eastAsia="zh-CN"/>
              </w:rPr>
            </w:pPr>
          </w:p>
        </w:tc>
      </w:tr>
      <w:tr w:rsidR="009870E5" w:rsidRPr="007264BD" w14:paraId="68E37D67" w14:textId="77777777" w:rsidTr="00C539B3">
        <w:tc>
          <w:tcPr>
            <w:tcW w:w="2088" w:type="dxa"/>
            <w:shd w:val="clear" w:color="auto" w:fill="auto"/>
          </w:tcPr>
          <w:p w14:paraId="3CAB5AA8" w14:textId="77777777" w:rsidR="009870E5" w:rsidRPr="007264BD" w:rsidRDefault="009870E5" w:rsidP="00C539B3">
            <w:pPr>
              <w:pStyle w:val="ad"/>
              <w:jc w:val="both"/>
              <w:rPr>
                <w:sz w:val="21"/>
                <w:szCs w:val="21"/>
                <w:lang w:eastAsia="zh-CN"/>
              </w:rPr>
            </w:pPr>
          </w:p>
        </w:tc>
        <w:tc>
          <w:tcPr>
            <w:tcW w:w="7428" w:type="dxa"/>
            <w:shd w:val="clear" w:color="auto" w:fill="auto"/>
          </w:tcPr>
          <w:p w14:paraId="14C1C65C" w14:textId="77777777" w:rsidR="009870E5" w:rsidRPr="007264BD" w:rsidRDefault="009870E5" w:rsidP="00C539B3">
            <w:pPr>
              <w:pStyle w:val="ad"/>
              <w:jc w:val="both"/>
              <w:rPr>
                <w:sz w:val="21"/>
                <w:szCs w:val="21"/>
                <w:lang w:eastAsia="zh-CN"/>
              </w:rPr>
            </w:pPr>
          </w:p>
        </w:tc>
      </w:tr>
    </w:tbl>
    <w:p w14:paraId="39F23973" w14:textId="77777777" w:rsidR="009870E5" w:rsidRDefault="009870E5" w:rsidP="00BB5C81">
      <w:pPr>
        <w:pStyle w:val="ad"/>
        <w:spacing w:beforeLines="50" w:before="120"/>
        <w:jc w:val="both"/>
        <w:rPr>
          <w:rFonts w:hint="eastAsia"/>
          <w:sz w:val="21"/>
          <w:szCs w:val="21"/>
          <w:lang w:eastAsia="zh-CN"/>
        </w:rPr>
      </w:pP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2A9C2BA" w14:textId="1E38B22C" w:rsidR="00F045FF" w:rsidRPr="002258C9" w:rsidRDefault="001769C4" w:rsidP="00BB5C81">
      <w:pPr>
        <w:pStyle w:val="ad"/>
        <w:spacing w:beforeLines="50" w:before="120"/>
        <w:jc w:val="both"/>
        <w:rPr>
          <w:sz w:val="21"/>
          <w:szCs w:val="21"/>
          <w:lang w:eastAsia="zh-CN"/>
        </w:rPr>
      </w:pPr>
      <w:r w:rsidRPr="002258C9">
        <w:rPr>
          <w:b/>
          <w:sz w:val="21"/>
          <w:szCs w:val="21"/>
          <w:lang w:eastAsia="zh-CN"/>
        </w:rPr>
        <w:t>FL comments:</w:t>
      </w:r>
      <w:r w:rsidRPr="002258C9">
        <w:rPr>
          <w:sz w:val="21"/>
          <w:szCs w:val="21"/>
          <w:lang w:eastAsia="zh-CN"/>
        </w:rPr>
        <w:t xml:space="preserve"> Based on companies</w:t>
      </w:r>
      <w:r w:rsidR="00AA037B" w:rsidRPr="002258C9">
        <w:rPr>
          <w:sz w:val="21"/>
          <w:szCs w:val="21"/>
          <w:lang w:eastAsia="zh-CN"/>
        </w:rPr>
        <w:t xml:space="preserve">’ views, </w:t>
      </w:r>
      <w:r w:rsidR="00C539B3" w:rsidRPr="002258C9">
        <w:rPr>
          <w:sz w:val="21"/>
          <w:szCs w:val="21"/>
          <w:lang w:eastAsia="zh-CN"/>
        </w:rPr>
        <w:t xml:space="preserve">my suggestion is to take </w:t>
      </w:r>
      <w:r w:rsidR="002258C9" w:rsidRPr="002258C9">
        <w:rPr>
          <w:rFonts w:eastAsia="等线"/>
          <w:sz w:val="21"/>
          <w:szCs w:val="21"/>
          <w:lang w:eastAsia="zh-CN"/>
        </w:rPr>
        <w:t xml:space="preserve">{1T, </w:t>
      </w:r>
      <w:r w:rsidR="00C539B3" w:rsidRPr="002258C9">
        <w:rPr>
          <w:rFonts w:eastAsia="等线"/>
          <w:sz w:val="21"/>
          <w:szCs w:val="21"/>
          <w:lang w:eastAsia="zh-CN"/>
        </w:rPr>
        <w:t>2T} as the value range</w:t>
      </w:r>
      <w:r w:rsidR="002258C9" w:rsidRPr="002258C9">
        <w:rPr>
          <w:rFonts w:eastAsia="等线"/>
          <w:sz w:val="21"/>
          <w:szCs w:val="21"/>
          <w:lang w:eastAsia="zh-CN"/>
        </w:rPr>
        <w:t xml:space="preserve"> and 2T as the default value, </w:t>
      </w:r>
      <w:r w:rsidR="009F726B">
        <w:rPr>
          <w:rFonts w:eastAsia="等线"/>
          <w:sz w:val="21"/>
          <w:szCs w:val="21"/>
          <w:lang w:eastAsia="zh-CN"/>
        </w:rPr>
        <w:t>while</w:t>
      </w:r>
      <w:bookmarkStart w:id="4" w:name="_GoBack"/>
      <w:bookmarkEnd w:id="4"/>
      <w:r w:rsidR="002258C9" w:rsidRPr="002258C9">
        <w:rPr>
          <w:rFonts w:eastAsia="等线"/>
          <w:sz w:val="21"/>
          <w:szCs w:val="21"/>
          <w:lang w:eastAsia="zh-CN"/>
        </w:rPr>
        <w:t xml:space="preserve"> 0T2T may cause confusion that only carrier 2 or band B supports 2Tx. To address the concern from Huawei, we can keep these values in square brackets.</w:t>
      </w:r>
      <w:r w:rsidR="002258C9">
        <w:rPr>
          <w:rFonts w:eastAsia="等线"/>
          <w:sz w:val="21"/>
          <w:szCs w:val="21"/>
          <w:lang w:eastAsia="zh-CN"/>
        </w:rPr>
        <w:t xml:space="preserve"> The table is updated in </w:t>
      </w:r>
      <w:r w:rsidR="002258C9" w:rsidRPr="002258C9">
        <w:rPr>
          <w:rFonts w:eastAsia="等线"/>
          <w:color w:val="FF0000"/>
          <w:sz w:val="21"/>
          <w:szCs w:val="21"/>
          <w:lang w:eastAsia="zh-CN"/>
        </w:rPr>
        <w:t>red</w:t>
      </w:r>
      <w:r w:rsidR="002258C9">
        <w:rPr>
          <w:rFonts w:eastAsia="等线"/>
          <w:sz w:val="21"/>
          <w:szCs w:val="21"/>
          <w:lang w:eastAsia="zh-CN"/>
        </w:rPr>
        <w:t>.</w:t>
      </w:r>
    </w:p>
    <w:p w14:paraId="18874F92" w14:textId="121EB411" w:rsidR="009A00E1" w:rsidRDefault="009A00E1" w:rsidP="00BB5C81">
      <w:pPr>
        <w:pStyle w:val="ad"/>
        <w:spacing w:beforeLines="50" w:before="120"/>
        <w:jc w:val="both"/>
        <w:rPr>
          <w:sz w:val="21"/>
          <w:szCs w:val="21"/>
          <w:lang w:eastAsia="zh-CN"/>
        </w:rPr>
      </w:pPr>
    </w:p>
    <w:tbl>
      <w:tblPr>
        <w:tblW w:w="9629" w:type="dxa"/>
        <w:tblLook w:val="04A0" w:firstRow="1" w:lastRow="0" w:firstColumn="1" w:lastColumn="0" w:noHBand="0" w:noVBand="1"/>
      </w:tblPr>
      <w:tblGrid>
        <w:gridCol w:w="1455"/>
        <w:gridCol w:w="1191"/>
        <w:gridCol w:w="1918"/>
        <w:gridCol w:w="869"/>
        <w:gridCol w:w="1034"/>
        <w:gridCol w:w="621"/>
        <w:gridCol w:w="720"/>
        <w:gridCol w:w="770"/>
        <w:gridCol w:w="1051"/>
      </w:tblGrid>
      <w:tr w:rsidR="008D25E2" w:rsidRPr="008215FC" w14:paraId="434823AF" w14:textId="57F37C3D" w:rsidTr="008D25E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E3FAF4F"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3C352A96"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5EAFA1DE"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2E1B8A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787509C5"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D04D27D"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D0BCC10"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524F3243" w14:textId="7777777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32F20DE6" w14:textId="117612E7" w:rsidR="008D25E2" w:rsidRPr="008215FC" w:rsidRDefault="008D25E2" w:rsidP="00C539B3">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8D25E2" w:rsidRPr="008215FC" w14:paraId="5E029187" w14:textId="0B0BECF3" w:rsidTr="008D25E2">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18DC744"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77225B9C"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C215CB0" w14:textId="77777777" w:rsidR="008D25E2" w:rsidRPr="008215FC" w:rsidRDefault="008D25E2" w:rsidP="00C539B3">
            <w:pPr>
              <w:overflowPunct/>
              <w:autoSpaceDE/>
              <w:autoSpaceDN/>
              <w:adjustRightInd/>
              <w:spacing w:after="0" w:line="240" w:lineRule="auto"/>
              <w:textAlignment w:val="auto"/>
              <w:rPr>
                <w:rFonts w:ascii="Arial" w:eastAsia="等线" w:hAnsi="Arial" w:cs="Arial"/>
                <w:i/>
                <w:iCs/>
                <w:sz w:val="16"/>
                <w:szCs w:val="16"/>
                <w:lang w:eastAsia="zh-CN"/>
              </w:rPr>
            </w:pPr>
            <w:r w:rsidRPr="008215FC">
              <w:rPr>
                <w:rFonts w:ascii="Arial" w:eastAsia="等线" w:hAnsi="Arial" w:cs="Arial"/>
                <w:i/>
                <w:iCs/>
                <w:sz w:val="16"/>
                <w:szCs w:val="16"/>
                <w:lang w:eastAsia="zh-CN"/>
              </w:rPr>
              <w:t>uplinkTxSwitchingTxState</w:t>
            </w:r>
          </w:p>
        </w:tc>
        <w:tc>
          <w:tcPr>
            <w:tcW w:w="919" w:type="dxa"/>
            <w:tcBorders>
              <w:top w:val="nil"/>
              <w:left w:val="nil"/>
              <w:bottom w:val="single" w:sz="4" w:space="0" w:color="auto"/>
              <w:right w:val="single" w:sz="4" w:space="0" w:color="auto"/>
            </w:tcBorders>
            <w:shd w:val="clear" w:color="auto" w:fill="auto"/>
            <w:noWrap/>
            <w:vAlign w:val="center"/>
            <w:hideMark/>
          </w:tcPr>
          <w:p w14:paraId="26EDD73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66BFB0"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39D480D4" w14:textId="1F5BB34C" w:rsidR="008D25E2" w:rsidRPr="006C258B" w:rsidRDefault="00EA73DF" w:rsidP="00363C28">
            <w:pPr>
              <w:overflowPunct/>
              <w:autoSpaceDE/>
              <w:autoSpaceDN/>
              <w:adjustRightInd/>
              <w:spacing w:after="0" w:line="240" w:lineRule="auto"/>
              <w:textAlignment w:val="auto"/>
              <w:rPr>
                <w:rFonts w:ascii="Arial" w:eastAsia="等线" w:hAnsi="Arial" w:cs="Arial"/>
                <w:sz w:val="16"/>
                <w:szCs w:val="16"/>
                <w:lang w:eastAsia="zh-CN"/>
              </w:rPr>
            </w:pPr>
            <w:r w:rsidRPr="00EA73DF">
              <w:rPr>
                <w:rFonts w:ascii="Arial" w:eastAsia="等线" w:hAnsi="Arial" w:cs="Arial" w:hint="eastAsia"/>
                <w:color w:val="FF0000"/>
                <w:sz w:val="16"/>
                <w:szCs w:val="16"/>
                <w:lang w:eastAsia="zh-CN"/>
              </w:rPr>
              <w:t>[</w:t>
            </w:r>
            <w:r w:rsidRPr="00EA73DF">
              <w:rPr>
                <w:rFonts w:ascii="Arial" w:eastAsia="等线" w:hAnsi="Arial" w:cs="Arial"/>
                <w:color w:val="FF0000"/>
                <w:sz w:val="16"/>
                <w:szCs w:val="16"/>
                <w:lang w:eastAsia="zh-CN"/>
              </w:rPr>
              <w:t>{1T</w:t>
            </w:r>
            <w:r w:rsidR="00363C28">
              <w:rPr>
                <w:rFonts w:ascii="Arial" w:eastAsia="等线" w:hAnsi="Arial" w:cs="Arial"/>
                <w:color w:val="FF0000"/>
                <w:sz w:val="16"/>
                <w:szCs w:val="16"/>
                <w:lang w:eastAsia="zh-CN"/>
              </w:rPr>
              <w:t xml:space="preserve">, </w:t>
            </w:r>
            <w:r w:rsidRPr="00EA73DF">
              <w:rPr>
                <w:rFonts w:ascii="Arial" w:eastAsia="等线" w:hAnsi="Arial" w:cs="Arial"/>
                <w:color w:val="FF0000"/>
                <w:sz w:val="16"/>
                <w:szCs w:val="16"/>
                <w:lang w:eastAsia="zh-CN"/>
              </w:rPr>
              <w:t>2T}]</w:t>
            </w:r>
          </w:p>
        </w:tc>
        <w:tc>
          <w:tcPr>
            <w:tcW w:w="759" w:type="dxa"/>
            <w:tcBorders>
              <w:top w:val="nil"/>
              <w:left w:val="nil"/>
              <w:bottom w:val="single" w:sz="4" w:space="0" w:color="auto"/>
              <w:right w:val="single" w:sz="4" w:space="0" w:color="auto"/>
            </w:tcBorders>
            <w:shd w:val="clear" w:color="auto" w:fill="auto"/>
            <w:noWrap/>
            <w:vAlign w:val="center"/>
            <w:hideMark/>
          </w:tcPr>
          <w:p w14:paraId="285F2035" w14:textId="1EFC8119"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r w:rsidR="00F045FF" w:rsidRPr="00F045FF">
              <w:rPr>
                <w:rFonts w:ascii="Arial" w:eastAsia="等线" w:hAnsi="Arial" w:cs="Arial" w:hint="eastAsia"/>
                <w:color w:val="FF0000"/>
                <w:sz w:val="16"/>
                <w:szCs w:val="16"/>
                <w:lang w:eastAsia="zh-CN"/>
              </w:rPr>
              <w:t>[</w:t>
            </w:r>
            <w:r w:rsidR="00F045FF" w:rsidRPr="00F045FF">
              <w:rPr>
                <w:rFonts w:ascii="Arial" w:eastAsia="等线" w:hAnsi="Arial" w:cs="Arial"/>
                <w:color w:val="FF0000"/>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4FA3E7DB" w14:textId="77777777" w:rsidR="008D25E2" w:rsidRPr="008215FC" w:rsidRDefault="008D25E2" w:rsidP="00C539B3">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CB11C" w14:textId="77777777" w:rsidR="008D25E2" w:rsidRPr="006B4598" w:rsidRDefault="008D25E2" w:rsidP="008D25E2">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14936800" w14:textId="77777777" w:rsidR="008D25E2" w:rsidRPr="008D25E2"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76097FF8" w14:textId="77777777" w:rsidR="008D25E2" w:rsidRPr="008D25E2" w:rsidRDefault="008D25E2" w:rsidP="008D25E2">
            <w:pPr>
              <w:overflowPunct/>
              <w:autoSpaceDE/>
              <w:autoSpaceDN/>
              <w:adjustRightInd/>
              <w:spacing w:after="0" w:line="240" w:lineRule="auto"/>
              <w:textAlignment w:val="auto"/>
              <w:rPr>
                <w:rFonts w:ascii="Arial" w:eastAsia="等线" w:hAnsi="Arial" w:cs="Arial" w:hint="eastAsia"/>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638DE930" w14:textId="657F413B" w:rsidR="008D25E2" w:rsidRPr="008215FC" w:rsidRDefault="008D25E2" w:rsidP="008D25E2">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70CF8027" w14:textId="63352B8D" w:rsidR="00006DBC" w:rsidRDefault="00006DBC" w:rsidP="00BB5C8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F0746E" w:rsidRPr="007264BD" w14:paraId="0E172D92" w14:textId="77777777" w:rsidTr="003C5B5E">
        <w:tc>
          <w:tcPr>
            <w:tcW w:w="2088" w:type="dxa"/>
            <w:shd w:val="clear" w:color="auto" w:fill="auto"/>
          </w:tcPr>
          <w:p w14:paraId="4FD3607F" w14:textId="77777777" w:rsidR="00F0746E" w:rsidRPr="007264BD" w:rsidRDefault="00F0746E" w:rsidP="003C5B5E">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7B29CFD6" w14:textId="77777777" w:rsidR="00F0746E" w:rsidRPr="007264BD" w:rsidRDefault="00F0746E" w:rsidP="003C5B5E">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0746E" w:rsidRPr="00017488" w14:paraId="5F394EF4" w14:textId="77777777" w:rsidTr="003C5B5E">
        <w:tc>
          <w:tcPr>
            <w:tcW w:w="2088" w:type="dxa"/>
            <w:shd w:val="clear" w:color="auto" w:fill="auto"/>
          </w:tcPr>
          <w:p w14:paraId="2A3BF203" w14:textId="77777777" w:rsidR="00F0746E" w:rsidRPr="007264BD" w:rsidRDefault="00F0746E" w:rsidP="003C5B5E">
            <w:pPr>
              <w:pStyle w:val="ad"/>
              <w:jc w:val="both"/>
              <w:rPr>
                <w:sz w:val="21"/>
                <w:szCs w:val="21"/>
                <w:lang w:eastAsia="zh-CN"/>
              </w:rPr>
            </w:pPr>
          </w:p>
        </w:tc>
        <w:tc>
          <w:tcPr>
            <w:tcW w:w="7428" w:type="dxa"/>
            <w:shd w:val="clear" w:color="auto" w:fill="auto"/>
          </w:tcPr>
          <w:p w14:paraId="58C02ADD" w14:textId="77777777" w:rsidR="00F0746E" w:rsidRPr="005B1EFE" w:rsidRDefault="00F0746E" w:rsidP="003C5B5E">
            <w:pPr>
              <w:pStyle w:val="ad"/>
              <w:jc w:val="both"/>
              <w:rPr>
                <w:lang w:eastAsia="zh-CN"/>
              </w:rPr>
            </w:pPr>
          </w:p>
        </w:tc>
      </w:tr>
      <w:tr w:rsidR="00F0746E" w:rsidRPr="007264BD" w14:paraId="64F37698" w14:textId="77777777" w:rsidTr="003C5B5E">
        <w:tc>
          <w:tcPr>
            <w:tcW w:w="2088" w:type="dxa"/>
            <w:shd w:val="clear" w:color="auto" w:fill="auto"/>
          </w:tcPr>
          <w:p w14:paraId="3496CB58" w14:textId="77777777" w:rsidR="00F0746E" w:rsidRPr="007264BD" w:rsidRDefault="00F0746E" w:rsidP="003C5B5E">
            <w:pPr>
              <w:pStyle w:val="ad"/>
              <w:jc w:val="both"/>
              <w:rPr>
                <w:sz w:val="21"/>
                <w:szCs w:val="21"/>
                <w:lang w:eastAsia="zh-CN"/>
              </w:rPr>
            </w:pPr>
          </w:p>
        </w:tc>
        <w:tc>
          <w:tcPr>
            <w:tcW w:w="7428" w:type="dxa"/>
            <w:shd w:val="clear" w:color="auto" w:fill="auto"/>
          </w:tcPr>
          <w:p w14:paraId="1803CD9B" w14:textId="77777777" w:rsidR="00F0746E" w:rsidRPr="007264BD" w:rsidRDefault="00F0746E" w:rsidP="003C5B5E">
            <w:pPr>
              <w:pStyle w:val="ad"/>
              <w:jc w:val="both"/>
              <w:rPr>
                <w:sz w:val="21"/>
                <w:szCs w:val="21"/>
                <w:lang w:eastAsia="zh-CN"/>
              </w:rPr>
            </w:pPr>
          </w:p>
        </w:tc>
      </w:tr>
      <w:tr w:rsidR="00F0746E" w:rsidRPr="007264BD" w14:paraId="52CC604F" w14:textId="77777777" w:rsidTr="003C5B5E">
        <w:tc>
          <w:tcPr>
            <w:tcW w:w="2088" w:type="dxa"/>
            <w:shd w:val="clear" w:color="auto" w:fill="auto"/>
          </w:tcPr>
          <w:p w14:paraId="6B198367" w14:textId="77777777" w:rsidR="00F0746E" w:rsidRPr="007264BD" w:rsidRDefault="00F0746E" w:rsidP="003C5B5E">
            <w:pPr>
              <w:pStyle w:val="ad"/>
              <w:jc w:val="both"/>
              <w:rPr>
                <w:sz w:val="21"/>
                <w:szCs w:val="21"/>
                <w:lang w:eastAsia="zh-CN"/>
              </w:rPr>
            </w:pPr>
          </w:p>
        </w:tc>
        <w:tc>
          <w:tcPr>
            <w:tcW w:w="7428" w:type="dxa"/>
            <w:shd w:val="clear" w:color="auto" w:fill="auto"/>
          </w:tcPr>
          <w:p w14:paraId="4CD2EC9F" w14:textId="77777777" w:rsidR="00F0746E" w:rsidRPr="007264BD" w:rsidRDefault="00F0746E" w:rsidP="003C5B5E">
            <w:pPr>
              <w:pStyle w:val="ad"/>
              <w:jc w:val="both"/>
              <w:rPr>
                <w:sz w:val="21"/>
                <w:szCs w:val="21"/>
                <w:lang w:eastAsia="zh-CN"/>
              </w:rPr>
            </w:pPr>
          </w:p>
        </w:tc>
      </w:tr>
    </w:tbl>
    <w:p w14:paraId="665A77E8" w14:textId="77777777" w:rsidR="00006DBC" w:rsidRPr="005D3CF9" w:rsidRDefault="00006DBC" w:rsidP="00BB5C81">
      <w:pPr>
        <w:pStyle w:val="ad"/>
        <w:spacing w:beforeLines="50" w:before="120"/>
        <w:jc w:val="both"/>
        <w:rPr>
          <w:rFonts w:hint="eastAsia"/>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C06112">
      <w:pPr>
        <w:pStyle w:val="ad"/>
        <w:numPr>
          <w:ilvl w:val="0"/>
          <w:numId w:val="28"/>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C06112">
      <w:pPr>
        <w:pStyle w:val="ad"/>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21B3E8BC" w14:textId="77777777" w:rsidR="00C06112" w:rsidRPr="004E2EA9" w:rsidRDefault="00C06112" w:rsidP="00C06112">
      <w:pPr>
        <w:pStyle w:val="ad"/>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ad"/>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lastRenderedPageBreak/>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d"/>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d"/>
        <w:numPr>
          <w:ilvl w:val="1"/>
          <w:numId w:val="28"/>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d"/>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020368">
      <w:pPr>
        <w:pStyle w:val="ad"/>
        <w:numPr>
          <w:ilvl w:val="0"/>
          <w:numId w:val="28"/>
        </w:numPr>
        <w:spacing w:beforeLines="50" w:before="120"/>
        <w:jc w:val="both"/>
        <w:rPr>
          <w:b/>
          <w:sz w:val="21"/>
          <w:szCs w:val="21"/>
          <w:lang w:eastAsia="zh-CN"/>
        </w:rPr>
      </w:pPr>
      <w:r w:rsidRPr="000C2A33">
        <w:rPr>
          <w:b/>
          <w:sz w:val="21"/>
          <w:szCs w:val="21"/>
          <w:lang w:eastAsia="zh-CN"/>
        </w:rPr>
        <w:lastRenderedPageBreak/>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f"/>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f"/>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f"/>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f"/>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d"/>
        <w:numPr>
          <w:ilvl w:val="0"/>
          <w:numId w:val="29"/>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f"/>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lastRenderedPageBreak/>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d"/>
        <w:numPr>
          <w:ilvl w:val="0"/>
          <w:numId w:val="27"/>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020368">
      <w:pPr>
        <w:pStyle w:val="ad"/>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lastRenderedPageBreak/>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lastRenderedPageBreak/>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Tx switching, </w:t>
      </w:r>
      <w:r w:rsidR="007F4BDD" w:rsidRPr="00AA0C59">
        <w:rPr>
          <w:rFonts w:hint="eastAsia"/>
          <w:lang w:eastAsia="zh-CN"/>
        </w:rPr>
        <w:t>Huawei, HiSilicon</w:t>
      </w:r>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1-2110904, Remaining issues for Rel-17 UL Tx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R1-2110972, Remaining issues on Rel-17 Tx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iscussion on Rel-17 Tx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1-2111933, Discussion on the remaining problems of supporting Tx switching between two uplink carriers, Huawei, HiSilicon, RAN1 #107-e, November 11th – 19th, 2021</w:t>
      </w:r>
    </w:p>
    <w:p w14:paraId="6D82AECE" w14:textId="57BA1775" w:rsidR="00D913BB" w:rsidRPr="00AA0C59" w:rsidRDefault="007B3078" w:rsidP="00C539B3">
      <w:pPr>
        <w:pStyle w:val="20"/>
        <w:numPr>
          <w:ilvl w:val="0"/>
          <w:numId w:val="11"/>
        </w:numPr>
        <w:overflowPunct/>
        <w:autoSpaceDE/>
        <w:autoSpaceDN/>
        <w:adjustRightInd/>
        <w:spacing w:before="180" w:after="0" w:line="240" w:lineRule="auto"/>
        <w:jc w:val="both"/>
        <w:textAlignment w:val="auto"/>
      </w:pPr>
      <w:r w:rsidRPr="00AA0C59">
        <w:rPr>
          <w:lang w:eastAsia="zh-CN"/>
        </w:rPr>
        <w:t>R1-2112188, Discussion on Rel-17 UL Tx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20"/>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2F6F1" w14:textId="77777777" w:rsidR="00C30FD0" w:rsidRDefault="00C30FD0">
      <w:pPr>
        <w:spacing w:after="0" w:line="240" w:lineRule="auto"/>
      </w:pPr>
      <w:r>
        <w:separator/>
      </w:r>
    </w:p>
  </w:endnote>
  <w:endnote w:type="continuationSeparator" w:id="0">
    <w:p w14:paraId="574653C9" w14:textId="77777777" w:rsidR="00C30FD0" w:rsidRDefault="00C3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04C41780" w:rsidR="00C539B3" w:rsidRDefault="00C539B3">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726B">
      <w:rPr>
        <w:rFonts w:ascii="Arial" w:hAnsi="Arial" w:cs="Arial"/>
        <w:b/>
        <w:noProof/>
        <w:sz w:val="18"/>
        <w:szCs w:val="18"/>
      </w:rPr>
      <w:t>7</w:t>
    </w:r>
    <w:r>
      <w:rPr>
        <w:rFonts w:ascii="Arial" w:hAnsi="Arial" w:cs="Arial"/>
        <w:b/>
        <w:sz w:val="18"/>
        <w:szCs w:val="18"/>
      </w:rPr>
      <w:fldChar w:fldCharType="end"/>
    </w:r>
  </w:p>
  <w:p w14:paraId="0ABDEC68" w14:textId="77777777" w:rsidR="00C539B3" w:rsidRDefault="00C539B3">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EC756" w14:textId="77777777" w:rsidR="00C30FD0" w:rsidRDefault="00C30FD0">
      <w:pPr>
        <w:spacing w:after="0" w:line="240" w:lineRule="auto"/>
      </w:pPr>
      <w:r>
        <w:separator/>
      </w:r>
    </w:p>
  </w:footnote>
  <w:footnote w:type="continuationSeparator" w:id="0">
    <w:p w14:paraId="18850289" w14:textId="77777777" w:rsidR="00C30FD0" w:rsidRDefault="00C30F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 w:numId="46">
    <w:abstractNumId w:val="10"/>
  </w:num>
  <w:num w:numId="47">
    <w:abstractNumId w:val="10"/>
  </w:num>
  <w:num w:numId="48">
    <w:abstractNumId w:val="25"/>
  </w:num>
  <w:num w:numId="49">
    <w:abstractNumId w:val="25"/>
  </w:num>
  <w:num w:numId="5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6DB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38F98257-B81B-44A2-AD7F-6DCCBEB1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45</TotalTime>
  <Pages>13</Pages>
  <Words>4244</Words>
  <Characters>24192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45</cp:revision>
  <cp:lastPrinted>2004-04-14T09:17:00Z</cp:lastPrinted>
  <dcterms:created xsi:type="dcterms:W3CDTF">2021-11-11T15:01:00Z</dcterms:created>
  <dcterms:modified xsi:type="dcterms:W3CDTF">2021-11-15T01:39:00Z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