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2D0D427F"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ListParagraph"/>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ListParagraph"/>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w:t>
            </w:r>
            <w:proofErr w:type="gramStart"/>
            <w:r w:rsidRPr="004F4EFB">
              <w:rPr>
                <w:rFonts w:ascii="Times New Roman" w:hAnsi="Times New Roman"/>
                <w:sz w:val="21"/>
                <w:szCs w:val="21"/>
                <w:lang w:val="en-US" w:eastAsia="zh-CN"/>
              </w:rPr>
              <w:t>a</w:t>
            </w:r>
            <w:proofErr w:type="gramEnd"/>
            <w:r w:rsidRPr="004F4EFB">
              <w:rPr>
                <w:rFonts w:ascii="Times New Roman" w:hAnsi="Times New Roman"/>
                <w:sz w:val="21"/>
                <w:szCs w:val="21"/>
                <w:lang w:val="en-US" w:eastAsia="zh-CN"/>
              </w:rPr>
              <w:t xml:space="preserve">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BodyText"/>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BodyText"/>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BodyText"/>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BodyText"/>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BodyText"/>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BodyText"/>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w:t>
            </w:r>
            <w:proofErr w:type="gramStart"/>
            <w:r>
              <w:rPr>
                <w:sz w:val="21"/>
                <w:szCs w:val="21"/>
                <w:lang w:eastAsia="zh-CN"/>
              </w:rPr>
              <w:t>a</w:t>
            </w:r>
            <w:proofErr w:type="gramEnd"/>
            <w:r>
              <w:rPr>
                <w:sz w:val="21"/>
                <w:szCs w:val="21"/>
                <w:lang w:eastAsia="zh-CN"/>
              </w:rPr>
              <w:t xml:space="preserve"> RRC parameter to differentiate 1Tx-2Tx and 2Tx-2Tx is well aligned with RAN2’s guidance.</w:t>
            </w:r>
          </w:p>
          <w:tbl>
            <w:tblPr>
              <w:tblStyle w:val="TableGrid"/>
              <w:tblW w:w="0" w:type="auto"/>
              <w:tblLook w:val="04A0" w:firstRow="1" w:lastRow="0" w:firstColumn="1" w:lastColumn="0" w:noHBand="0" w:noVBand="1"/>
            </w:tblPr>
            <w:tblGrid>
              <w:gridCol w:w="7201"/>
            </w:tblGrid>
            <w:tr w:rsidR="00DD48D4" w14:paraId="55F4B43B" w14:textId="77777777" w:rsidTr="00791934">
              <w:tc>
                <w:tcPr>
                  <w:tcW w:w="7201" w:type="dxa"/>
                </w:tcPr>
                <w:p w14:paraId="3F4BFAD0" w14:textId="77777777" w:rsidR="00DD48D4" w:rsidRPr="007D6CD5" w:rsidRDefault="00DD48D4" w:rsidP="00DD48D4">
                  <w:pPr>
                    <w:pStyle w:val="BodyText"/>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BodyText"/>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BodyText"/>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BodyText"/>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BodyText"/>
              <w:jc w:val="both"/>
              <w:rPr>
                <w:rFonts w:eastAsiaTheme="minorEastAsia"/>
                <w:lang w:eastAsia="zh-CN"/>
              </w:rPr>
            </w:pPr>
            <w:r>
              <w:rPr>
                <w:sz w:val="21"/>
                <w:szCs w:val="21"/>
                <w:lang w:eastAsia="zh-CN"/>
              </w:rPr>
              <w:t>At this stage, it is more appropriate to pick a clean solution with majority support, i.e., Option2.</w:t>
            </w:r>
          </w:p>
        </w:tc>
      </w:tr>
      <w:tr w:rsidR="00D0063E" w:rsidRPr="007264BD" w14:paraId="42EE86E2" w14:textId="77777777" w:rsidTr="003177E7">
        <w:tc>
          <w:tcPr>
            <w:tcW w:w="2089" w:type="dxa"/>
            <w:shd w:val="clear" w:color="auto" w:fill="auto"/>
          </w:tcPr>
          <w:p w14:paraId="4A055592" w14:textId="77777777" w:rsidR="00D0063E" w:rsidRPr="007264BD" w:rsidRDefault="00D0063E" w:rsidP="003177E7">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49B098E1" w14:textId="77777777" w:rsidR="00D0063E" w:rsidRPr="00CD381E" w:rsidRDefault="00D0063E" w:rsidP="003177E7">
            <w:pPr>
              <w:pStyle w:val="BodyText"/>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16E5DD96" w14:textId="77777777" w:rsidR="00D0063E" w:rsidRPr="00CD381E" w:rsidRDefault="00D0063E" w:rsidP="003177E7">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369D06B1" w14:textId="77777777" w:rsidR="00D0063E" w:rsidRDefault="00D0063E" w:rsidP="003177E7">
            <w:pPr>
              <w:pStyle w:val="BodyText"/>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sidR="00BA18F4">
              <w:rPr>
                <w:rFonts w:hint="eastAsia"/>
                <w:sz w:val="21"/>
                <w:szCs w:val="21"/>
                <w:lang w:eastAsia="zh-CN"/>
              </w:rPr>
              <w:t>t</w:t>
            </w:r>
            <w:r w:rsidRPr="00CD381E">
              <w:rPr>
                <w:sz w:val="21"/>
                <w:szCs w:val="21"/>
              </w:rPr>
              <w:t xml:space="preserve"> different from directly predefining to use the longest switching time.</w:t>
            </w:r>
          </w:p>
          <w:p w14:paraId="0B7281E9" w14:textId="61B93254" w:rsidR="00A2114A" w:rsidRPr="007264BD" w:rsidRDefault="00A2114A" w:rsidP="003177E7">
            <w:pPr>
              <w:pStyle w:val="BodyText"/>
              <w:jc w:val="both"/>
              <w:rPr>
                <w:sz w:val="21"/>
                <w:szCs w:val="21"/>
                <w:lang w:eastAsia="zh-CN"/>
              </w:rPr>
            </w:pPr>
            <w:r>
              <w:rPr>
                <w:sz w:val="21"/>
                <w:szCs w:val="21"/>
                <w:lang w:eastAsia="zh-CN"/>
              </w:rPr>
              <w:t xml:space="preserve">@ZTE, </w:t>
            </w:r>
            <w:proofErr w:type="gramStart"/>
            <w:r>
              <w:rPr>
                <w:sz w:val="21"/>
                <w:szCs w:val="21"/>
                <w:lang w:eastAsia="zh-CN"/>
              </w:rPr>
              <w:t>Not</w:t>
            </w:r>
            <w:proofErr w:type="gramEnd"/>
            <w:r>
              <w:rPr>
                <w:sz w:val="21"/>
                <w:szCs w:val="21"/>
                <w:lang w:eastAsia="zh-CN"/>
              </w:rPr>
              <w:t xml:space="preserve"> sure why RAN2 guidance is quoted. </w:t>
            </w:r>
            <w:bookmarkStart w:id="4" w:name="_GoBack"/>
            <w:bookmarkEnd w:id="4"/>
            <w:r>
              <w:rPr>
                <w:sz w:val="21"/>
                <w:szCs w:val="21"/>
                <w:lang w:eastAsia="zh-CN"/>
              </w:rPr>
              <w:t>It is quite clear that Option 1 is reusing the existing RRC configurations instead of UE capability.</w:t>
            </w:r>
          </w:p>
        </w:tc>
      </w:tr>
      <w:tr w:rsidR="00FE491D" w:rsidRPr="007264BD" w14:paraId="430C881D" w14:textId="77777777" w:rsidTr="002C69E3">
        <w:tc>
          <w:tcPr>
            <w:tcW w:w="2089" w:type="dxa"/>
            <w:shd w:val="clear" w:color="auto" w:fill="auto"/>
          </w:tcPr>
          <w:p w14:paraId="0A44B14A" w14:textId="5795A76F" w:rsidR="00FE491D" w:rsidRPr="007264BD" w:rsidRDefault="00FE491D" w:rsidP="00FE491D">
            <w:pPr>
              <w:pStyle w:val="BodyText"/>
              <w:jc w:val="both"/>
              <w:rPr>
                <w:sz w:val="21"/>
                <w:szCs w:val="21"/>
                <w:lang w:eastAsia="zh-CN"/>
              </w:rPr>
            </w:pPr>
          </w:p>
        </w:tc>
        <w:tc>
          <w:tcPr>
            <w:tcW w:w="7427" w:type="dxa"/>
            <w:shd w:val="clear" w:color="auto" w:fill="auto"/>
          </w:tcPr>
          <w:p w14:paraId="69F6FB1D" w14:textId="41D305E3" w:rsidR="00FE491D" w:rsidRPr="00F12F5C" w:rsidRDefault="00FE491D" w:rsidP="00FE491D">
            <w:pPr>
              <w:pStyle w:val="BodyText"/>
              <w:jc w:val="both"/>
              <w:rPr>
                <w:i/>
                <w:sz w:val="21"/>
                <w:szCs w:val="21"/>
                <w:lang w:eastAsia="zh-CN"/>
              </w:rPr>
            </w:pP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lastRenderedPageBreak/>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BodyText"/>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D0063E" w:rsidRPr="003442AF" w14:paraId="3DAE08EC" w14:textId="77777777" w:rsidTr="003177E7">
        <w:tc>
          <w:tcPr>
            <w:tcW w:w="2074" w:type="dxa"/>
            <w:shd w:val="clear" w:color="auto" w:fill="auto"/>
          </w:tcPr>
          <w:p w14:paraId="6B57BD03" w14:textId="77777777" w:rsidR="00D0063E" w:rsidRPr="007264BD" w:rsidRDefault="00D0063E" w:rsidP="003177E7">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1FFB1686" w14:textId="77777777" w:rsidR="00D0063E" w:rsidRDefault="00D0063E" w:rsidP="003177E7">
            <w:pPr>
              <w:pStyle w:val="BodyText"/>
              <w:jc w:val="both"/>
              <w:rPr>
                <w:sz w:val="21"/>
                <w:szCs w:val="21"/>
                <w:lang w:eastAsia="zh-CN"/>
              </w:rPr>
            </w:pPr>
            <w:r>
              <w:rPr>
                <w:sz w:val="21"/>
                <w:szCs w:val="21"/>
                <w:lang w:eastAsia="zh-CN"/>
              </w:rPr>
              <w:t>As a compromise, we can accept Alt 2.</w:t>
            </w:r>
          </w:p>
          <w:p w14:paraId="7E9BE506" w14:textId="77777777" w:rsidR="00D0063E" w:rsidRPr="007264BD" w:rsidRDefault="00D0063E" w:rsidP="003177E7">
            <w:pPr>
              <w:pStyle w:val="BodyText"/>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t>R</w:t>
      </w:r>
      <w:r w:rsidRPr="00ED1D4E">
        <w:t>RC parameters</w:t>
      </w:r>
    </w:p>
    <w:p w14:paraId="0D3839F5" w14:textId="508113E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2F2E1D">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 xml:space="preserve">Per (UE, cell, </w:t>
            </w:r>
            <w:r w:rsidRPr="008215FC">
              <w:rPr>
                <w:rFonts w:ascii="Arial" w:eastAsia="等线" w:hAnsi="Arial" w:cs="Arial"/>
                <w:b/>
                <w:bCs/>
                <w:color w:val="CCE8CF"/>
                <w:sz w:val="16"/>
                <w:szCs w:val="16"/>
                <w:lang w:eastAsia="zh-CN"/>
              </w:rPr>
              <w:lastRenderedPageBreak/>
              <w:t>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UE-specific or Cell-</w:t>
            </w:r>
            <w:r w:rsidRPr="008215FC">
              <w:rPr>
                <w:rFonts w:ascii="Arial" w:eastAsia="等线" w:hAnsi="Arial" w:cs="Arial"/>
                <w:b/>
                <w:bCs/>
                <w:color w:val="CCE8CF"/>
                <w:sz w:val="16"/>
                <w:szCs w:val="16"/>
                <w:lang w:eastAsia="zh-CN"/>
              </w:rPr>
              <w:lastRenderedPageBreak/>
              <w:t>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lastRenderedPageBreak/>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EB3654">
        <w:tc>
          <w:tcPr>
            <w:tcW w:w="2088" w:type="dxa"/>
            <w:shd w:val="clear" w:color="auto" w:fill="auto"/>
          </w:tcPr>
          <w:p w14:paraId="717FF60A" w14:textId="77777777" w:rsidR="00BB5C81" w:rsidRPr="007264BD" w:rsidRDefault="00BB5C81" w:rsidP="00EB3654">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EB3654">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EB3654">
        <w:tc>
          <w:tcPr>
            <w:tcW w:w="2088" w:type="dxa"/>
            <w:shd w:val="clear" w:color="auto" w:fill="auto"/>
          </w:tcPr>
          <w:p w14:paraId="3F94206D" w14:textId="19718B0F" w:rsidR="00BB5C81" w:rsidRPr="007264BD" w:rsidRDefault="00B13E53" w:rsidP="00EB3654">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EB3654">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EB3654">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EB3654">
        <w:tc>
          <w:tcPr>
            <w:tcW w:w="2088" w:type="dxa"/>
            <w:shd w:val="clear" w:color="auto" w:fill="auto"/>
          </w:tcPr>
          <w:p w14:paraId="67E022C8" w14:textId="24C63386"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BodyText"/>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BodyText"/>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BodyText"/>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EB3654">
        <w:tc>
          <w:tcPr>
            <w:tcW w:w="2088" w:type="dxa"/>
            <w:shd w:val="clear" w:color="auto" w:fill="auto"/>
          </w:tcPr>
          <w:p w14:paraId="3474AF48" w14:textId="4FAE9D60" w:rsidR="00BB5C81" w:rsidRPr="007264BD" w:rsidRDefault="00BA18F4" w:rsidP="00EB3654">
            <w:pPr>
              <w:pStyle w:val="BodyText"/>
              <w:jc w:val="both"/>
              <w:rPr>
                <w:sz w:val="21"/>
                <w:szCs w:val="21"/>
                <w:lang w:eastAsia="zh-CN"/>
              </w:rPr>
            </w:pPr>
            <w:r>
              <w:rPr>
                <w:sz w:val="21"/>
                <w:szCs w:val="21"/>
                <w:lang w:eastAsia="zh-CN"/>
              </w:rPr>
              <w:t>Huawei, HiSilicon</w:t>
            </w:r>
          </w:p>
        </w:tc>
        <w:tc>
          <w:tcPr>
            <w:tcW w:w="7428" w:type="dxa"/>
            <w:shd w:val="clear" w:color="auto" w:fill="auto"/>
          </w:tcPr>
          <w:p w14:paraId="7B75217D" w14:textId="49078283" w:rsidR="00BB5C81" w:rsidRPr="007264BD" w:rsidRDefault="00BA18F4" w:rsidP="00EB3654">
            <w:pPr>
              <w:pStyle w:val="BodyText"/>
              <w:jc w:val="both"/>
              <w:rPr>
                <w:sz w:val="21"/>
                <w:szCs w:val="21"/>
                <w:lang w:eastAsia="zh-CN"/>
              </w:rPr>
            </w:pPr>
            <w:r>
              <w:rPr>
                <w:sz w:val="21"/>
                <w:szCs w:val="21"/>
                <w:lang w:eastAsia="zh-CN"/>
              </w:rPr>
              <w:t>In term of overhead, value range would better be {0 or 1} instead of string set {1T1T, 0T2T}. Then as usual the description can assign 0/1 to 1T1T/0T2T.</w:t>
            </w:r>
            <w:r w:rsidR="00BB72C5">
              <w:rPr>
                <w:sz w:val="21"/>
                <w:szCs w:val="21"/>
                <w:lang w:eastAsia="zh-CN"/>
              </w:rPr>
              <w:t xml:space="preserve"> Or up to RAN2 decision and we only provide the corresponding RAN1 agreement in the comment column</w:t>
            </w:r>
            <w:r w:rsidR="00343C36">
              <w:rPr>
                <w:sz w:val="21"/>
                <w:szCs w:val="21"/>
                <w:lang w:eastAsia="zh-CN"/>
              </w:rPr>
              <w:t xml:space="preserve"> which should be clear enough.</w:t>
            </w:r>
          </w:p>
        </w:tc>
      </w:tr>
    </w:tbl>
    <w:p w14:paraId="30C7478B" w14:textId="77777777" w:rsidR="00BB5C81" w:rsidRDefault="00BB5C81"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lastRenderedPageBreak/>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4D36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556AA" w14:textId="77777777" w:rsidR="006A1CCE" w:rsidRDefault="006A1CCE">
      <w:pPr>
        <w:spacing w:after="0" w:line="240" w:lineRule="auto"/>
      </w:pPr>
      <w:r>
        <w:separator/>
      </w:r>
    </w:p>
  </w:endnote>
  <w:endnote w:type="continuationSeparator" w:id="0">
    <w:p w14:paraId="74CC1D65" w14:textId="77777777" w:rsidR="006A1CCE" w:rsidRDefault="006A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1BE26140" w:rsidR="003F7FAE" w:rsidRDefault="003F7FA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4AA6">
      <w:rPr>
        <w:rFonts w:ascii="Arial" w:hAnsi="Arial" w:cs="Arial"/>
        <w:b/>
        <w:noProof/>
        <w:sz w:val="18"/>
        <w:szCs w:val="18"/>
      </w:rPr>
      <w:t>11</w:t>
    </w:r>
    <w:r>
      <w:rPr>
        <w:rFonts w:ascii="Arial" w:hAnsi="Arial" w:cs="Arial"/>
        <w:b/>
        <w:sz w:val="18"/>
        <w:szCs w:val="18"/>
      </w:rPr>
      <w:fldChar w:fldCharType="end"/>
    </w:r>
  </w:p>
  <w:p w14:paraId="0ABDEC68" w14:textId="77777777" w:rsidR="003F7FAE" w:rsidRDefault="003F7FAE">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9E9DB" w14:textId="77777777" w:rsidR="006A1CCE" w:rsidRDefault="006A1CCE">
      <w:pPr>
        <w:spacing w:after="0" w:line="240" w:lineRule="auto"/>
      </w:pPr>
      <w:r>
        <w:separator/>
      </w:r>
    </w:p>
  </w:footnote>
  <w:footnote w:type="continuationSeparator" w:id="0">
    <w:p w14:paraId="121A438F" w14:textId="77777777" w:rsidR="006A1CCE" w:rsidRDefault="006A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6B8"/>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C36"/>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CCE"/>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14A"/>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8F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2C5"/>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63E"/>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81C4CA5-610D-4B5D-A216-F8D00FE1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11</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21</cp:revision>
  <cp:lastPrinted>2004-04-14T09:17:00Z</cp:lastPrinted>
  <dcterms:created xsi:type="dcterms:W3CDTF">2021-11-11T15:01:00Z</dcterms:created>
  <dcterms:modified xsi:type="dcterms:W3CDTF">2021-11-12T23:08:00Z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