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bookmarkStart w:id="1" w:name="_GoBack"/>
      <w:bookmarkEnd w:id="1"/>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w:t>
      </w:r>
      <w:proofErr w:type="spellStart"/>
      <w:proofErr w:type="gramStart"/>
      <w:r w:rsidRPr="002727AD">
        <w:rPr>
          <w:rFonts w:ascii="Arial" w:hAnsi="Arial" w:cs="Arial"/>
          <w:b/>
          <w:bCs/>
          <w:sz w:val="24"/>
        </w:rPr>
        <w:t>Tx</w:t>
      </w:r>
      <w:proofErr w:type="spellEnd"/>
      <w:proofErr w:type="gramEnd"/>
      <w:r w:rsidRPr="002727AD">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2" w:name="OLE_LINK5"/>
      <w:bookmarkStart w:id="3"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proofErr w:type="gramStart"/>
      <w:r>
        <w:rPr>
          <w:sz w:val="21"/>
          <w:szCs w:val="21"/>
        </w:rPr>
        <w:t>was</w:t>
      </w:r>
      <w:proofErr w:type="gramEnd"/>
      <w:r>
        <w:rPr>
          <w:sz w:val="21"/>
          <w:szCs w:val="21"/>
        </w:rPr>
        <w:t xml:space="preserve">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2D0D427F"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states. </w:t>
      </w:r>
    </w:p>
    <w:p w14:paraId="70BCDB39"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xml:space="preserve">: This RRC parameter is used to differentiate the table (mapping between UL transmission ports and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 xml:space="preserve">r with UL </w:t>
      </w:r>
      <w:proofErr w:type="spellStart"/>
      <w:r w:rsidRPr="00430912">
        <w:rPr>
          <w:rFonts w:ascii="Times New Roman" w:hAnsi="Times New Roman"/>
          <w:color w:val="FF0000"/>
          <w:sz w:val="21"/>
          <w:szCs w:val="21"/>
          <w:lang w:val="en-GB" w:eastAsia="zh-CN"/>
        </w:rPr>
        <w:t>Tx</w:t>
      </w:r>
      <w:proofErr w:type="spellEnd"/>
      <w:r w:rsidRPr="00430912">
        <w:rPr>
          <w:rFonts w:ascii="Times New Roman" w:hAnsi="Times New Roman"/>
          <w:color w:val="FF0000"/>
          <w:sz w:val="21"/>
          <w:szCs w:val="21"/>
          <w:lang w:val="en-GB" w:eastAsia="zh-CN"/>
        </w:rPr>
        <w:t xml:space="preserve">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0F6089DD" w:rsidR="00CE2DE3" w:rsidRPr="007264BD" w:rsidRDefault="00CE2DE3" w:rsidP="00BD1AB2">
            <w:pPr>
              <w:pStyle w:val="ad"/>
              <w:jc w:val="both"/>
              <w:rPr>
                <w:sz w:val="21"/>
                <w:szCs w:val="21"/>
                <w:lang w:eastAsia="zh-CN"/>
              </w:rPr>
            </w:pPr>
          </w:p>
        </w:tc>
        <w:tc>
          <w:tcPr>
            <w:tcW w:w="7427" w:type="dxa"/>
            <w:shd w:val="clear" w:color="auto" w:fill="auto"/>
          </w:tcPr>
          <w:p w14:paraId="343B9423" w14:textId="3EEFC4E0" w:rsidR="00CE2DE3" w:rsidRPr="007264BD" w:rsidRDefault="00CE2DE3" w:rsidP="00BD1AB2">
            <w:pPr>
              <w:pStyle w:val="ad"/>
              <w:jc w:val="both"/>
              <w:rPr>
                <w:sz w:val="21"/>
                <w:szCs w:val="21"/>
                <w:lang w:eastAsia="zh-CN"/>
              </w:rPr>
            </w:pPr>
          </w:p>
        </w:tc>
      </w:tr>
      <w:tr w:rsidR="00D51FCB" w:rsidRPr="007264BD" w14:paraId="69B2C6C7" w14:textId="77777777" w:rsidTr="00CC13EE">
        <w:tc>
          <w:tcPr>
            <w:tcW w:w="2089" w:type="dxa"/>
            <w:shd w:val="clear" w:color="auto" w:fill="auto"/>
          </w:tcPr>
          <w:p w14:paraId="138C286F" w14:textId="56E24738" w:rsidR="00D51FCB" w:rsidRPr="007264BD" w:rsidRDefault="00D51FCB" w:rsidP="00CC13EE">
            <w:pPr>
              <w:pStyle w:val="ad"/>
              <w:jc w:val="both"/>
              <w:rPr>
                <w:sz w:val="21"/>
                <w:szCs w:val="21"/>
                <w:lang w:eastAsia="zh-CN"/>
              </w:rPr>
            </w:pPr>
          </w:p>
        </w:tc>
        <w:tc>
          <w:tcPr>
            <w:tcW w:w="7427" w:type="dxa"/>
            <w:shd w:val="clear" w:color="auto" w:fill="auto"/>
          </w:tcPr>
          <w:p w14:paraId="39C58602" w14:textId="05959784" w:rsidR="00D51FCB" w:rsidRPr="006B59F9" w:rsidRDefault="00D51FCB" w:rsidP="00CC13EE">
            <w:pPr>
              <w:pStyle w:val="ad"/>
              <w:jc w:val="both"/>
              <w:rPr>
                <w:rFonts w:eastAsiaTheme="minorEastAsia"/>
                <w:lang w:eastAsia="zh-CN"/>
              </w:rPr>
            </w:pPr>
          </w:p>
        </w:tc>
      </w:tr>
      <w:tr w:rsidR="00FE491D" w:rsidRPr="007264BD" w14:paraId="430C881D" w14:textId="77777777" w:rsidTr="002C69E3">
        <w:tc>
          <w:tcPr>
            <w:tcW w:w="2089" w:type="dxa"/>
            <w:shd w:val="clear" w:color="auto" w:fill="auto"/>
          </w:tcPr>
          <w:p w14:paraId="0A44B14A" w14:textId="5795A76F" w:rsidR="00FE491D" w:rsidRPr="007264BD" w:rsidRDefault="00FE491D" w:rsidP="00FE491D">
            <w:pPr>
              <w:pStyle w:val="ad"/>
              <w:jc w:val="both"/>
              <w:rPr>
                <w:sz w:val="21"/>
                <w:szCs w:val="21"/>
                <w:lang w:eastAsia="zh-CN"/>
              </w:rPr>
            </w:pPr>
          </w:p>
        </w:tc>
        <w:tc>
          <w:tcPr>
            <w:tcW w:w="7427" w:type="dxa"/>
            <w:shd w:val="clear" w:color="auto" w:fill="auto"/>
          </w:tcPr>
          <w:p w14:paraId="69F6FB1D" w14:textId="41D305E3" w:rsidR="00FE491D" w:rsidRPr="00F12F5C" w:rsidRDefault="00FE491D" w:rsidP="00FE491D">
            <w:pPr>
              <w:pStyle w:val="ad"/>
              <w:jc w:val="both"/>
              <w:rPr>
                <w:i/>
                <w:sz w:val="21"/>
                <w:szCs w:val="21"/>
                <w:lang w:eastAsia="zh-CN"/>
              </w:rPr>
            </w:pP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xml:space="preserve"> among the carriers on Band B is configured as 2 antenna ports and the state of </w:t>
      </w:r>
      <w:proofErr w:type="spellStart"/>
      <w:r w:rsidRPr="00EA1795">
        <w:rPr>
          <w:color w:val="FF0000"/>
          <w:sz w:val="21"/>
          <w:szCs w:val="21"/>
        </w:rPr>
        <w:t>Tx</w:t>
      </w:r>
      <w:proofErr w:type="spellEnd"/>
      <w:r w:rsidRPr="00EA1795">
        <w:rPr>
          <w:color w:val="FF0000"/>
          <w:sz w:val="21"/>
          <w:szCs w:val="21"/>
        </w:rPr>
        <w:t xml:space="preserve"> chains is 1 </w:t>
      </w:r>
      <w:proofErr w:type="spellStart"/>
      <w:r w:rsidRPr="00EA1795">
        <w:rPr>
          <w:color w:val="FF0000"/>
          <w:sz w:val="21"/>
          <w:szCs w:val="21"/>
        </w:rPr>
        <w:t>Tx</w:t>
      </w:r>
      <w:proofErr w:type="spellEnd"/>
      <w:r w:rsidRPr="00EA1795">
        <w:rPr>
          <w:color w:val="FF0000"/>
          <w:sz w:val="21"/>
          <w:szCs w:val="21"/>
        </w:rPr>
        <w:t xml:space="preserve">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4D03EAE9" w:rsidR="00D51FCB" w:rsidRPr="007264BD" w:rsidRDefault="00D51FCB" w:rsidP="00CC13EE">
            <w:pPr>
              <w:pStyle w:val="ad"/>
              <w:jc w:val="both"/>
              <w:rPr>
                <w:sz w:val="21"/>
                <w:szCs w:val="21"/>
                <w:lang w:eastAsia="zh-CN"/>
              </w:rPr>
            </w:pPr>
          </w:p>
        </w:tc>
        <w:tc>
          <w:tcPr>
            <w:tcW w:w="7442" w:type="dxa"/>
            <w:shd w:val="clear" w:color="auto" w:fill="auto"/>
          </w:tcPr>
          <w:p w14:paraId="43701273" w14:textId="6542C171" w:rsidR="00D51FCB" w:rsidRPr="007264BD" w:rsidRDefault="00D51FCB" w:rsidP="004925D5">
            <w:pPr>
              <w:pStyle w:val="ad"/>
              <w:jc w:val="both"/>
              <w:rPr>
                <w:sz w:val="21"/>
                <w:szCs w:val="21"/>
                <w:lang w:eastAsia="zh-CN"/>
              </w:rPr>
            </w:pPr>
          </w:p>
        </w:tc>
      </w:tr>
      <w:tr w:rsidR="00FE491D" w:rsidRPr="007264BD" w14:paraId="1426F02C" w14:textId="77777777" w:rsidTr="00D51FCB">
        <w:tc>
          <w:tcPr>
            <w:tcW w:w="2074" w:type="dxa"/>
            <w:shd w:val="clear" w:color="auto" w:fill="auto"/>
          </w:tcPr>
          <w:p w14:paraId="5A5E071C" w14:textId="2A57C4D6" w:rsidR="00FE491D" w:rsidRPr="007264BD" w:rsidRDefault="00FE491D" w:rsidP="00FE491D">
            <w:pPr>
              <w:pStyle w:val="ad"/>
              <w:jc w:val="both"/>
              <w:rPr>
                <w:sz w:val="21"/>
                <w:szCs w:val="21"/>
                <w:lang w:eastAsia="zh-CN"/>
              </w:rPr>
            </w:pPr>
          </w:p>
        </w:tc>
        <w:tc>
          <w:tcPr>
            <w:tcW w:w="7442" w:type="dxa"/>
            <w:shd w:val="clear" w:color="auto" w:fill="auto"/>
          </w:tcPr>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d"/>
              <w:jc w:val="both"/>
              <w:rPr>
                <w:sz w:val="21"/>
                <w:szCs w:val="21"/>
                <w:lang w:eastAsia="zh-CN"/>
              </w:rPr>
            </w:pPr>
          </w:p>
        </w:tc>
        <w:tc>
          <w:tcPr>
            <w:tcW w:w="7442" w:type="dxa"/>
            <w:shd w:val="clear" w:color="auto" w:fill="auto"/>
          </w:tcPr>
          <w:p w14:paraId="5E5A64F0" w14:textId="04271791" w:rsidR="00035952" w:rsidRPr="003442AF" w:rsidRDefault="00035952" w:rsidP="00035952">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 xml:space="preserve">the state of </w:t>
      </w:r>
      <w:proofErr w:type="spellStart"/>
      <w:r w:rsidR="00235789" w:rsidRPr="008215FC">
        <w:rPr>
          <w:sz w:val="21"/>
          <w:szCs w:val="21"/>
          <w:lang w:val="en-GB"/>
        </w:rPr>
        <w:t>Tx</w:t>
      </w:r>
      <w:proofErr w:type="spellEnd"/>
      <w:r w:rsidR="00235789" w:rsidRPr="008215FC">
        <w:rPr>
          <w:sz w:val="21"/>
          <w:szCs w:val="21"/>
          <w:lang w:val="en-GB"/>
        </w:rPr>
        <w:t xml:space="preserve"> chains after the UL </w:t>
      </w:r>
      <w:proofErr w:type="spellStart"/>
      <w:r w:rsidR="00235789" w:rsidRPr="008215FC">
        <w:rPr>
          <w:sz w:val="21"/>
          <w:szCs w:val="21"/>
          <w:lang w:val="en-GB"/>
        </w:rPr>
        <w:t>Tx</w:t>
      </w:r>
      <w:proofErr w:type="spellEnd"/>
      <w:r w:rsidR="00235789" w:rsidRPr="008215FC">
        <w:rPr>
          <w:sz w:val="21"/>
          <w:szCs w:val="21"/>
          <w:lang w:val="en-GB"/>
        </w:rPr>
        <w:t xml:space="preserve">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 xml:space="preserve">ndicate the state of chain if the state of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chains after the UL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d"/>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77777777" w:rsidR="00BB5C81" w:rsidRPr="007264BD" w:rsidRDefault="00BB5C81" w:rsidP="00EB3654">
            <w:pPr>
              <w:pStyle w:val="ad"/>
              <w:jc w:val="both"/>
              <w:rPr>
                <w:sz w:val="21"/>
                <w:szCs w:val="21"/>
                <w:lang w:eastAsia="zh-CN"/>
              </w:rPr>
            </w:pPr>
          </w:p>
        </w:tc>
        <w:tc>
          <w:tcPr>
            <w:tcW w:w="7428" w:type="dxa"/>
            <w:shd w:val="clear" w:color="auto" w:fill="auto"/>
          </w:tcPr>
          <w:p w14:paraId="30ACD2E2" w14:textId="77777777" w:rsidR="00BB5C81" w:rsidRPr="007264BD" w:rsidRDefault="00BB5C81" w:rsidP="00EB3654">
            <w:pPr>
              <w:pStyle w:val="ad"/>
              <w:jc w:val="both"/>
              <w:rPr>
                <w:sz w:val="21"/>
                <w:szCs w:val="21"/>
                <w:lang w:eastAsia="zh-CN"/>
              </w:rPr>
            </w:pPr>
          </w:p>
        </w:tc>
      </w:tr>
      <w:tr w:rsidR="00BB5C81" w:rsidRPr="007264BD" w14:paraId="3BC94BFB" w14:textId="77777777" w:rsidTr="00EB3654">
        <w:tc>
          <w:tcPr>
            <w:tcW w:w="2088" w:type="dxa"/>
            <w:shd w:val="clear" w:color="auto" w:fill="auto"/>
          </w:tcPr>
          <w:p w14:paraId="67E022C8" w14:textId="77777777" w:rsidR="00BB5C81" w:rsidRPr="007264BD" w:rsidRDefault="00BB5C81" w:rsidP="00EB3654">
            <w:pPr>
              <w:pStyle w:val="ad"/>
              <w:jc w:val="both"/>
              <w:rPr>
                <w:sz w:val="21"/>
                <w:szCs w:val="21"/>
                <w:lang w:eastAsia="zh-CN"/>
              </w:rPr>
            </w:pPr>
          </w:p>
        </w:tc>
        <w:tc>
          <w:tcPr>
            <w:tcW w:w="7428" w:type="dxa"/>
            <w:shd w:val="clear" w:color="auto" w:fill="auto"/>
          </w:tcPr>
          <w:p w14:paraId="1CA33231" w14:textId="77777777" w:rsidR="00BB5C81" w:rsidRPr="007264BD" w:rsidRDefault="00BB5C81" w:rsidP="00EB3654">
            <w:pPr>
              <w:pStyle w:val="ad"/>
              <w:jc w:val="both"/>
              <w:rPr>
                <w:sz w:val="21"/>
                <w:szCs w:val="21"/>
                <w:lang w:eastAsia="zh-CN"/>
              </w:rPr>
            </w:pPr>
          </w:p>
        </w:tc>
      </w:tr>
      <w:tr w:rsidR="00BB5C81" w:rsidRPr="007264BD" w14:paraId="5792AB6D" w14:textId="77777777" w:rsidTr="00EB3654">
        <w:tc>
          <w:tcPr>
            <w:tcW w:w="2088" w:type="dxa"/>
            <w:shd w:val="clear" w:color="auto" w:fill="auto"/>
          </w:tcPr>
          <w:p w14:paraId="3474AF48" w14:textId="77777777" w:rsidR="00BB5C81" w:rsidRPr="007264BD" w:rsidRDefault="00BB5C81" w:rsidP="00EB3654">
            <w:pPr>
              <w:pStyle w:val="ad"/>
              <w:jc w:val="both"/>
              <w:rPr>
                <w:sz w:val="21"/>
                <w:szCs w:val="21"/>
                <w:lang w:eastAsia="zh-CN"/>
              </w:rPr>
            </w:pPr>
          </w:p>
        </w:tc>
        <w:tc>
          <w:tcPr>
            <w:tcW w:w="7428" w:type="dxa"/>
            <w:shd w:val="clear" w:color="auto" w:fill="auto"/>
          </w:tcPr>
          <w:p w14:paraId="7B75217D" w14:textId="77777777" w:rsidR="00BB5C81" w:rsidRPr="007264BD" w:rsidRDefault="00BB5C81" w:rsidP="00EB3654">
            <w:pPr>
              <w:pStyle w:val="ad"/>
              <w:jc w:val="both"/>
              <w:rPr>
                <w:sz w:val="21"/>
                <w:szCs w:val="21"/>
                <w:lang w:eastAsia="zh-CN"/>
              </w:rPr>
            </w:pPr>
          </w:p>
        </w:tc>
      </w:tr>
    </w:tbl>
    <w:p w14:paraId="30C7478B" w14:textId="77777777" w:rsidR="00BB5C81" w:rsidRDefault="00BB5C81"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21B3E8BC"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2"/>
    <w:bookmarkEnd w:id="3"/>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w:t>
      </w:r>
      <w:proofErr w:type="spellStart"/>
      <w:proofErr w:type="gramStart"/>
      <w:r w:rsidR="007F4BDD" w:rsidRPr="00AA0C59">
        <w:rPr>
          <w:lang w:eastAsia="zh-CN"/>
        </w:rPr>
        <w:t>Tx</w:t>
      </w:r>
      <w:proofErr w:type="spellEnd"/>
      <w:proofErr w:type="gramEnd"/>
      <w:r w:rsidR="007F4BDD" w:rsidRPr="00AA0C59">
        <w:rPr>
          <w:lang w:eastAsia="zh-CN"/>
        </w:rPr>
        <w:t xml:space="preserve">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1-2110904, Remaining issues for Rel-17 UL </w:t>
      </w:r>
      <w:proofErr w:type="spellStart"/>
      <w:r w:rsidRPr="00AA0C59">
        <w:rPr>
          <w:lang w:eastAsia="zh-CN"/>
        </w:rPr>
        <w:t>Tx</w:t>
      </w:r>
      <w:proofErr w:type="spellEnd"/>
      <w:r w:rsidRPr="00AA0C59">
        <w:rPr>
          <w:lang w:eastAsia="zh-CN"/>
        </w:rPr>
        <w:t xml:space="preserve">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R1-2110972, Remaining issues on Rel-17 </w:t>
      </w:r>
      <w:proofErr w:type="spellStart"/>
      <w:r w:rsidRPr="00AA0C59">
        <w:rPr>
          <w:lang w:eastAsia="zh-CN"/>
        </w:rPr>
        <w:t>Tx</w:t>
      </w:r>
      <w:proofErr w:type="spellEnd"/>
      <w:r w:rsidRPr="00AA0C59">
        <w:rPr>
          <w:lang w:eastAsia="zh-CN"/>
        </w:rPr>
        <w:t xml:space="preserve">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 xml:space="preserve">iscussion on Rel-17 </w:t>
      </w:r>
      <w:proofErr w:type="spellStart"/>
      <w:proofErr w:type="gramStart"/>
      <w:r w:rsidRPr="00AA0C59">
        <w:rPr>
          <w:lang w:eastAsia="zh-CN"/>
        </w:rPr>
        <w:t>Tx</w:t>
      </w:r>
      <w:proofErr w:type="spellEnd"/>
      <w:proofErr w:type="gramEnd"/>
      <w:r w:rsidRPr="00AA0C59">
        <w:rPr>
          <w:lang w:eastAsia="zh-CN"/>
        </w:rPr>
        <w:t xml:space="preserve">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w:t>
      </w:r>
      <w:proofErr w:type="spellStart"/>
      <w:r w:rsidRPr="00AA0C59">
        <w:rPr>
          <w:lang w:eastAsia="zh-CN"/>
        </w:rPr>
        <w:t>Tx</w:t>
      </w:r>
      <w:proofErr w:type="spellEnd"/>
      <w:r w:rsidRPr="00AA0C59">
        <w:rPr>
          <w:lang w:eastAsia="zh-CN"/>
        </w:rPr>
        <w:t xml:space="preserve">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4D36B3">
      <w:pPr>
        <w:pStyle w:val="20"/>
        <w:numPr>
          <w:ilvl w:val="0"/>
          <w:numId w:val="11"/>
        </w:numPr>
        <w:overflowPunct/>
        <w:autoSpaceDE/>
        <w:autoSpaceDN/>
        <w:adjustRightInd/>
        <w:spacing w:before="180" w:after="0" w:line="240" w:lineRule="auto"/>
        <w:jc w:val="both"/>
        <w:textAlignment w:val="auto"/>
      </w:pPr>
      <w:r w:rsidRPr="00AA0C59">
        <w:rPr>
          <w:lang w:eastAsia="zh-CN"/>
        </w:rPr>
        <w:t xml:space="preserve">R1-2112188, Discussion on Rel-17 UL </w:t>
      </w:r>
      <w:proofErr w:type="spellStart"/>
      <w:r w:rsidRPr="00AA0C59">
        <w:rPr>
          <w:lang w:eastAsia="zh-CN"/>
        </w:rPr>
        <w:t>Tx</w:t>
      </w:r>
      <w:proofErr w:type="spellEnd"/>
      <w:r w:rsidRPr="00AA0C59">
        <w:rPr>
          <w:lang w:eastAsia="zh-CN"/>
        </w:rPr>
        <w:t xml:space="preserve">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6"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6"/>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23CEF" w14:textId="77777777" w:rsidR="000D5C02" w:rsidRDefault="000D5C02">
      <w:pPr>
        <w:spacing w:after="0" w:line="240" w:lineRule="auto"/>
      </w:pPr>
      <w:r>
        <w:separator/>
      </w:r>
    </w:p>
  </w:endnote>
  <w:endnote w:type="continuationSeparator" w:id="0">
    <w:p w14:paraId="24E3A7C4" w14:textId="77777777" w:rsidR="000D5C02" w:rsidRDefault="000D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331D6">
      <w:rPr>
        <w:rFonts w:ascii="Arial" w:hAnsi="Arial" w:cs="Arial"/>
        <w:b/>
        <w:noProof/>
        <w:sz w:val="18"/>
        <w:szCs w:val="18"/>
      </w:rPr>
      <w:t>9</w:t>
    </w:r>
    <w:r>
      <w:rPr>
        <w:rFonts w:ascii="Arial" w:hAnsi="Arial" w:cs="Arial"/>
        <w:b/>
        <w:sz w:val="18"/>
        <w:szCs w:val="18"/>
      </w:rPr>
      <w:fldChar w:fldCharType="end"/>
    </w:r>
  </w:p>
  <w:p w14:paraId="0ABDEC68" w14:textId="77777777" w:rsidR="003F7FAE" w:rsidRDefault="003F7FAE">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BAA7D" w14:textId="77777777" w:rsidR="000D5C02" w:rsidRDefault="000D5C02">
      <w:pPr>
        <w:spacing w:after="0" w:line="240" w:lineRule="auto"/>
      </w:pPr>
      <w:r>
        <w:separator/>
      </w:r>
    </w:p>
  </w:footnote>
  <w:footnote w:type="continuationSeparator" w:id="0">
    <w:p w14:paraId="6372590F" w14:textId="77777777" w:rsidR="000D5C02" w:rsidRDefault="000D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B81762-9B8A-4B02-A227-77143EB1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299</TotalTime>
  <Pages>9</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152</cp:revision>
  <cp:lastPrinted>2004-04-14T09:17:00Z</cp:lastPrinted>
  <dcterms:created xsi:type="dcterms:W3CDTF">2021-10-18T13:22:00Z</dcterms:created>
  <dcterms:modified xsi:type="dcterms:W3CDTF">2021-11-11T05:57:00Z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