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AA10D" w14:textId="01953BD6" w:rsidR="004607C3" w:rsidRPr="00A2299C" w:rsidRDefault="004607C3" w:rsidP="00E0498C">
      <w:pPr>
        <w:pStyle w:val="Header"/>
        <w:tabs>
          <w:tab w:val="clear" w:pos="8306"/>
          <w:tab w:val="right" w:pos="7088"/>
          <w:tab w:val="right" w:pos="9781"/>
        </w:tabs>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WG1</w:t>
      </w:r>
      <w:r w:rsidR="00417CBD">
        <w:rPr>
          <w:rFonts w:ascii="Arial" w:hAnsi="Arial" w:cs="Arial"/>
          <w:b/>
          <w:bCs/>
          <w:sz w:val="24"/>
        </w:rPr>
        <w:t>#10</w:t>
      </w:r>
      <w:r w:rsidR="00042232">
        <w:rPr>
          <w:rFonts w:ascii="Arial" w:hAnsi="Arial" w:cs="Arial"/>
          <w:b/>
          <w:bCs/>
          <w:sz w:val="24"/>
        </w:rPr>
        <w:t>7</w:t>
      </w:r>
      <w:r w:rsidR="00417CBD">
        <w:rPr>
          <w:rFonts w:ascii="Arial" w:hAnsi="Arial" w:cs="Arial"/>
          <w:b/>
          <w:bCs/>
          <w:sz w:val="24"/>
        </w:rPr>
        <w:t>-e</w:t>
      </w:r>
      <w:r w:rsidRPr="00A2299C">
        <w:rPr>
          <w:rFonts w:ascii="Arial" w:hAnsi="Arial" w:cs="Arial"/>
          <w:b/>
          <w:bCs/>
          <w:sz w:val="24"/>
        </w:rPr>
        <w:tab/>
      </w:r>
      <w:r w:rsidR="00ED218B">
        <w:rPr>
          <w:rFonts w:ascii="Arial" w:hAnsi="Arial" w:cs="Arial"/>
          <w:b/>
          <w:bCs/>
          <w:sz w:val="24"/>
        </w:rPr>
        <w:tab/>
      </w:r>
      <w:r w:rsidR="005E1ABD">
        <w:rPr>
          <w:rFonts w:ascii="Arial" w:hAnsi="Arial" w:cs="Arial"/>
          <w:b/>
          <w:bCs/>
          <w:sz w:val="24"/>
        </w:rPr>
        <w:tab/>
      </w:r>
      <w:r w:rsidR="00ED218B">
        <w:rPr>
          <w:rFonts w:ascii="Arial" w:hAnsi="Arial" w:cs="Arial"/>
          <w:b/>
          <w:bCs/>
          <w:sz w:val="24"/>
        </w:rPr>
        <w:t>R1-</w:t>
      </w:r>
      <w:r w:rsidR="006E4E3C" w:rsidRPr="006E4E3C">
        <w:rPr>
          <w:rFonts w:ascii="Arial" w:hAnsi="Arial" w:cs="Arial"/>
          <w:b/>
          <w:bCs/>
          <w:sz w:val="24"/>
        </w:rPr>
        <w:t>2112008</w:t>
      </w:r>
    </w:p>
    <w:p w14:paraId="56A15566" w14:textId="0FEF32E8" w:rsidR="004607C3" w:rsidRPr="00A2299C" w:rsidRDefault="00417CBD" w:rsidP="00F6026A">
      <w:pPr>
        <w:pStyle w:val="Header"/>
        <w:tabs>
          <w:tab w:val="clear" w:pos="8306"/>
          <w:tab w:val="right" w:pos="9639"/>
        </w:tabs>
        <w:rPr>
          <w:rFonts w:ascii="Arial" w:hAnsi="Arial" w:cs="Arial"/>
          <w:b/>
          <w:bCs/>
          <w:sz w:val="24"/>
        </w:rPr>
      </w:pPr>
      <w:r>
        <w:rPr>
          <w:rFonts w:ascii="Arial" w:hAnsi="Arial" w:cs="Arial"/>
          <w:b/>
          <w:bCs/>
          <w:sz w:val="24"/>
        </w:rPr>
        <w:t>e-Meeting</w:t>
      </w:r>
      <w:r w:rsidR="00C00997" w:rsidRPr="00C00997">
        <w:rPr>
          <w:rFonts w:ascii="Arial" w:hAnsi="Arial" w:cs="Arial"/>
          <w:b/>
          <w:bCs/>
          <w:sz w:val="24"/>
        </w:rPr>
        <w:t xml:space="preserve">, </w:t>
      </w:r>
      <w:r w:rsidR="00042232">
        <w:rPr>
          <w:rFonts w:ascii="Arial" w:hAnsi="Arial" w:cs="Arial"/>
          <w:b/>
          <w:bCs/>
          <w:sz w:val="24"/>
        </w:rPr>
        <w:t>November</w:t>
      </w:r>
      <w:r w:rsidR="00042232" w:rsidRPr="00877623">
        <w:rPr>
          <w:rFonts w:ascii="Arial" w:hAnsi="Arial" w:cs="Arial"/>
          <w:b/>
          <w:bCs/>
          <w:sz w:val="24"/>
        </w:rPr>
        <w:t xml:space="preserve"> </w:t>
      </w:r>
      <w:r w:rsidR="00877623" w:rsidRPr="00877623">
        <w:rPr>
          <w:rFonts w:ascii="Arial" w:hAnsi="Arial" w:cs="Arial"/>
          <w:b/>
          <w:bCs/>
          <w:sz w:val="24"/>
        </w:rPr>
        <w:t>1</w:t>
      </w:r>
      <w:r w:rsidR="00E869AF">
        <w:rPr>
          <w:rFonts w:ascii="Arial" w:hAnsi="Arial" w:cs="Arial"/>
          <w:b/>
          <w:bCs/>
          <w:sz w:val="24"/>
        </w:rPr>
        <w:t>1</w:t>
      </w:r>
      <w:r w:rsidR="00877623" w:rsidRPr="00FB0C25">
        <w:rPr>
          <w:rFonts w:ascii="Arial" w:hAnsi="Arial" w:cs="Arial"/>
          <w:b/>
          <w:bCs/>
          <w:sz w:val="24"/>
          <w:vertAlign w:val="superscript"/>
        </w:rPr>
        <w:t>th</w:t>
      </w:r>
      <w:r w:rsidR="00877623" w:rsidRPr="00877623">
        <w:rPr>
          <w:rFonts w:ascii="Arial" w:hAnsi="Arial" w:cs="Arial"/>
          <w:b/>
          <w:bCs/>
          <w:sz w:val="24"/>
        </w:rPr>
        <w:t xml:space="preserve"> – </w:t>
      </w:r>
      <w:r w:rsidR="00E869AF">
        <w:rPr>
          <w:rFonts w:ascii="Arial" w:hAnsi="Arial" w:cs="Arial"/>
          <w:b/>
          <w:bCs/>
          <w:sz w:val="24"/>
        </w:rPr>
        <w:t>19</w:t>
      </w:r>
      <w:r w:rsidR="00877623" w:rsidRPr="00FB0C25">
        <w:rPr>
          <w:rFonts w:ascii="Arial" w:hAnsi="Arial" w:cs="Arial"/>
          <w:b/>
          <w:bCs/>
          <w:sz w:val="24"/>
          <w:vertAlign w:val="superscript"/>
        </w:rPr>
        <w:t>th</w:t>
      </w:r>
      <w:r w:rsidR="00C00997" w:rsidRPr="00C00997">
        <w:rPr>
          <w:rFonts w:ascii="Arial" w:hAnsi="Arial" w:cs="Arial"/>
          <w:b/>
          <w:bCs/>
          <w:sz w:val="24"/>
        </w:rPr>
        <w:t>, 20</w:t>
      </w:r>
      <w:r w:rsidR="009E43C5">
        <w:rPr>
          <w:rFonts w:ascii="Arial" w:hAnsi="Arial" w:cs="Arial"/>
          <w:b/>
          <w:bCs/>
          <w:sz w:val="24"/>
        </w:rPr>
        <w:t>2</w:t>
      </w:r>
      <w:r w:rsidR="00AC70DF">
        <w:rPr>
          <w:rFonts w:ascii="Arial" w:hAnsi="Arial" w:cs="Arial"/>
          <w:b/>
          <w:bCs/>
          <w:sz w:val="24"/>
        </w:rPr>
        <w:t>1</w:t>
      </w:r>
    </w:p>
    <w:p w14:paraId="0656168E" w14:textId="77777777" w:rsidR="004607C3" w:rsidRPr="00A2299C" w:rsidRDefault="004607C3" w:rsidP="00A23578">
      <w:pPr>
        <w:rPr>
          <w:rFonts w:ascii="Arial" w:hAnsi="Arial" w:cs="Arial"/>
          <w:sz w:val="22"/>
        </w:rPr>
      </w:pPr>
    </w:p>
    <w:p w14:paraId="2FABF9AA" w14:textId="61299934"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AD041A">
        <w:rPr>
          <w:rFonts w:ascii="Arial" w:hAnsi="Arial" w:cs="Arial"/>
          <w:b/>
          <w:sz w:val="22"/>
        </w:rPr>
        <w:t>8.1.1</w:t>
      </w:r>
    </w:p>
    <w:p w14:paraId="7395AB72" w14:textId="1E4A4931"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EA75A4" w:rsidRPr="00EA75A4">
        <w:rPr>
          <w:rFonts w:ascii="Arial" w:hAnsi="Arial" w:cs="Arial"/>
          <w:b/>
          <w:sz w:val="22"/>
        </w:rPr>
        <w:t>Enhancements on Multi-beam Operation</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026A098E" w:rsidR="004607C3" w:rsidRPr="000D37D3" w:rsidRDefault="005D20F1" w:rsidP="00FD520A">
      <w:pPr>
        <w:pStyle w:val="Heading1"/>
      </w:pPr>
      <w:r w:rsidRPr="000D37D3">
        <w:t>Introduction</w:t>
      </w:r>
    </w:p>
    <w:p w14:paraId="50B0473D" w14:textId="37B6E981" w:rsidR="00C00997" w:rsidRDefault="00273ABF" w:rsidP="00705C2B">
      <w:pPr>
        <w:rPr>
          <w:rFonts w:eastAsia="Batang"/>
          <w:lang w:eastAsia="ko-KR"/>
        </w:rPr>
      </w:pPr>
      <w:r>
        <w:rPr>
          <w:rFonts w:eastAsia="Batang"/>
          <w:lang w:eastAsia="ko-KR"/>
        </w:rPr>
        <w:t xml:space="preserve">Rel-16 eMIMO introduced </w:t>
      </w:r>
      <w:r w:rsidR="003840BD">
        <w:rPr>
          <w:rFonts w:eastAsia="Batang"/>
          <w:lang w:eastAsia="ko-KR"/>
        </w:rPr>
        <w:t xml:space="preserve">various </w:t>
      </w:r>
      <w:r>
        <w:rPr>
          <w:rFonts w:eastAsia="Batang"/>
          <w:lang w:eastAsia="ko-KR"/>
        </w:rPr>
        <w:t>enhancements for multi-</w:t>
      </w:r>
      <w:r w:rsidR="003840BD">
        <w:rPr>
          <w:rFonts w:eastAsia="Batang"/>
          <w:lang w:eastAsia="ko-KR"/>
        </w:rPr>
        <w:t>beam operation</w:t>
      </w:r>
      <w:r>
        <w:rPr>
          <w:rFonts w:eastAsia="Batang"/>
          <w:lang w:eastAsia="ko-KR"/>
        </w:rPr>
        <w:t xml:space="preserve">. Rel-17 FeMIMO WI </w:t>
      </w:r>
      <w:r w:rsidR="003840BD">
        <w:rPr>
          <w:rFonts w:eastAsia="Batang"/>
          <w:lang w:eastAsia="ko-KR"/>
        </w:rPr>
        <w:t>further enhance</w:t>
      </w:r>
      <w:r w:rsidR="00E869AF">
        <w:rPr>
          <w:rFonts w:eastAsia="Batang"/>
          <w:lang w:eastAsia="ko-KR"/>
        </w:rPr>
        <w:t>s</w:t>
      </w:r>
      <w:r>
        <w:rPr>
          <w:rFonts w:eastAsia="Batang"/>
          <w:lang w:eastAsia="ko-KR"/>
        </w:rPr>
        <w:t xml:space="preserve"> </w:t>
      </w:r>
      <w:r w:rsidR="003840BD">
        <w:rPr>
          <w:rFonts w:eastAsia="Batang"/>
          <w:lang w:eastAsia="ko-KR"/>
        </w:rPr>
        <w:t xml:space="preserve">the multi-beam operation </w:t>
      </w:r>
      <w:r w:rsidR="005362C5">
        <w:rPr>
          <w:rFonts w:eastAsia="Batang"/>
          <w:lang w:eastAsia="ko-KR"/>
        </w:rPr>
        <w:fldChar w:fldCharType="begin"/>
      </w:r>
      <w:r w:rsidR="005362C5">
        <w:rPr>
          <w:rFonts w:eastAsia="Batang"/>
          <w:lang w:eastAsia="ko-KR"/>
        </w:rPr>
        <w:instrText xml:space="preserve"> REF _Ref47472804 \n \h </w:instrText>
      </w:r>
      <w:r w:rsidR="005362C5">
        <w:rPr>
          <w:rFonts w:eastAsia="Batang"/>
          <w:lang w:eastAsia="ko-KR"/>
        </w:rPr>
      </w:r>
      <w:r w:rsidR="005362C5">
        <w:rPr>
          <w:rFonts w:eastAsia="Batang"/>
          <w:lang w:eastAsia="ko-KR"/>
        </w:rPr>
        <w:fldChar w:fldCharType="separate"/>
      </w:r>
      <w:r w:rsidR="005362C5">
        <w:rPr>
          <w:rFonts w:eastAsia="Batang"/>
          <w:lang w:eastAsia="ko-KR"/>
        </w:rPr>
        <w:t>[1]</w:t>
      </w:r>
      <w:r w:rsidR="005362C5">
        <w:rPr>
          <w:rFonts w:eastAsia="Batang"/>
          <w:lang w:eastAsia="ko-KR"/>
        </w:rPr>
        <w:fldChar w:fldCharType="end"/>
      </w:r>
      <w:r>
        <w:rPr>
          <w:rFonts w:eastAsia="Batang"/>
          <w:lang w:eastAsia="ko-KR"/>
        </w:rPr>
        <w:t>.</w:t>
      </w:r>
    </w:p>
    <w:tbl>
      <w:tblPr>
        <w:tblStyle w:val="TableGrid"/>
        <w:tblW w:w="0" w:type="auto"/>
        <w:tblLook w:val="04A0" w:firstRow="1" w:lastRow="0" w:firstColumn="1" w:lastColumn="0" w:noHBand="0" w:noVBand="1"/>
      </w:tblPr>
      <w:tblGrid>
        <w:gridCol w:w="9855"/>
      </w:tblGrid>
      <w:tr w:rsidR="00E654BD" w14:paraId="36243033" w14:textId="77777777" w:rsidTr="00E654BD">
        <w:tc>
          <w:tcPr>
            <w:tcW w:w="9855" w:type="dxa"/>
          </w:tcPr>
          <w:p w14:paraId="397F0999" w14:textId="77777777" w:rsidR="00BD302C" w:rsidRDefault="00BD302C" w:rsidP="00B46F66">
            <w:pPr>
              <w:numPr>
                <w:ilvl w:val="0"/>
                <w:numId w:val="9"/>
              </w:numPr>
              <w:overflowPunct w:val="0"/>
              <w:autoSpaceDE w:val="0"/>
              <w:autoSpaceDN w:val="0"/>
              <w:adjustRightInd w:val="0"/>
              <w:snapToGrid w:val="0"/>
              <w:spacing w:after="120"/>
              <w:ind w:right="-99"/>
              <w:jc w:val="left"/>
              <w:rPr>
                <w:color w:val="000000"/>
                <w:lang w:eastAsia="ko-KR"/>
              </w:rPr>
            </w:pPr>
            <w:r w:rsidRPr="00401C76">
              <w:rPr>
                <w:color w:val="000000"/>
                <w:lang w:eastAsia="ko-KR"/>
              </w:rPr>
              <w:t>Extend specification support in the following areas [RAN1]</w:t>
            </w:r>
          </w:p>
          <w:p w14:paraId="73D08E79" w14:textId="77777777" w:rsidR="00D736EC" w:rsidRPr="0051690F" w:rsidRDefault="00D736EC" w:rsidP="00D736EC">
            <w:pPr>
              <w:pStyle w:val="ListParagraph"/>
              <w:numPr>
                <w:ilvl w:val="0"/>
                <w:numId w:val="12"/>
              </w:numPr>
              <w:spacing w:before="0" w:line="240" w:lineRule="auto"/>
            </w:pPr>
            <w:r w:rsidRPr="0051690F">
              <w:t xml:space="preserve">Enhancement on multi-beam operation, mainly targeting FR2 while also applicable to FR1: </w:t>
            </w:r>
          </w:p>
          <w:p w14:paraId="22F6BCF5" w14:textId="77777777" w:rsidR="00D736EC" w:rsidRPr="0051690F" w:rsidRDefault="00D736EC" w:rsidP="00D736EC">
            <w:pPr>
              <w:pStyle w:val="ListParagraph"/>
              <w:numPr>
                <w:ilvl w:val="1"/>
                <w:numId w:val="12"/>
              </w:numPr>
              <w:spacing w:before="0" w:line="240" w:lineRule="auto"/>
            </w:pPr>
            <w:r w:rsidRPr="0051690F">
              <w:t>Identify and specify features to facilitate more efficient (lower latency and overhead) DL/UL beam management to support higher intra- and L1/L2-centric inter-cell mobility and/or a larger number of configured TCI states:</w:t>
            </w:r>
          </w:p>
          <w:p w14:paraId="6EBBC65D" w14:textId="77777777" w:rsidR="00D736EC" w:rsidRPr="0051690F" w:rsidRDefault="00D736EC" w:rsidP="00D736EC">
            <w:pPr>
              <w:pStyle w:val="ListParagraph"/>
              <w:numPr>
                <w:ilvl w:val="2"/>
                <w:numId w:val="12"/>
              </w:numPr>
              <w:spacing w:before="0" w:line="240" w:lineRule="auto"/>
            </w:pPr>
            <w:r>
              <w:t>C</w:t>
            </w:r>
            <w:r w:rsidRPr="0051690F">
              <w:t>ommon beam for data and control transmission/reception for DL and UL, especially for intra-band CA</w:t>
            </w:r>
          </w:p>
          <w:p w14:paraId="34B5C2F0" w14:textId="77777777" w:rsidR="00D736EC" w:rsidRPr="0051690F" w:rsidRDefault="00D736EC" w:rsidP="00D736EC">
            <w:pPr>
              <w:pStyle w:val="ListParagraph"/>
              <w:numPr>
                <w:ilvl w:val="2"/>
                <w:numId w:val="12"/>
              </w:numPr>
              <w:spacing w:before="0" w:line="240" w:lineRule="auto"/>
            </w:pPr>
            <w:r w:rsidRPr="0051690F">
              <w:t>Unified TCI framework for DL</w:t>
            </w:r>
            <w:r>
              <w:t xml:space="preserve"> and </w:t>
            </w:r>
            <w:r w:rsidRPr="0051690F">
              <w:t>UL beam indication</w:t>
            </w:r>
          </w:p>
          <w:p w14:paraId="3C04536B" w14:textId="77777777" w:rsidR="00D736EC" w:rsidRPr="0051690F" w:rsidRDefault="00D736EC" w:rsidP="00D736EC">
            <w:pPr>
              <w:pStyle w:val="ListParagraph"/>
              <w:numPr>
                <w:ilvl w:val="2"/>
                <w:numId w:val="12"/>
              </w:numPr>
              <w:spacing w:before="0" w:line="240" w:lineRule="auto"/>
            </w:pPr>
            <w:r w:rsidRPr="0051690F">
              <w:t>Enhancement on signaling mechanisms for the above features to improve latency and efficiency</w:t>
            </w:r>
            <w:r>
              <w:t xml:space="preserve"> with</w:t>
            </w:r>
            <w:r w:rsidRPr="0051690F">
              <w:t xml:space="preserve"> more usage of </w:t>
            </w:r>
            <w:r>
              <w:t xml:space="preserve">dynamic </w:t>
            </w:r>
            <w:r w:rsidRPr="0051690F">
              <w:t>control signaling (as opposed to RRC)</w:t>
            </w:r>
          </w:p>
          <w:p w14:paraId="4C4CB763" w14:textId="4803C794" w:rsidR="00E654BD" w:rsidRPr="00712B4E" w:rsidRDefault="00D736EC" w:rsidP="00D736EC">
            <w:pPr>
              <w:pStyle w:val="ListParagraph"/>
              <w:numPr>
                <w:ilvl w:val="1"/>
                <w:numId w:val="12"/>
              </w:numPr>
              <w:spacing w:before="0" w:line="240" w:lineRule="auto"/>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tc>
      </w:tr>
    </w:tbl>
    <w:p w14:paraId="76C70D2E" w14:textId="67CC1B8D" w:rsidR="00C70E00" w:rsidRDefault="00B65E0E" w:rsidP="00C70E00">
      <w:pPr>
        <w:pStyle w:val="Heading1"/>
      </w:pPr>
      <w:r>
        <w:t>Discussion</w:t>
      </w:r>
    </w:p>
    <w:p w14:paraId="60D255E5" w14:textId="02EA21FC" w:rsidR="00313AC7" w:rsidRDefault="002D3345" w:rsidP="00313AC7">
      <w:pPr>
        <w:pStyle w:val="Heading2"/>
        <w:spacing w:before="0"/>
      </w:pPr>
      <w:r>
        <w:t xml:space="preserve">2.1 </w:t>
      </w:r>
      <w:r w:rsidR="0016320C">
        <w:t>Unified TCI and Common Beam Operation</w:t>
      </w:r>
    </w:p>
    <w:p w14:paraId="561DE5FB" w14:textId="77777777" w:rsidR="0086719F" w:rsidRDefault="0086719F" w:rsidP="0086719F">
      <w:pPr>
        <w:rPr>
          <w:rFonts w:eastAsia="Batang"/>
          <w:lang w:val="en-US" w:eastAsia="ko-KR"/>
        </w:rPr>
      </w:pPr>
      <w:r>
        <w:rPr>
          <w:rFonts w:eastAsia="Batang"/>
          <w:lang w:val="en-US" w:eastAsia="ko-KR"/>
        </w:rPr>
        <w:t>In RAN1#106-e, the following was agreed.</w:t>
      </w:r>
    </w:p>
    <w:tbl>
      <w:tblPr>
        <w:tblStyle w:val="TableGrid"/>
        <w:tblW w:w="0" w:type="auto"/>
        <w:tblLook w:val="04A0" w:firstRow="1" w:lastRow="0" w:firstColumn="1" w:lastColumn="0" w:noHBand="0" w:noVBand="1"/>
      </w:tblPr>
      <w:tblGrid>
        <w:gridCol w:w="9855"/>
      </w:tblGrid>
      <w:tr w:rsidR="0086719F" w14:paraId="63800ADA" w14:textId="77777777" w:rsidTr="00A75FC6">
        <w:tc>
          <w:tcPr>
            <w:tcW w:w="9855" w:type="dxa"/>
          </w:tcPr>
          <w:p w14:paraId="498BF87F" w14:textId="77777777" w:rsidR="00042232" w:rsidRPr="00080283" w:rsidRDefault="00042232" w:rsidP="00042232">
            <w:pPr>
              <w:snapToGrid w:val="0"/>
              <w:rPr>
                <w:highlight w:val="green"/>
              </w:rPr>
            </w:pPr>
            <w:r w:rsidRPr="00080283">
              <w:rPr>
                <w:b/>
                <w:highlight w:val="green"/>
              </w:rPr>
              <w:t>Agreement</w:t>
            </w:r>
          </w:p>
          <w:p w14:paraId="19C8F688" w14:textId="77777777" w:rsidR="00042232" w:rsidRDefault="00042232" w:rsidP="00042232">
            <w:pPr>
              <w:snapToGrid w:val="0"/>
            </w:pPr>
            <w:r>
              <w:t xml:space="preserve">On Rel.17 unified TCI framework, for Rel-17 unified TCI, the largest number of configured TCI states is given as follows (following Rel-15/16 principles): </w:t>
            </w:r>
          </w:p>
          <w:p w14:paraId="4DA68371" w14:textId="77777777" w:rsidR="00042232" w:rsidRDefault="00042232" w:rsidP="00042232">
            <w:pPr>
              <w:numPr>
                <w:ilvl w:val="0"/>
                <w:numId w:val="46"/>
              </w:numPr>
              <w:snapToGrid w:val="0"/>
            </w:pPr>
            <w:r>
              <w:t>When a UE is configured with joint DL/UL TCI: the largest number of configured TCI states for joint DL/UL TCI state update is 128 per BWP per CC</w:t>
            </w:r>
          </w:p>
          <w:p w14:paraId="080D5D32" w14:textId="77777777" w:rsidR="00042232" w:rsidRPr="005747FA" w:rsidRDefault="00042232" w:rsidP="00042232">
            <w:pPr>
              <w:numPr>
                <w:ilvl w:val="0"/>
                <w:numId w:val="46"/>
              </w:numPr>
              <w:snapToGrid w:val="0"/>
            </w:pPr>
            <w:r w:rsidRPr="005747FA">
              <w:t>Further discuss and decide in RAN1#106bis-e when a UE is configured with separate DL/UL TCI</w:t>
            </w:r>
          </w:p>
          <w:p w14:paraId="1E7E0484" w14:textId="77777777" w:rsidR="0086719F" w:rsidRDefault="0086719F" w:rsidP="00A75FC6">
            <w:pPr>
              <w:autoSpaceDE w:val="0"/>
              <w:autoSpaceDN w:val="0"/>
              <w:snapToGrid w:val="0"/>
              <w:rPr>
                <w:rFonts w:eastAsia="Batang"/>
              </w:rPr>
            </w:pPr>
          </w:p>
        </w:tc>
      </w:tr>
    </w:tbl>
    <w:p w14:paraId="57420C9E" w14:textId="746005EE" w:rsidR="005F216B" w:rsidRDefault="009E0CF4" w:rsidP="008832BB">
      <w:pPr>
        <w:rPr>
          <w:rFonts w:eastAsia="Batang"/>
          <w:lang w:val="en-US" w:eastAsia="ko-KR"/>
        </w:rPr>
      </w:pPr>
      <w:r>
        <w:rPr>
          <w:rFonts w:eastAsia="Batang"/>
          <w:lang w:val="en-US" w:eastAsia="ko-KR"/>
        </w:rPr>
        <w:t>The most attractive</w:t>
      </w:r>
      <w:r w:rsidR="00466EF0">
        <w:rPr>
          <w:rFonts w:eastAsia="Batang"/>
          <w:lang w:val="en-US" w:eastAsia="ko-KR"/>
        </w:rPr>
        <w:t xml:space="preserve"> (efficient)</w:t>
      </w:r>
      <w:r>
        <w:rPr>
          <w:rFonts w:eastAsia="Batang"/>
          <w:lang w:val="en-US" w:eastAsia="ko-KR"/>
        </w:rPr>
        <w:t xml:space="preserve"> mode of common beam operation is the </w:t>
      </w:r>
      <w:r w:rsidR="00994C8F">
        <w:rPr>
          <w:rFonts w:eastAsia="Batang"/>
          <w:lang w:val="en-US" w:eastAsia="ko-KR"/>
        </w:rPr>
        <w:t xml:space="preserve">use of the same </w:t>
      </w:r>
      <w:r w:rsidR="008265BA">
        <w:rPr>
          <w:rFonts w:eastAsia="Batang"/>
          <w:lang w:val="en-US" w:eastAsia="ko-KR"/>
        </w:rPr>
        <w:t>common</w:t>
      </w:r>
      <w:r>
        <w:rPr>
          <w:rFonts w:eastAsia="Batang"/>
          <w:lang w:val="en-US" w:eastAsia="ko-KR"/>
        </w:rPr>
        <w:t xml:space="preserve"> beam for </w:t>
      </w:r>
      <w:r w:rsidR="008265BA">
        <w:rPr>
          <w:rFonts w:eastAsia="Batang"/>
          <w:lang w:val="en-US" w:eastAsia="ko-KR"/>
        </w:rPr>
        <w:t xml:space="preserve">both </w:t>
      </w:r>
      <w:r>
        <w:rPr>
          <w:rFonts w:eastAsia="Batang"/>
          <w:lang w:val="en-US" w:eastAsia="ko-KR"/>
        </w:rPr>
        <w:t>DL and UL. For example, DL control</w:t>
      </w:r>
      <w:r w:rsidR="000F2BAC">
        <w:rPr>
          <w:rFonts w:eastAsia="Batang"/>
          <w:lang w:val="en-US" w:eastAsia="ko-KR"/>
        </w:rPr>
        <w:t xml:space="preserve"> and</w:t>
      </w:r>
      <w:r>
        <w:rPr>
          <w:rFonts w:eastAsia="Batang"/>
          <w:lang w:val="en-US" w:eastAsia="ko-KR"/>
        </w:rPr>
        <w:t xml:space="preserve"> data </w:t>
      </w:r>
      <w:r w:rsidR="000F2BAC">
        <w:rPr>
          <w:rFonts w:eastAsia="Batang"/>
          <w:lang w:val="en-US" w:eastAsia="ko-KR"/>
        </w:rPr>
        <w:t xml:space="preserve">channels </w:t>
      </w:r>
      <w:r>
        <w:rPr>
          <w:rFonts w:eastAsia="Batang"/>
          <w:lang w:val="en-US" w:eastAsia="ko-KR"/>
        </w:rPr>
        <w:t xml:space="preserve">and </w:t>
      </w:r>
      <w:r w:rsidR="000F2BAC">
        <w:rPr>
          <w:rFonts w:eastAsia="Batang"/>
          <w:lang w:val="en-US" w:eastAsia="ko-KR"/>
        </w:rPr>
        <w:t xml:space="preserve">their </w:t>
      </w:r>
      <w:r>
        <w:rPr>
          <w:rFonts w:eastAsia="Batang"/>
          <w:lang w:val="en-US" w:eastAsia="ko-KR"/>
        </w:rPr>
        <w:t xml:space="preserve">associated </w:t>
      </w:r>
      <w:r w:rsidR="00C113F6">
        <w:rPr>
          <w:rFonts w:eastAsia="Batang"/>
          <w:lang w:val="en-US" w:eastAsia="ko-KR"/>
        </w:rPr>
        <w:t xml:space="preserve">reference </w:t>
      </w:r>
      <w:r>
        <w:rPr>
          <w:rFonts w:eastAsia="Batang"/>
          <w:lang w:val="en-US" w:eastAsia="ko-KR"/>
        </w:rPr>
        <w:t xml:space="preserve">signals as well as UL control and data </w:t>
      </w:r>
      <w:r w:rsidR="000F2BAC">
        <w:rPr>
          <w:rFonts w:eastAsia="Batang"/>
          <w:lang w:val="en-US" w:eastAsia="ko-KR"/>
        </w:rPr>
        <w:t xml:space="preserve">channels </w:t>
      </w:r>
      <w:r>
        <w:rPr>
          <w:rFonts w:eastAsia="Batang"/>
          <w:lang w:val="en-US" w:eastAsia="ko-KR"/>
        </w:rPr>
        <w:t xml:space="preserve">and </w:t>
      </w:r>
      <w:r w:rsidR="000F2BAC">
        <w:rPr>
          <w:rFonts w:eastAsia="Batang"/>
          <w:lang w:val="en-US" w:eastAsia="ko-KR"/>
        </w:rPr>
        <w:t xml:space="preserve">their </w:t>
      </w:r>
      <w:r>
        <w:rPr>
          <w:rFonts w:eastAsia="Batang"/>
          <w:lang w:val="en-US" w:eastAsia="ko-KR"/>
        </w:rPr>
        <w:t xml:space="preserve">associated </w:t>
      </w:r>
      <w:r w:rsidR="00C113F6">
        <w:rPr>
          <w:rFonts w:eastAsia="Batang"/>
          <w:lang w:val="en-US" w:eastAsia="ko-KR"/>
        </w:rPr>
        <w:t xml:space="preserve">reference </w:t>
      </w:r>
      <w:r>
        <w:rPr>
          <w:rFonts w:eastAsia="Batang"/>
          <w:lang w:val="en-US" w:eastAsia="ko-KR"/>
        </w:rPr>
        <w:t xml:space="preserve">signals use the same CSI-RS resource as spatial source/reference. A beam switch of all those DL/UL channels/signals could potentially be achieved with a single TCI state </w:t>
      </w:r>
      <w:r w:rsidR="002C554E">
        <w:rPr>
          <w:rFonts w:eastAsia="Batang"/>
          <w:lang w:val="en-US" w:eastAsia="ko-KR"/>
        </w:rPr>
        <w:t>update</w:t>
      </w:r>
      <w:r w:rsidR="008265BA">
        <w:rPr>
          <w:rFonts w:eastAsia="Batang"/>
          <w:lang w:val="en-US" w:eastAsia="ko-KR"/>
        </w:rPr>
        <w:t>, with low latency and overhead.</w:t>
      </w:r>
    </w:p>
    <w:p w14:paraId="0F848D3F" w14:textId="77777777" w:rsidR="002C554E" w:rsidRDefault="00994C8F" w:rsidP="008832BB">
      <w:pPr>
        <w:rPr>
          <w:rFonts w:eastAsia="Batang"/>
          <w:lang w:val="en-US" w:eastAsia="ko-KR"/>
        </w:rPr>
      </w:pPr>
      <w:r>
        <w:rPr>
          <w:rFonts w:eastAsia="Batang"/>
          <w:lang w:val="en-US" w:eastAsia="ko-KR"/>
        </w:rPr>
        <w:t>On the other hand, i</w:t>
      </w:r>
      <w:r w:rsidR="00004BBC">
        <w:rPr>
          <w:rFonts w:eastAsia="Batang"/>
          <w:lang w:val="en-US" w:eastAsia="ko-KR"/>
        </w:rPr>
        <w:t xml:space="preserve">t should also be possible to activate different TCI states for UL and DL, which </w:t>
      </w:r>
      <w:r>
        <w:rPr>
          <w:rFonts w:eastAsia="Batang"/>
          <w:lang w:val="en-US" w:eastAsia="ko-KR"/>
        </w:rPr>
        <w:t xml:space="preserve">for instance </w:t>
      </w:r>
      <w:r w:rsidR="00004BBC">
        <w:rPr>
          <w:rFonts w:eastAsia="Batang"/>
          <w:lang w:val="en-US" w:eastAsia="ko-KR"/>
        </w:rPr>
        <w:t xml:space="preserve">may be useful in heterogeneous networks and during MPE events. </w:t>
      </w:r>
      <w:r w:rsidR="002C554E">
        <w:rPr>
          <w:rFonts w:eastAsia="Batang"/>
          <w:lang w:val="en-US" w:eastAsia="ko-KR"/>
        </w:rPr>
        <w:t xml:space="preserve">However, such operation with different TCI states for UL and DL is the exception, while common beam operation for UL and DL is the more common situation. Enhancements should therefore be optimized for joint UL/DL beam indication, while still supporting separate indications. </w:t>
      </w:r>
    </w:p>
    <w:p w14:paraId="0993280E" w14:textId="49F2A7A3" w:rsidR="0064198D" w:rsidRDefault="002C554E" w:rsidP="008832BB">
      <w:pPr>
        <w:rPr>
          <w:rFonts w:eastAsia="Batang"/>
          <w:lang w:val="en-US" w:eastAsia="ko-KR"/>
        </w:rPr>
      </w:pPr>
      <w:r>
        <w:rPr>
          <w:rFonts w:eastAsia="Batang"/>
          <w:lang w:val="en-US" w:eastAsia="ko-KR"/>
        </w:rPr>
        <w:t>Note that separate UL/DL beam indication could be used by the network during a time period, e.g. during an MPE event, and joint UL/DL beam indication could be used during other periods. F</w:t>
      </w:r>
      <w:r w:rsidR="00004BBC">
        <w:rPr>
          <w:rFonts w:eastAsia="Batang"/>
          <w:lang w:val="en-US" w:eastAsia="ko-KR"/>
        </w:rPr>
        <w:t>rom a configuration overhead perspective</w:t>
      </w:r>
      <w:r>
        <w:rPr>
          <w:rFonts w:eastAsia="Batang"/>
          <w:lang w:val="en-US" w:eastAsia="ko-KR"/>
        </w:rPr>
        <w:t>, it is most efficient</w:t>
      </w:r>
      <w:r w:rsidR="00004BBC">
        <w:rPr>
          <w:rFonts w:eastAsia="Batang"/>
          <w:lang w:val="en-US" w:eastAsia="ko-KR"/>
        </w:rPr>
        <w:t xml:space="preserve"> to use the same TCI </w:t>
      </w:r>
      <w:r w:rsidR="00703E09">
        <w:rPr>
          <w:rFonts w:eastAsia="Batang"/>
          <w:lang w:val="en-US" w:eastAsia="ko-KR"/>
        </w:rPr>
        <w:t xml:space="preserve">state </w:t>
      </w:r>
      <w:r w:rsidR="00004BBC">
        <w:rPr>
          <w:rFonts w:eastAsia="Batang"/>
          <w:lang w:val="en-US" w:eastAsia="ko-KR"/>
        </w:rPr>
        <w:t xml:space="preserve">pool for joint and separate UL/DL beam indication. </w:t>
      </w:r>
    </w:p>
    <w:p w14:paraId="3F7175C8" w14:textId="0B1AF586" w:rsidR="00D7655F" w:rsidRDefault="001208C7" w:rsidP="008832BB">
      <w:pPr>
        <w:rPr>
          <w:rFonts w:eastAsia="Batang"/>
          <w:lang w:val="en-US" w:eastAsia="ko-KR"/>
        </w:rPr>
      </w:pPr>
      <w:r>
        <w:rPr>
          <w:rFonts w:eastAsia="Batang"/>
          <w:lang w:val="en-US" w:eastAsia="ko-KR"/>
        </w:rPr>
        <w:t>It was agreed that at least for joint DL/UL TCI, t</w:t>
      </w:r>
      <w:r w:rsidR="002360E3">
        <w:rPr>
          <w:rFonts w:eastAsia="Batang"/>
          <w:lang w:val="en-US" w:eastAsia="ko-KR"/>
        </w:rPr>
        <w:t xml:space="preserve">he UL </w:t>
      </w:r>
      <w:r w:rsidR="00F92BF4">
        <w:rPr>
          <w:rFonts w:eastAsia="Batang"/>
          <w:lang w:val="en-US" w:eastAsia="ko-KR"/>
        </w:rPr>
        <w:t xml:space="preserve">TX </w:t>
      </w:r>
      <w:r w:rsidR="002360E3">
        <w:rPr>
          <w:rFonts w:eastAsia="Batang"/>
          <w:lang w:val="en-US" w:eastAsia="ko-KR"/>
        </w:rPr>
        <w:t>beam c</w:t>
      </w:r>
      <w:r w:rsidR="00703E09">
        <w:rPr>
          <w:rFonts w:eastAsia="Batang"/>
          <w:lang w:val="en-US" w:eastAsia="ko-KR"/>
        </w:rPr>
        <w:t>ould</w:t>
      </w:r>
      <w:r w:rsidR="002360E3">
        <w:rPr>
          <w:rFonts w:eastAsia="Batang"/>
          <w:lang w:val="en-US" w:eastAsia="ko-KR"/>
        </w:rPr>
        <w:t xml:space="preserve"> be determined from the source RS with QCL-TypeD in the TCI state.</w:t>
      </w:r>
      <w:r>
        <w:rPr>
          <w:rFonts w:eastAsia="Batang"/>
          <w:lang w:val="en-US" w:eastAsia="ko-KR"/>
        </w:rPr>
        <w:t xml:space="preserve"> </w:t>
      </w:r>
      <w:r w:rsidR="002C2489">
        <w:rPr>
          <w:rFonts w:eastAsia="Batang"/>
          <w:lang w:val="en-US" w:eastAsia="ko-KR"/>
        </w:rPr>
        <w:t>Since both DL and UL TCI can be determined from the same TCI state in the case of joint DL/UL TCI, it seems feasible to also determine a separate UL TCI from a TCI state in the same pool.</w:t>
      </w:r>
    </w:p>
    <w:p w14:paraId="05B47CDD" w14:textId="4AC2827C" w:rsidR="00213E51" w:rsidRPr="00004BBC" w:rsidRDefault="005F55FE" w:rsidP="00004BBC">
      <w:pPr>
        <w:ind w:left="990" w:hanging="990"/>
        <w:rPr>
          <w:rFonts w:eastAsia="Batang"/>
          <w:b/>
          <w:szCs w:val="22"/>
          <w:lang w:val="en-US" w:eastAsia="ko-KR"/>
        </w:rPr>
      </w:pPr>
      <w:r w:rsidRPr="00C826B7">
        <w:rPr>
          <w:rFonts w:eastAsia="Batang"/>
          <w:b/>
          <w:i/>
          <w:szCs w:val="22"/>
          <w:lang w:val="en-US" w:eastAsia="ko-KR"/>
        </w:rPr>
        <w:lastRenderedPageBreak/>
        <w:t xml:space="preserve">Proposal </w:t>
      </w:r>
      <w:r w:rsidR="00042232">
        <w:rPr>
          <w:rFonts w:eastAsia="Batang"/>
          <w:b/>
          <w:i/>
          <w:szCs w:val="22"/>
          <w:lang w:val="en-US" w:eastAsia="ko-KR"/>
        </w:rPr>
        <w:t>1</w:t>
      </w:r>
      <w:r w:rsidRPr="00C826B7">
        <w:rPr>
          <w:rFonts w:eastAsia="Batang"/>
          <w:b/>
          <w:i/>
          <w:szCs w:val="22"/>
          <w:lang w:val="en-US" w:eastAsia="ko-KR"/>
        </w:rPr>
        <w:t xml:space="preserve">: </w:t>
      </w:r>
      <w:r w:rsidR="0033471F">
        <w:rPr>
          <w:rFonts w:eastAsia="Batang"/>
          <w:b/>
          <w:iCs/>
          <w:szCs w:val="22"/>
          <w:lang w:val="en-US" w:eastAsia="ko-KR"/>
        </w:rPr>
        <w:t xml:space="preserve">For the case of </w:t>
      </w:r>
      <w:r w:rsidR="0033471F" w:rsidRPr="0033471F">
        <w:rPr>
          <w:rFonts w:eastAsia="Batang"/>
          <w:b/>
          <w:iCs/>
          <w:szCs w:val="22"/>
          <w:lang w:val="en-US" w:eastAsia="ko-KR"/>
        </w:rPr>
        <w:t>separate DL and UL TCI state update</w:t>
      </w:r>
      <w:r w:rsidR="0033471F">
        <w:rPr>
          <w:rFonts w:eastAsia="Batang"/>
          <w:b/>
          <w:iCs/>
          <w:szCs w:val="22"/>
          <w:lang w:val="en-US" w:eastAsia="ko-KR"/>
        </w:rPr>
        <w:t xml:space="preserve">, </w:t>
      </w:r>
      <w:r w:rsidR="0033471F" w:rsidRPr="0002575E">
        <w:rPr>
          <w:rFonts w:eastAsia="Batang"/>
          <w:b/>
          <w:iCs/>
          <w:szCs w:val="22"/>
          <w:lang w:val="en-US" w:eastAsia="ko-KR"/>
        </w:rPr>
        <w:t xml:space="preserve">the UL TCI state is taken from </w:t>
      </w:r>
      <w:r w:rsidR="0033471F">
        <w:rPr>
          <w:rFonts w:eastAsia="Batang"/>
          <w:b/>
          <w:iCs/>
          <w:szCs w:val="22"/>
          <w:lang w:val="en-US" w:eastAsia="ko-KR"/>
        </w:rPr>
        <w:t xml:space="preserve">the </w:t>
      </w:r>
      <w:r w:rsidR="0033471F" w:rsidRPr="0002575E">
        <w:rPr>
          <w:rFonts w:eastAsia="Batang"/>
          <w:b/>
          <w:iCs/>
          <w:szCs w:val="22"/>
          <w:lang w:val="en-US" w:eastAsia="ko-KR"/>
        </w:rPr>
        <w:t xml:space="preserve">same TCI state pool </w:t>
      </w:r>
      <w:r w:rsidR="0033471F">
        <w:rPr>
          <w:rFonts w:eastAsia="Batang"/>
          <w:b/>
          <w:iCs/>
          <w:szCs w:val="22"/>
          <w:lang w:val="en-US" w:eastAsia="ko-KR"/>
        </w:rPr>
        <w:t xml:space="preserve">as the </w:t>
      </w:r>
      <w:r w:rsidR="0033471F" w:rsidRPr="0002575E">
        <w:rPr>
          <w:rFonts w:eastAsia="Batang"/>
          <w:b/>
          <w:iCs/>
          <w:szCs w:val="22"/>
          <w:lang w:val="en-US" w:eastAsia="ko-KR"/>
        </w:rPr>
        <w:t>DL TCI state</w:t>
      </w:r>
      <w:r w:rsidR="0033471F">
        <w:rPr>
          <w:rFonts w:eastAsia="Batang"/>
          <w:b/>
          <w:iCs/>
          <w:szCs w:val="22"/>
          <w:lang w:val="en-US" w:eastAsia="ko-KR"/>
        </w:rPr>
        <w:t>.</w:t>
      </w:r>
      <w:r w:rsidR="00733FBD">
        <w:rPr>
          <w:rFonts w:eastAsia="Batang"/>
          <w:b/>
          <w:iCs/>
          <w:szCs w:val="22"/>
          <w:lang w:val="en-US" w:eastAsia="ko-KR"/>
        </w:rPr>
        <w:t xml:space="preserve"> If there are two RS</w:t>
      </w:r>
      <w:r w:rsidR="00C661E0">
        <w:rPr>
          <w:rFonts w:eastAsia="Batang"/>
          <w:b/>
          <w:iCs/>
          <w:szCs w:val="22"/>
          <w:lang w:val="en-US" w:eastAsia="ko-KR"/>
        </w:rPr>
        <w:t>s</w:t>
      </w:r>
      <w:r w:rsidR="00733FBD">
        <w:rPr>
          <w:rFonts w:eastAsia="Batang"/>
          <w:b/>
          <w:iCs/>
          <w:szCs w:val="22"/>
          <w:lang w:val="en-US" w:eastAsia="ko-KR"/>
        </w:rPr>
        <w:t xml:space="preserve"> in the DL TCI state, the RS with QCL typeD is used as UL spatial source RS.</w:t>
      </w:r>
    </w:p>
    <w:p w14:paraId="35DBFC46" w14:textId="4E2D8016" w:rsidR="00042232" w:rsidRDefault="00407482" w:rsidP="008832BB">
      <w:pPr>
        <w:rPr>
          <w:rFonts w:eastAsia="Batang"/>
          <w:lang w:val="en-US" w:eastAsia="ko-KR"/>
        </w:rPr>
      </w:pPr>
      <w:r>
        <w:rPr>
          <w:rFonts w:eastAsia="Batang"/>
          <w:lang w:val="en-US" w:eastAsia="ko-KR"/>
        </w:rPr>
        <w:t xml:space="preserve">It has been agreed that the switching between using joint DL/UL TCI and separate DL/UL TCI is done by RRC. It would be beneficial if a RRC switch between joint and separate would not require a reconfiguration of the TCI state pool(s). Instead, the </w:t>
      </w:r>
      <w:r w:rsidR="009F18A0">
        <w:rPr>
          <w:rFonts w:eastAsia="Batang"/>
          <w:lang w:val="en-US" w:eastAsia="ko-KR"/>
        </w:rPr>
        <w:t xml:space="preserve">configured </w:t>
      </w:r>
      <w:r>
        <w:rPr>
          <w:rFonts w:eastAsia="Batang"/>
          <w:lang w:val="en-US" w:eastAsia="ko-KR"/>
        </w:rPr>
        <w:t>TCI state pool(s) could be kept when switching, which could instead be based on another parameter.</w:t>
      </w:r>
    </w:p>
    <w:p w14:paraId="2A2DA9BF" w14:textId="60106155" w:rsidR="00407482" w:rsidRDefault="00407482" w:rsidP="008832BB">
      <w:pPr>
        <w:rPr>
          <w:rFonts w:eastAsia="Batang"/>
          <w:lang w:val="en-US" w:eastAsia="ko-KR"/>
        </w:rPr>
      </w:pPr>
      <w:r>
        <w:rPr>
          <w:rFonts w:eastAsia="Batang"/>
          <w:lang w:val="en-US" w:eastAsia="ko-KR"/>
        </w:rPr>
        <w:t xml:space="preserve">In the example of 128 </w:t>
      </w:r>
      <w:r w:rsidR="009F18A0">
        <w:rPr>
          <w:rFonts w:eastAsia="Batang"/>
          <w:lang w:val="en-US" w:eastAsia="ko-KR"/>
        </w:rPr>
        <w:t xml:space="preserve">configured </w:t>
      </w:r>
      <w:r>
        <w:rPr>
          <w:rFonts w:eastAsia="Batang"/>
          <w:lang w:val="en-US" w:eastAsia="ko-KR"/>
        </w:rPr>
        <w:t xml:space="preserve">TCI states for joint DL/UL TCI, each of those TCI states could be used to determine a separate DL TCI, if separate DL/UL TCI is configured. Similarly, assuming that the same TCI state pool </w:t>
      </w:r>
      <w:r w:rsidR="009F18A0">
        <w:rPr>
          <w:rFonts w:eastAsia="Batang"/>
          <w:lang w:val="en-US" w:eastAsia="ko-KR"/>
        </w:rPr>
        <w:t>can be</w:t>
      </w:r>
      <w:r>
        <w:rPr>
          <w:rFonts w:eastAsia="Batang"/>
          <w:lang w:val="en-US" w:eastAsia="ko-KR"/>
        </w:rPr>
        <w:t xml:space="preserve"> used for UL TCI, a separate UL TCI could be determined from each of the 128 TCI states. Hence, the same number of TCI states can be configured for both joint and separate DL/UL TCI.</w:t>
      </w:r>
    </w:p>
    <w:p w14:paraId="47CAB9D7" w14:textId="2C58305D" w:rsidR="00407482" w:rsidRPr="00C661E0" w:rsidRDefault="00407482" w:rsidP="00407482">
      <w:pPr>
        <w:ind w:left="990" w:hanging="990"/>
        <w:rPr>
          <w:rFonts w:eastAsia="Batang"/>
          <w:b/>
          <w:iCs/>
          <w:szCs w:val="22"/>
          <w:lang w:val="en-US" w:eastAsia="ko-KR"/>
        </w:rPr>
      </w:pPr>
      <w:r w:rsidRPr="00C826B7">
        <w:rPr>
          <w:rFonts w:eastAsia="Batang"/>
          <w:b/>
          <w:i/>
          <w:szCs w:val="22"/>
          <w:lang w:val="en-US" w:eastAsia="ko-KR"/>
        </w:rPr>
        <w:t xml:space="preserve">Proposal </w:t>
      </w:r>
      <w:r>
        <w:rPr>
          <w:rFonts w:eastAsia="Batang"/>
          <w:b/>
          <w:i/>
          <w:szCs w:val="22"/>
          <w:lang w:val="en-US" w:eastAsia="ko-KR"/>
        </w:rPr>
        <w:t>2</w:t>
      </w:r>
      <w:r w:rsidRPr="00C826B7">
        <w:rPr>
          <w:rFonts w:eastAsia="Batang"/>
          <w:b/>
          <w:i/>
          <w:szCs w:val="22"/>
          <w:lang w:val="en-US" w:eastAsia="ko-KR"/>
        </w:rPr>
        <w:t xml:space="preserve">: </w:t>
      </w:r>
      <w:r w:rsidR="006B7204" w:rsidRPr="006D363B">
        <w:rPr>
          <w:rFonts w:eastAsia="Batang"/>
          <w:b/>
          <w:iCs/>
          <w:szCs w:val="22"/>
          <w:lang w:val="en-US" w:eastAsia="ko-KR"/>
        </w:rPr>
        <w:t xml:space="preserve">When a UE is configured with </w:t>
      </w:r>
      <w:r w:rsidR="007308A7">
        <w:rPr>
          <w:rFonts w:eastAsia="Batang"/>
          <w:b/>
          <w:iCs/>
          <w:szCs w:val="22"/>
          <w:lang w:val="en-US" w:eastAsia="ko-KR"/>
        </w:rPr>
        <w:t>separate</w:t>
      </w:r>
      <w:r w:rsidR="006B7204" w:rsidRPr="006D363B">
        <w:rPr>
          <w:rFonts w:eastAsia="Batang"/>
          <w:b/>
          <w:iCs/>
          <w:szCs w:val="22"/>
          <w:lang w:val="en-US" w:eastAsia="ko-KR"/>
        </w:rPr>
        <w:t xml:space="preserve"> DL/UL TCI: </w:t>
      </w:r>
      <w:r w:rsidR="009F18A0" w:rsidRPr="006D363B">
        <w:rPr>
          <w:rFonts w:eastAsia="Batang"/>
          <w:b/>
          <w:iCs/>
          <w:szCs w:val="22"/>
          <w:lang w:val="en-US" w:eastAsia="ko-KR"/>
        </w:rPr>
        <w:t xml:space="preserve">the largest number of configured TCI states for DL TCI state update is 128 per BWP per CC, and the largest number of configured TCI states for UL TCI state update is </w:t>
      </w:r>
      <w:r w:rsidR="009F18A0">
        <w:rPr>
          <w:rFonts w:eastAsia="Batang"/>
          <w:b/>
          <w:iCs/>
          <w:szCs w:val="22"/>
          <w:lang w:val="en-US" w:eastAsia="ko-KR"/>
        </w:rPr>
        <w:t>128</w:t>
      </w:r>
      <w:r w:rsidR="009F18A0" w:rsidRPr="006D363B">
        <w:rPr>
          <w:rFonts w:eastAsia="Batang"/>
          <w:b/>
          <w:iCs/>
          <w:szCs w:val="22"/>
          <w:lang w:val="en-US" w:eastAsia="ko-KR"/>
        </w:rPr>
        <w:t xml:space="preserve"> per BWP per CC</w:t>
      </w:r>
      <w:r>
        <w:rPr>
          <w:rFonts w:eastAsia="Batang"/>
          <w:b/>
          <w:iCs/>
          <w:szCs w:val="22"/>
          <w:lang w:val="en-US" w:eastAsia="ko-KR"/>
        </w:rPr>
        <w:t>.</w:t>
      </w:r>
    </w:p>
    <w:p w14:paraId="1ED51B34" w14:textId="4D259828" w:rsidR="00407482" w:rsidRDefault="009F18A0" w:rsidP="008832BB">
      <w:pPr>
        <w:rPr>
          <w:rFonts w:eastAsia="Batang"/>
          <w:lang w:val="en-US" w:eastAsia="ko-KR"/>
        </w:rPr>
      </w:pPr>
      <w:r>
        <w:rPr>
          <w:rFonts w:eastAsia="Batang"/>
          <w:lang w:val="en-US" w:eastAsia="ko-KR"/>
        </w:rPr>
        <w:t>However, it might be more natural to determine these maximum numbers when RAN2 has made an agreement on same or different TCI state pool for separate DL/UL TCI</w:t>
      </w:r>
      <w:r w:rsidR="00FE7149">
        <w:rPr>
          <w:rFonts w:eastAsia="Batang"/>
          <w:lang w:val="en-US" w:eastAsia="ko-KR"/>
        </w:rPr>
        <w:t xml:space="preserve"> as for joint DL/UL TCI</w:t>
      </w:r>
      <w:r>
        <w:rPr>
          <w:rFonts w:eastAsia="Batang"/>
          <w:lang w:val="en-US" w:eastAsia="ko-KR"/>
        </w:rPr>
        <w:t>.</w:t>
      </w:r>
    </w:p>
    <w:p w14:paraId="70797FBC" w14:textId="22C2AE75" w:rsidR="002F50E7" w:rsidRDefault="002F50E7" w:rsidP="002F50E7">
      <w:pPr>
        <w:pStyle w:val="Heading2"/>
        <w:rPr>
          <w:rFonts w:eastAsia="Batang"/>
          <w:lang w:val="en-US" w:eastAsia="ko-KR"/>
        </w:rPr>
      </w:pPr>
      <w:r>
        <w:t>2.2 Dynamic TCI State Signaling</w:t>
      </w:r>
    </w:p>
    <w:p w14:paraId="36B84340" w14:textId="302B3CDA" w:rsidR="0008236B" w:rsidRDefault="0008236B" w:rsidP="0016380F">
      <w:pPr>
        <w:rPr>
          <w:rFonts w:cs="Times"/>
        </w:rPr>
      </w:pPr>
      <w:r>
        <w:rPr>
          <w:rFonts w:cs="Times"/>
        </w:rPr>
        <w:t xml:space="preserve">Upon beam measurement and reporting, the gNB may decide to update the beam for DL and/or UL. In some cases, this involves indicating the new beam in a DCI. In other cases, the new beam is not </w:t>
      </w:r>
      <w:r w:rsidR="00FE25A0">
        <w:rPr>
          <w:rFonts w:cs="Times"/>
        </w:rPr>
        <w:t xml:space="preserve">yet </w:t>
      </w:r>
      <w:r>
        <w:rPr>
          <w:rFonts w:cs="Times"/>
        </w:rPr>
        <w:t>mapped to a TCI codepoint. If so, the gNB first needs to activate a new set of TCIs using a MAC CE, wait</w:t>
      </w:r>
      <w:r w:rsidR="00FF45E4">
        <w:rPr>
          <w:rFonts w:cs="Times"/>
        </w:rPr>
        <w:t>s</w:t>
      </w:r>
      <w:r>
        <w:rPr>
          <w:rFonts w:cs="Times"/>
        </w:rPr>
        <w:t xml:space="preserve"> some time until the TCI has been activated, and finally indicate</w:t>
      </w:r>
      <w:r w:rsidR="00FF45E4">
        <w:rPr>
          <w:rFonts w:cs="Times"/>
        </w:rPr>
        <w:t>s</w:t>
      </w:r>
      <w:r>
        <w:rPr>
          <w:rFonts w:cs="Times"/>
        </w:rPr>
        <w:t xml:space="preserve"> it using a DCI. </w:t>
      </w:r>
      <w:r w:rsidR="0037416F">
        <w:rPr>
          <w:rFonts w:cs="Times"/>
        </w:rPr>
        <w:t xml:space="preserve">The last step could be avoided if </w:t>
      </w:r>
      <w:r w:rsidR="002418D1">
        <w:rPr>
          <w:rFonts w:cs="Times"/>
        </w:rPr>
        <w:t>the UE applies one of the newly activated TCI codepoints (e.g. lowest codepoint) directly upon activation, i.e. without DCI based indication. This speeds up beam application following MAC CE based activation, and also avoids the case of a deactivated TCI codepoint being applicable for CORESETs before a newly activated TCI codepoint is indicated in a DCI.</w:t>
      </w:r>
      <w:r w:rsidR="00BF084F">
        <w:rPr>
          <w:rFonts w:cs="Times"/>
        </w:rPr>
        <w:t xml:space="preserve"> Naturally, it’s up to gNB if it directly wants to indicate another TCI codepoint</w:t>
      </w:r>
      <w:r w:rsidR="009931E3" w:rsidRPr="009931E3">
        <w:rPr>
          <w:rFonts w:cs="Times"/>
        </w:rPr>
        <w:t xml:space="preserve"> </w:t>
      </w:r>
      <w:r w:rsidR="009931E3">
        <w:rPr>
          <w:rFonts w:cs="Times"/>
        </w:rPr>
        <w:t>after activation</w:t>
      </w:r>
      <w:r w:rsidR="00BF084F">
        <w:rPr>
          <w:rFonts w:cs="Times"/>
        </w:rPr>
        <w:t>, for example based on the most recent beam measurement and reporting.</w:t>
      </w:r>
    </w:p>
    <w:p w14:paraId="62DB22D5" w14:textId="61B0A4DD" w:rsidR="002418D1" w:rsidRPr="004C3F7D" w:rsidRDefault="002418D1" w:rsidP="002418D1">
      <w:pPr>
        <w:spacing w:before="0"/>
        <w:ind w:left="990" w:hanging="990"/>
        <w:rPr>
          <w:rFonts w:eastAsia="Batang"/>
          <w:b/>
          <w:szCs w:val="22"/>
          <w:lang w:val="en-US" w:eastAsia="ko-KR"/>
        </w:rPr>
      </w:pPr>
      <w:r w:rsidRPr="00C826B7">
        <w:rPr>
          <w:rFonts w:eastAsia="Batang"/>
          <w:b/>
          <w:i/>
          <w:szCs w:val="22"/>
          <w:lang w:val="en-US" w:eastAsia="ko-KR"/>
        </w:rPr>
        <w:t xml:space="preserve">Proposal </w:t>
      </w:r>
      <w:r w:rsidR="003644FE">
        <w:rPr>
          <w:rFonts w:eastAsia="Batang"/>
          <w:b/>
          <w:i/>
          <w:szCs w:val="22"/>
          <w:lang w:val="en-US" w:eastAsia="ko-KR"/>
        </w:rPr>
        <w:t>3</w:t>
      </w:r>
      <w:r w:rsidRPr="00C826B7">
        <w:rPr>
          <w:rFonts w:eastAsia="Batang"/>
          <w:b/>
          <w:i/>
          <w:szCs w:val="22"/>
          <w:lang w:val="en-US" w:eastAsia="ko-KR"/>
        </w:rPr>
        <w:t xml:space="preserve">: </w:t>
      </w:r>
      <w:r w:rsidRPr="002418D1">
        <w:rPr>
          <w:rFonts w:eastAsia="Batang"/>
          <w:b/>
          <w:iCs/>
          <w:szCs w:val="22"/>
          <w:lang w:val="en-US" w:eastAsia="ko-KR"/>
        </w:rPr>
        <w:t>When m</w:t>
      </w:r>
      <w:r w:rsidR="002C504A">
        <w:rPr>
          <w:rFonts w:eastAsia="Batang"/>
          <w:b/>
          <w:iCs/>
          <w:szCs w:val="22"/>
          <w:lang w:val="en-US" w:eastAsia="ko-KR"/>
        </w:rPr>
        <w:t>ultiple</w:t>
      </w:r>
      <w:r w:rsidRPr="002418D1">
        <w:rPr>
          <w:rFonts w:eastAsia="Batang"/>
          <w:b/>
          <w:iCs/>
          <w:szCs w:val="22"/>
          <w:lang w:val="en-US" w:eastAsia="ko-KR"/>
        </w:rPr>
        <w:t xml:space="preserve"> TCI codepoints are activated by MAC CE, the TCI state(s) for </w:t>
      </w:r>
      <w:r w:rsidR="00BF084F">
        <w:rPr>
          <w:rFonts w:eastAsia="Batang"/>
          <w:b/>
          <w:iCs/>
          <w:szCs w:val="22"/>
          <w:lang w:val="en-US" w:eastAsia="ko-KR"/>
        </w:rPr>
        <w:t xml:space="preserve">one of the </w:t>
      </w:r>
      <w:r w:rsidRPr="002418D1">
        <w:rPr>
          <w:rFonts w:eastAsia="Batang"/>
          <w:b/>
          <w:iCs/>
          <w:szCs w:val="22"/>
          <w:lang w:val="en-US" w:eastAsia="ko-KR"/>
        </w:rPr>
        <w:t>codepoint</w:t>
      </w:r>
      <w:r w:rsidR="00BF084F">
        <w:rPr>
          <w:rFonts w:eastAsia="Batang"/>
          <w:b/>
          <w:iCs/>
          <w:szCs w:val="22"/>
          <w:lang w:val="en-US" w:eastAsia="ko-KR"/>
        </w:rPr>
        <w:t>s</w:t>
      </w:r>
      <w:r w:rsidRPr="002418D1">
        <w:rPr>
          <w:rFonts w:eastAsia="Batang"/>
          <w:b/>
          <w:iCs/>
          <w:szCs w:val="22"/>
          <w:lang w:val="en-US" w:eastAsia="ko-KR"/>
        </w:rPr>
        <w:t xml:space="preserve"> is/are applied</w:t>
      </w:r>
      <w:r w:rsidR="00BF084F">
        <w:rPr>
          <w:rFonts w:eastAsia="Batang"/>
          <w:b/>
          <w:iCs/>
          <w:szCs w:val="22"/>
          <w:lang w:val="en-US" w:eastAsia="ko-KR"/>
        </w:rPr>
        <w:t xml:space="preserve"> directly upon activation</w:t>
      </w:r>
      <w:r>
        <w:rPr>
          <w:rFonts w:eastAsia="Batang"/>
          <w:b/>
          <w:iCs/>
          <w:szCs w:val="22"/>
          <w:lang w:val="en-US" w:eastAsia="ko-KR"/>
        </w:rPr>
        <w:t>.</w:t>
      </w:r>
    </w:p>
    <w:p w14:paraId="5C10EE21" w14:textId="469BC2C7" w:rsidR="00065F7D" w:rsidRDefault="005D20F1" w:rsidP="00C62BEE">
      <w:pPr>
        <w:pStyle w:val="Heading1"/>
        <w:spacing w:after="120"/>
      </w:pPr>
      <w:r w:rsidRPr="000D37D3">
        <w:t>Conclusion</w:t>
      </w:r>
    </w:p>
    <w:p w14:paraId="314C2368" w14:textId="73D37332" w:rsidR="002D3345" w:rsidRDefault="005D665C" w:rsidP="002020DF">
      <w:pPr>
        <w:rPr>
          <w:rFonts w:eastAsia="Batang"/>
          <w:bCs/>
          <w:iCs/>
          <w:lang w:val="en-US" w:eastAsia="ko-KR"/>
        </w:rPr>
      </w:pPr>
      <w:r w:rsidRPr="005D665C">
        <w:t xml:space="preserve">In this contribution, we considered aspects of </w:t>
      </w:r>
      <w:r w:rsidR="00320307">
        <w:t>multi-beam operation</w:t>
      </w:r>
      <w:r w:rsidRPr="005D665C">
        <w:t xml:space="preserve"> </w:t>
      </w:r>
      <w:r w:rsidR="00203BC3">
        <w:t>enhancement</w:t>
      </w:r>
      <w:r w:rsidRPr="005D665C">
        <w:t xml:space="preserve">. </w:t>
      </w:r>
      <w:r w:rsidRPr="002020DF">
        <w:rPr>
          <w:rFonts w:eastAsia="Batang"/>
          <w:lang w:val="en-US" w:eastAsia="ko-KR"/>
        </w:rPr>
        <w:t>W</w:t>
      </w:r>
      <w:r w:rsidR="002D3345" w:rsidRPr="002020DF">
        <w:rPr>
          <w:rFonts w:eastAsia="Batang"/>
          <w:lang w:val="en-US" w:eastAsia="ko-KR"/>
        </w:rPr>
        <w:t>e have the following proposals</w:t>
      </w:r>
      <w:r w:rsidR="002D3345" w:rsidRPr="002020DF">
        <w:rPr>
          <w:rFonts w:eastAsia="Batang"/>
          <w:bCs/>
          <w:iCs/>
          <w:lang w:val="en-US" w:eastAsia="ko-KR"/>
        </w:rPr>
        <w:t xml:space="preserve">: </w:t>
      </w:r>
    </w:p>
    <w:p w14:paraId="55D0FD08" w14:textId="44DA7DED" w:rsidR="003644FE" w:rsidRPr="00004BBC" w:rsidRDefault="003644FE" w:rsidP="003644FE">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w:t>
      </w:r>
      <w:r w:rsidRPr="00C826B7">
        <w:rPr>
          <w:rFonts w:eastAsia="Batang"/>
          <w:b/>
          <w:i/>
          <w:szCs w:val="22"/>
          <w:lang w:val="en-US" w:eastAsia="ko-KR"/>
        </w:rPr>
        <w:t xml:space="preserve">: </w:t>
      </w:r>
      <w:r>
        <w:rPr>
          <w:rFonts w:eastAsia="Batang"/>
          <w:b/>
          <w:iCs/>
          <w:szCs w:val="22"/>
          <w:lang w:val="en-US" w:eastAsia="ko-KR"/>
        </w:rPr>
        <w:t xml:space="preserve">For the case of </w:t>
      </w:r>
      <w:r w:rsidRPr="0033471F">
        <w:rPr>
          <w:rFonts w:eastAsia="Batang"/>
          <w:b/>
          <w:iCs/>
          <w:szCs w:val="22"/>
          <w:lang w:val="en-US" w:eastAsia="ko-KR"/>
        </w:rPr>
        <w:t>separate DL and UL TCI state update</w:t>
      </w:r>
      <w:r>
        <w:rPr>
          <w:rFonts w:eastAsia="Batang"/>
          <w:b/>
          <w:iCs/>
          <w:szCs w:val="22"/>
          <w:lang w:val="en-US" w:eastAsia="ko-KR"/>
        </w:rPr>
        <w:t xml:space="preserve">, </w:t>
      </w:r>
      <w:r w:rsidRPr="0002575E">
        <w:rPr>
          <w:rFonts w:eastAsia="Batang"/>
          <w:b/>
          <w:iCs/>
          <w:szCs w:val="22"/>
          <w:lang w:val="en-US" w:eastAsia="ko-KR"/>
        </w:rPr>
        <w:t xml:space="preserve">the UL TCI state is taken from </w:t>
      </w:r>
      <w:r>
        <w:rPr>
          <w:rFonts w:eastAsia="Batang"/>
          <w:b/>
          <w:iCs/>
          <w:szCs w:val="22"/>
          <w:lang w:val="en-US" w:eastAsia="ko-KR"/>
        </w:rPr>
        <w:t xml:space="preserve">the </w:t>
      </w:r>
      <w:r w:rsidRPr="0002575E">
        <w:rPr>
          <w:rFonts w:eastAsia="Batang"/>
          <w:b/>
          <w:iCs/>
          <w:szCs w:val="22"/>
          <w:lang w:val="en-US" w:eastAsia="ko-KR"/>
        </w:rPr>
        <w:t xml:space="preserve">same TCI state pool </w:t>
      </w:r>
      <w:r>
        <w:rPr>
          <w:rFonts w:eastAsia="Batang"/>
          <w:b/>
          <w:iCs/>
          <w:szCs w:val="22"/>
          <w:lang w:val="en-US" w:eastAsia="ko-KR"/>
        </w:rPr>
        <w:t xml:space="preserve">as the </w:t>
      </w:r>
      <w:r w:rsidRPr="0002575E">
        <w:rPr>
          <w:rFonts w:eastAsia="Batang"/>
          <w:b/>
          <w:iCs/>
          <w:szCs w:val="22"/>
          <w:lang w:val="en-US" w:eastAsia="ko-KR"/>
        </w:rPr>
        <w:t>DL TCI state</w:t>
      </w:r>
      <w:r>
        <w:rPr>
          <w:rFonts w:eastAsia="Batang"/>
          <w:b/>
          <w:iCs/>
          <w:szCs w:val="22"/>
          <w:lang w:val="en-US" w:eastAsia="ko-KR"/>
        </w:rPr>
        <w:t>. If there are two RS</w:t>
      </w:r>
      <w:r w:rsidR="00C661E0">
        <w:rPr>
          <w:rFonts w:eastAsia="Batang"/>
          <w:b/>
          <w:iCs/>
          <w:szCs w:val="22"/>
          <w:lang w:val="en-US" w:eastAsia="ko-KR"/>
        </w:rPr>
        <w:t>s</w:t>
      </w:r>
      <w:r>
        <w:rPr>
          <w:rFonts w:eastAsia="Batang"/>
          <w:b/>
          <w:iCs/>
          <w:szCs w:val="22"/>
          <w:lang w:val="en-US" w:eastAsia="ko-KR"/>
        </w:rPr>
        <w:t xml:space="preserve"> in the DL TCI state, the RS with QCL typeD is used as UL spatial source RS.</w:t>
      </w:r>
    </w:p>
    <w:p w14:paraId="776969D6" w14:textId="77777777" w:rsidR="003644FE" w:rsidRPr="00833592" w:rsidRDefault="003644FE" w:rsidP="003644FE">
      <w:pPr>
        <w:ind w:left="990" w:hanging="990"/>
        <w:rPr>
          <w:rFonts w:eastAsia="Batang"/>
          <w:b/>
          <w:iCs/>
          <w:szCs w:val="22"/>
          <w:lang w:val="en-US" w:eastAsia="ko-KR"/>
        </w:rPr>
      </w:pPr>
      <w:r w:rsidRPr="00C826B7">
        <w:rPr>
          <w:rFonts w:eastAsia="Batang"/>
          <w:b/>
          <w:i/>
          <w:szCs w:val="22"/>
          <w:lang w:val="en-US" w:eastAsia="ko-KR"/>
        </w:rPr>
        <w:t xml:space="preserve">Proposal </w:t>
      </w:r>
      <w:r>
        <w:rPr>
          <w:rFonts w:eastAsia="Batang"/>
          <w:b/>
          <w:i/>
          <w:szCs w:val="22"/>
          <w:lang w:val="en-US" w:eastAsia="ko-KR"/>
        </w:rPr>
        <w:t>2</w:t>
      </w:r>
      <w:r w:rsidRPr="00C826B7">
        <w:rPr>
          <w:rFonts w:eastAsia="Batang"/>
          <w:b/>
          <w:i/>
          <w:szCs w:val="22"/>
          <w:lang w:val="en-US" w:eastAsia="ko-KR"/>
        </w:rPr>
        <w:t xml:space="preserve">: </w:t>
      </w:r>
      <w:r w:rsidRPr="00833592">
        <w:rPr>
          <w:rFonts w:eastAsia="Batang"/>
          <w:b/>
          <w:iCs/>
          <w:szCs w:val="22"/>
          <w:lang w:val="en-US" w:eastAsia="ko-KR"/>
        </w:rPr>
        <w:t xml:space="preserve">When a UE is configured with </w:t>
      </w:r>
      <w:r>
        <w:rPr>
          <w:rFonts w:eastAsia="Batang"/>
          <w:b/>
          <w:iCs/>
          <w:szCs w:val="22"/>
          <w:lang w:val="en-US" w:eastAsia="ko-KR"/>
        </w:rPr>
        <w:t>separate</w:t>
      </w:r>
      <w:r w:rsidRPr="00833592">
        <w:rPr>
          <w:rFonts w:eastAsia="Batang"/>
          <w:b/>
          <w:iCs/>
          <w:szCs w:val="22"/>
          <w:lang w:val="en-US" w:eastAsia="ko-KR"/>
        </w:rPr>
        <w:t xml:space="preserve"> DL/UL TCI: the largest number of configured TCI states for DL TCI state update is 128 per BWP per CC, and the largest number of configured TCI states for UL TCI state update is </w:t>
      </w:r>
      <w:r>
        <w:rPr>
          <w:rFonts w:eastAsia="Batang"/>
          <w:b/>
          <w:iCs/>
          <w:szCs w:val="22"/>
          <w:lang w:val="en-US" w:eastAsia="ko-KR"/>
        </w:rPr>
        <w:t>128</w:t>
      </w:r>
      <w:r w:rsidRPr="00833592">
        <w:rPr>
          <w:rFonts w:eastAsia="Batang"/>
          <w:b/>
          <w:iCs/>
          <w:szCs w:val="22"/>
          <w:lang w:val="en-US" w:eastAsia="ko-KR"/>
        </w:rPr>
        <w:t xml:space="preserve"> per BWP per CC</w:t>
      </w:r>
      <w:r>
        <w:rPr>
          <w:rFonts w:eastAsia="Batang"/>
          <w:b/>
          <w:iCs/>
          <w:szCs w:val="22"/>
          <w:lang w:val="en-US" w:eastAsia="ko-KR"/>
        </w:rPr>
        <w:t>.</w:t>
      </w:r>
    </w:p>
    <w:p w14:paraId="11F742F9" w14:textId="77C002BB" w:rsidR="003644FE" w:rsidRPr="006D363B" w:rsidRDefault="003644FE" w:rsidP="006D363B">
      <w:pPr>
        <w:spacing w:before="0"/>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3</w:t>
      </w:r>
      <w:r w:rsidRPr="00C826B7">
        <w:rPr>
          <w:rFonts w:eastAsia="Batang"/>
          <w:b/>
          <w:i/>
          <w:szCs w:val="22"/>
          <w:lang w:val="en-US" w:eastAsia="ko-KR"/>
        </w:rPr>
        <w:t xml:space="preserve">: </w:t>
      </w:r>
      <w:r w:rsidRPr="002418D1">
        <w:rPr>
          <w:rFonts w:eastAsia="Batang"/>
          <w:b/>
          <w:iCs/>
          <w:szCs w:val="22"/>
          <w:lang w:val="en-US" w:eastAsia="ko-KR"/>
        </w:rPr>
        <w:t>When m</w:t>
      </w:r>
      <w:r>
        <w:rPr>
          <w:rFonts w:eastAsia="Batang"/>
          <w:b/>
          <w:iCs/>
          <w:szCs w:val="22"/>
          <w:lang w:val="en-US" w:eastAsia="ko-KR"/>
        </w:rPr>
        <w:t>ultiple</w:t>
      </w:r>
      <w:r w:rsidRPr="002418D1">
        <w:rPr>
          <w:rFonts w:eastAsia="Batang"/>
          <w:b/>
          <w:iCs/>
          <w:szCs w:val="22"/>
          <w:lang w:val="en-US" w:eastAsia="ko-KR"/>
        </w:rPr>
        <w:t xml:space="preserve"> TCI codepoints are activated by MAC CE, the TCI state(s) for </w:t>
      </w:r>
      <w:r>
        <w:rPr>
          <w:rFonts w:eastAsia="Batang"/>
          <w:b/>
          <w:iCs/>
          <w:szCs w:val="22"/>
          <w:lang w:val="en-US" w:eastAsia="ko-KR"/>
        </w:rPr>
        <w:t xml:space="preserve">one of the </w:t>
      </w:r>
      <w:r w:rsidRPr="002418D1">
        <w:rPr>
          <w:rFonts w:eastAsia="Batang"/>
          <w:b/>
          <w:iCs/>
          <w:szCs w:val="22"/>
          <w:lang w:val="en-US" w:eastAsia="ko-KR"/>
        </w:rPr>
        <w:t>codepoint</w:t>
      </w:r>
      <w:r>
        <w:rPr>
          <w:rFonts w:eastAsia="Batang"/>
          <w:b/>
          <w:iCs/>
          <w:szCs w:val="22"/>
          <w:lang w:val="en-US" w:eastAsia="ko-KR"/>
        </w:rPr>
        <w:t>s</w:t>
      </w:r>
      <w:r w:rsidRPr="002418D1">
        <w:rPr>
          <w:rFonts w:eastAsia="Batang"/>
          <w:b/>
          <w:iCs/>
          <w:szCs w:val="22"/>
          <w:lang w:val="en-US" w:eastAsia="ko-KR"/>
        </w:rPr>
        <w:t xml:space="preserve"> is/are applied</w:t>
      </w:r>
      <w:r>
        <w:rPr>
          <w:rFonts w:eastAsia="Batang"/>
          <w:b/>
          <w:iCs/>
          <w:szCs w:val="22"/>
          <w:lang w:val="en-US" w:eastAsia="ko-KR"/>
        </w:rPr>
        <w:t xml:space="preserve"> directly upon activation.</w:t>
      </w:r>
    </w:p>
    <w:p w14:paraId="2DA0C3AF" w14:textId="18544A81" w:rsidR="00A650EE" w:rsidRPr="00A650EE" w:rsidRDefault="00A650EE" w:rsidP="000D6FAC">
      <w:pPr>
        <w:pStyle w:val="Heading1"/>
        <w:spacing w:before="0" w:after="120"/>
      </w:pPr>
      <w:r w:rsidRPr="00A650EE">
        <w:t>Reference</w:t>
      </w:r>
      <w:r w:rsidR="004D29B6">
        <w:t>s</w:t>
      </w:r>
    </w:p>
    <w:p w14:paraId="3370F24E" w14:textId="05E90CC4" w:rsidR="00B17430" w:rsidRPr="00CD1E4D" w:rsidRDefault="00CB1B6A" w:rsidP="00B46F66">
      <w:pPr>
        <w:pStyle w:val="iReference"/>
        <w:numPr>
          <w:ilvl w:val="0"/>
          <w:numId w:val="5"/>
        </w:numPr>
        <w:spacing w:before="0" w:after="120"/>
        <w:rPr>
          <w:rFonts w:ascii="Times New Roman" w:eastAsia="PMingLiU" w:hAnsi="Times New Roman" w:cs="Times New Roman"/>
          <w:color w:val="000000" w:themeColor="text1"/>
          <w:sz w:val="20"/>
        </w:rPr>
      </w:pPr>
      <w:bookmarkStart w:id="0" w:name="_Ref528924709"/>
      <w:bookmarkStart w:id="1" w:name="_Ref47472804"/>
      <w:r w:rsidRPr="005E1ABD">
        <w:rPr>
          <w:rFonts w:ascii="Times New Roman" w:eastAsia="PMingLiU" w:hAnsi="Times New Roman" w:cs="Times New Roman"/>
          <w:color w:val="000000" w:themeColor="text1"/>
          <w:sz w:val="20"/>
        </w:rPr>
        <w:t>RP-</w:t>
      </w:r>
      <w:r w:rsidR="005B5FF5">
        <w:rPr>
          <w:rFonts w:ascii="Times New Roman" w:eastAsia="PMingLiU" w:hAnsi="Times New Roman" w:cs="Times New Roman"/>
          <w:color w:val="000000" w:themeColor="text1"/>
          <w:sz w:val="20"/>
        </w:rPr>
        <w:t>202024</w:t>
      </w:r>
      <w:r w:rsidR="00B05456" w:rsidRPr="005E1ABD">
        <w:rPr>
          <w:rFonts w:ascii="Times New Roman" w:eastAsia="PMingLiU" w:hAnsi="Times New Roman" w:cs="Times New Roman"/>
          <w:color w:val="000000" w:themeColor="text1"/>
          <w:sz w:val="20"/>
        </w:rPr>
        <w:t>,</w:t>
      </w:r>
      <w:r w:rsidRPr="005E1ABD">
        <w:rPr>
          <w:rFonts w:ascii="Times New Roman" w:eastAsia="PMingLiU" w:hAnsi="Times New Roman" w:cs="Times New Roman"/>
          <w:color w:val="000000" w:themeColor="text1"/>
          <w:sz w:val="20"/>
        </w:rPr>
        <w:t xml:space="preserve"> “</w:t>
      </w:r>
      <w:r w:rsidR="005B5FF5">
        <w:rPr>
          <w:rFonts w:ascii="Times New Roman" w:eastAsia="PMingLiU" w:hAnsi="Times New Roman" w:cs="Times New Roman"/>
          <w:color w:val="000000" w:themeColor="text1"/>
          <w:sz w:val="20"/>
        </w:rPr>
        <w:t>Revised</w:t>
      </w:r>
      <w:r w:rsidR="00B17430" w:rsidRPr="00B17430">
        <w:rPr>
          <w:rFonts w:ascii="Times New Roman" w:eastAsia="PMingLiU" w:hAnsi="Times New Roman" w:cs="Times New Roman"/>
          <w:color w:val="000000" w:themeColor="text1"/>
          <w:sz w:val="20"/>
        </w:rPr>
        <w:t xml:space="preserve"> WID: Further enhancements on MIMO for NR</w:t>
      </w:r>
      <w:r w:rsidR="0008754B" w:rsidRPr="005E1ABD">
        <w:rPr>
          <w:rFonts w:ascii="Times New Roman" w:eastAsia="PMingLiU" w:hAnsi="Times New Roman" w:cs="Times New Roman"/>
          <w:color w:val="000000" w:themeColor="text1"/>
          <w:sz w:val="20"/>
        </w:rPr>
        <w:t>”, Samsung, RAN#8</w:t>
      </w:r>
      <w:r w:rsidR="005B5FF5">
        <w:rPr>
          <w:rFonts w:ascii="Times New Roman" w:eastAsia="PMingLiU" w:hAnsi="Times New Roman" w:cs="Times New Roman"/>
          <w:color w:val="000000" w:themeColor="text1"/>
          <w:sz w:val="20"/>
        </w:rPr>
        <w:t>9e</w:t>
      </w:r>
      <w:r w:rsidR="0008754B" w:rsidRPr="005E1ABD">
        <w:rPr>
          <w:rFonts w:ascii="Times New Roman" w:eastAsia="PMingLiU" w:hAnsi="Times New Roman" w:cs="Times New Roman"/>
          <w:color w:val="000000" w:themeColor="text1"/>
          <w:sz w:val="20"/>
        </w:rPr>
        <w:t xml:space="preserve">, </w:t>
      </w:r>
      <w:r w:rsidR="005B5FF5">
        <w:rPr>
          <w:rFonts w:ascii="Times New Roman" w:eastAsia="PMingLiU" w:hAnsi="Times New Roman" w:cs="Times New Roman"/>
          <w:color w:val="000000" w:themeColor="text1"/>
          <w:sz w:val="20"/>
        </w:rPr>
        <w:t>Sep</w:t>
      </w:r>
      <w:r w:rsidR="0008754B" w:rsidRPr="005E1ABD">
        <w:rPr>
          <w:rFonts w:ascii="Times New Roman" w:eastAsia="PMingLiU" w:hAnsi="Times New Roman" w:cs="Times New Roman"/>
          <w:color w:val="000000" w:themeColor="text1"/>
          <w:sz w:val="20"/>
        </w:rPr>
        <w:t>. 20</w:t>
      </w:r>
      <w:bookmarkEnd w:id="0"/>
      <w:bookmarkEnd w:id="1"/>
      <w:r w:rsidR="005B5FF5">
        <w:rPr>
          <w:rFonts w:ascii="Times New Roman" w:eastAsia="PMingLiU" w:hAnsi="Times New Roman" w:cs="Times New Roman"/>
          <w:color w:val="000000" w:themeColor="text1"/>
          <w:sz w:val="20"/>
        </w:rPr>
        <w:t>20</w:t>
      </w:r>
    </w:p>
    <w:sectPr w:rsidR="00B17430" w:rsidRPr="00CD1E4D">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1C6CE" w14:textId="77777777" w:rsidR="003646DE" w:rsidRDefault="003646DE">
      <w:r>
        <w:separator/>
      </w:r>
    </w:p>
  </w:endnote>
  <w:endnote w:type="continuationSeparator" w:id="0">
    <w:p w14:paraId="0F19E22E" w14:textId="77777777" w:rsidR="003646DE" w:rsidRDefault="00364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412703"/>
      <w:docPartObj>
        <w:docPartGallery w:val="Page Numbers (Bottom of Page)"/>
        <w:docPartUnique/>
      </w:docPartObj>
    </w:sdtPr>
    <w:sdtEndPr>
      <w:rPr>
        <w:noProof/>
      </w:rPr>
    </w:sdtEndPr>
    <w:sdtContent>
      <w:p w14:paraId="1C2896AA" w14:textId="518537E9" w:rsidR="007E42CC" w:rsidRDefault="007E42CC">
        <w:pPr>
          <w:pStyle w:val="Footer"/>
          <w:jc w:val="center"/>
        </w:pPr>
        <w:r>
          <w:fldChar w:fldCharType="begin"/>
        </w:r>
        <w:r>
          <w:instrText xml:space="preserve"> PAGE   \* MERGEFORMAT </w:instrText>
        </w:r>
        <w:r>
          <w:fldChar w:fldCharType="separate"/>
        </w:r>
        <w:r w:rsidR="00E148CB">
          <w:rPr>
            <w:noProof/>
          </w:rPr>
          <w:t>3</w:t>
        </w:r>
        <w:r>
          <w:rPr>
            <w:noProof/>
          </w:rPr>
          <w:fldChar w:fldCharType="end"/>
        </w:r>
      </w:p>
    </w:sdtContent>
  </w:sdt>
  <w:p w14:paraId="6BAAE4CC" w14:textId="77777777" w:rsidR="007E42CC" w:rsidRDefault="007E4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88216"/>
      <w:docPartObj>
        <w:docPartGallery w:val="Page Numbers (Bottom of Page)"/>
        <w:docPartUnique/>
      </w:docPartObj>
    </w:sdtPr>
    <w:sdtEndPr>
      <w:rPr>
        <w:noProof/>
      </w:rPr>
    </w:sdtEndPr>
    <w:sdtContent>
      <w:p w14:paraId="7BA831D6" w14:textId="00D157C9" w:rsidR="007E42CC" w:rsidRDefault="007E42CC">
        <w:pPr>
          <w:pStyle w:val="Footer"/>
          <w:jc w:val="center"/>
        </w:pPr>
        <w:r>
          <w:fldChar w:fldCharType="begin"/>
        </w:r>
        <w:r>
          <w:instrText xml:space="preserve"> PAGE   \* MERGEFORMAT </w:instrText>
        </w:r>
        <w:r>
          <w:fldChar w:fldCharType="separate"/>
        </w:r>
        <w:r w:rsidR="00E148CB">
          <w:rPr>
            <w:noProof/>
          </w:rPr>
          <w:t>1</w:t>
        </w:r>
        <w:r>
          <w:rPr>
            <w:noProof/>
          </w:rPr>
          <w:fldChar w:fldCharType="end"/>
        </w:r>
      </w:p>
    </w:sdtContent>
  </w:sdt>
  <w:p w14:paraId="1BB4A199" w14:textId="77777777" w:rsidR="007E42CC" w:rsidRDefault="007E4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BDC9F" w14:textId="77777777" w:rsidR="003646DE" w:rsidRDefault="003646DE">
      <w:r>
        <w:separator/>
      </w:r>
    </w:p>
  </w:footnote>
  <w:footnote w:type="continuationSeparator" w:id="0">
    <w:p w14:paraId="5A47AF92" w14:textId="77777777" w:rsidR="003646DE" w:rsidRDefault="003646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13349D"/>
    <w:multiLevelType w:val="hybridMultilevel"/>
    <w:tmpl w:val="5EB6F2E0"/>
    <w:lvl w:ilvl="0" w:tplc="FD149D5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6" w15:restartNumberingAfterBreak="0">
    <w:nsid w:val="16241716"/>
    <w:multiLevelType w:val="hybridMultilevel"/>
    <w:tmpl w:val="518A7560"/>
    <w:lvl w:ilvl="0" w:tplc="F7647EF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1"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4"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2B3F28"/>
    <w:multiLevelType w:val="hybridMultilevel"/>
    <w:tmpl w:val="0032C2DA"/>
    <w:lvl w:ilvl="0" w:tplc="5D227A6C">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32D2DF9"/>
    <w:multiLevelType w:val="hybridMultilevel"/>
    <w:tmpl w:val="A53ED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A684406"/>
    <w:multiLevelType w:val="hybridMultilevel"/>
    <w:tmpl w:val="B76C3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7"/>
  </w:num>
  <w:num w:numId="3">
    <w:abstractNumId w:val="20"/>
  </w:num>
  <w:num w:numId="4">
    <w:abstractNumId w:val="8"/>
  </w:num>
  <w:num w:numId="5">
    <w:abstractNumId w:val="1"/>
  </w:num>
  <w:num w:numId="6">
    <w:abstractNumId w:val="18"/>
  </w:num>
  <w:num w:numId="7">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0"/>
  </w:num>
  <w:num w:numId="10">
    <w:abstractNumId w:val="21"/>
  </w:num>
  <w:num w:numId="11">
    <w:abstractNumId w:val="26"/>
  </w:num>
  <w:num w:numId="12">
    <w:abstractNumId w:val="2"/>
  </w:num>
  <w:num w:numId="13">
    <w:abstractNumId w:val="17"/>
    <w:lvlOverride w:ilvl="0"/>
    <w:lvlOverride w:ilvl="1">
      <w:startOverride w:val="1"/>
    </w:lvlOverride>
    <w:lvlOverride w:ilvl="2"/>
    <w:lvlOverride w:ilvl="3"/>
    <w:lvlOverride w:ilvl="4"/>
    <w:lvlOverride w:ilvl="5"/>
    <w:lvlOverride w:ilvl="6"/>
    <w:lvlOverride w:ilvl="7"/>
    <w:lvlOverride w:ilvl="8"/>
  </w:num>
  <w:num w:numId="14">
    <w:abstractNumId w:val="17"/>
  </w:num>
  <w:num w:numId="15">
    <w:abstractNumId w:val="25"/>
  </w:num>
  <w:num w:numId="16">
    <w:abstractNumId w:val="43"/>
  </w:num>
  <w:num w:numId="17">
    <w:abstractNumId w:val="32"/>
  </w:num>
  <w:num w:numId="18">
    <w:abstractNumId w:val="13"/>
  </w:num>
  <w:num w:numId="19">
    <w:abstractNumId w:val="23"/>
  </w:num>
  <w:num w:numId="20">
    <w:abstractNumId w:val="0"/>
  </w:num>
  <w:num w:numId="21">
    <w:abstractNumId w:val="44"/>
  </w:num>
  <w:num w:numId="22">
    <w:abstractNumId w:val="11"/>
  </w:num>
  <w:num w:numId="23">
    <w:abstractNumId w:val="41"/>
  </w:num>
  <w:num w:numId="24">
    <w:abstractNumId w:val="12"/>
  </w:num>
  <w:num w:numId="25">
    <w:abstractNumId w:val="40"/>
  </w:num>
  <w:num w:numId="26">
    <w:abstractNumId w:val="9"/>
  </w:num>
  <w:num w:numId="27">
    <w:abstractNumId w:val="31"/>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5"/>
  </w:num>
  <w:num w:numId="30">
    <w:abstractNumId w:val="38"/>
  </w:num>
  <w:num w:numId="31">
    <w:abstractNumId w:val="4"/>
  </w:num>
  <w:num w:numId="32">
    <w:abstractNumId w:val="42"/>
  </w:num>
  <w:num w:numId="33">
    <w:abstractNumId w:val="33"/>
  </w:num>
  <w:num w:numId="34">
    <w:abstractNumId w:val="35"/>
  </w:num>
  <w:num w:numId="35">
    <w:abstractNumId w:val="14"/>
  </w:num>
  <w:num w:numId="36">
    <w:abstractNumId w:val="39"/>
  </w:num>
  <w:num w:numId="37">
    <w:abstractNumId w:val="7"/>
  </w:num>
  <w:num w:numId="38">
    <w:abstractNumId w:val="15"/>
  </w:num>
  <w:num w:numId="39">
    <w:abstractNumId w:val="28"/>
  </w:num>
  <w:num w:numId="40">
    <w:abstractNumId w:val="16"/>
  </w:num>
  <w:num w:numId="41">
    <w:abstractNumId w:val="3"/>
  </w:num>
  <w:num w:numId="42">
    <w:abstractNumId w:val="30"/>
  </w:num>
  <w:num w:numId="43">
    <w:abstractNumId w:val="36"/>
  </w:num>
  <w:num w:numId="44">
    <w:abstractNumId w:val="5"/>
  </w:num>
  <w:num w:numId="45">
    <w:abstractNumId w:val="22"/>
  </w:num>
  <w:num w:numId="46">
    <w:abstractNumId w:val="29"/>
  </w:num>
  <w:num w:numId="47">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FDD"/>
    <w:rsid w:val="0000451D"/>
    <w:rsid w:val="00004BBC"/>
    <w:rsid w:val="00004F0D"/>
    <w:rsid w:val="0000527F"/>
    <w:rsid w:val="000104C8"/>
    <w:rsid w:val="00011702"/>
    <w:rsid w:val="000127DD"/>
    <w:rsid w:val="000146B8"/>
    <w:rsid w:val="0001495C"/>
    <w:rsid w:val="000154B1"/>
    <w:rsid w:val="0002043E"/>
    <w:rsid w:val="00021505"/>
    <w:rsid w:val="00022641"/>
    <w:rsid w:val="00022E5D"/>
    <w:rsid w:val="00024200"/>
    <w:rsid w:val="00024B1D"/>
    <w:rsid w:val="0002575E"/>
    <w:rsid w:val="00025F13"/>
    <w:rsid w:val="00026407"/>
    <w:rsid w:val="00027AF5"/>
    <w:rsid w:val="000319FD"/>
    <w:rsid w:val="00032BAB"/>
    <w:rsid w:val="00036C36"/>
    <w:rsid w:val="0004009F"/>
    <w:rsid w:val="00040139"/>
    <w:rsid w:val="00042232"/>
    <w:rsid w:val="0004388B"/>
    <w:rsid w:val="00044018"/>
    <w:rsid w:val="000469F4"/>
    <w:rsid w:val="00046D20"/>
    <w:rsid w:val="00051F4B"/>
    <w:rsid w:val="00053E0E"/>
    <w:rsid w:val="000550E1"/>
    <w:rsid w:val="000564E3"/>
    <w:rsid w:val="0005651A"/>
    <w:rsid w:val="0006095E"/>
    <w:rsid w:val="00060EA9"/>
    <w:rsid w:val="00061116"/>
    <w:rsid w:val="000626F5"/>
    <w:rsid w:val="00062DF5"/>
    <w:rsid w:val="000656E1"/>
    <w:rsid w:val="00065F7D"/>
    <w:rsid w:val="000674FE"/>
    <w:rsid w:val="0007151D"/>
    <w:rsid w:val="000716B0"/>
    <w:rsid w:val="000716BC"/>
    <w:rsid w:val="00073F85"/>
    <w:rsid w:val="00074D8A"/>
    <w:rsid w:val="00076B61"/>
    <w:rsid w:val="00077788"/>
    <w:rsid w:val="00077A26"/>
    <w:rsid w:val="00081884"/>
    <w:rsid w:val="0008211B"/>
    <w:rsid w:val="0008236B"/>
    <w:rsid w:val="0008236D"/>
    <w:rsid w:val="00083978"/>
    <w:rsid w:val="000855C5"/>
    <w:rsid w:val="00085D8C"/>
    <w:rsid w:val="0008754B"/>
    <w:rsid w:val="000914B8"/>
    <w:rsid w:val="00091738"/>
    <w:rsid w:val="000950C5"/>
    <w:rsid w:val="00095157"/>
    <w:rsid w:val="00095298"/>
    <w:rsid w:val="000955F8"/>
    <w:rsid w:val="000A2111"/>
    <w:rsid w:val="000A26C4"/>
    <w:rsid w:val="000A4A9E"/>
    <w:rsid w:val="000A50E4"/>
    <w:rsid w:val="000A6177"/>
    <w:rsid w:val="000A6675"/>
    <w:rsid w:val="000B13AF"/>
    <w:rsid w:val="000B4D38"/>
    <w:rsid w:val="000B5D47"/>
    <w:rsid w:val="000B7FB2"/>
    <w:rsid w:val="000C1969"/>
    <w:rsid w:val="000C40EF"/>
    <w:rsid w:val="000C5B22"/>
    <w:rsid w:val="000C6E01"/>
    <w:rsid w:val="000C73DE"/>
    <w:rsid w:val="000D00F4"/>
    <w:rsid w:val="000D1412"/>
    <w:rsid w:val="000D27A6"/>
    <w:rsid w:val="000D37D3"/>
    <w:rsid w:val="000D496B"/>
    <w:rsid w:val="000D4D50"/>
    <w:rsid w:val="000D5BC8"/>
    <w:rsid w:val="000D6FAC"/>
    <w:rsid w:val="000E0AD8"/>
    <w:rsid w:val="000E2E19"/>
    <w:rsid w:val="000E41AC"/>
    <w:rsid w:val="000E49FF"/>
    <w:rsid w:val="000E4F61"/>
    <w:rsid w:val="000F1176"/>
    <w:rsid w:val="000F1BFC"/>
    <w:rsid w:val="000F1D8D"/>
    <w:rsid w:val="000F2537"/>
    <w:rsid w:val="000F2AFF"/>
    <w:rsid w:val="000F2BAC"/>
    <w:rsid w:val="000F354D"/>
    <w:rsid w:val="000F421F"/>
    <w:rsid w:val="000F507D"/>
    <w:rsid w:val="0010131F"/>
    <w:rsid w:val="0010140B"/>
    <w:rsid w:val="001052F3"/>
    <w:rsid w:val="001064FA"/>
    <w:rsid w:val="00111482"/>
    <w:rsid w:val="0011533B"/>
    <w:rsid w:val="001163BA"/>
    <w:rsid w:val="001166E8"/>
    <w:rsid w:val="0012018B"/>
    <w:rsid w:val="001208C7"/>
    <w:rsid w:val="001267AA"/>
    <w:rsid w:val="00131B39"/>
    <w:rsid w:val="0013382B"/>
    <w:rsid w:val="0013405D"/>
    <w:rsid w:val="00140681"/>
    <w:rsid w:val="00141A9E"/>
    <w:rsid w:val="001447A7"/>
    <w:rsid w:val="00145D40"/>
    <w:rsid w:val="00146D58"/>
    <w:rsid w:val="00147878"/>
    <w:rsid w:val="00147E2A"/>
    <w:rsid w:val="00153720"/>
    <w:rsid w:val="00153B57"/>
    <w:rsid w:val="0015426C"/>
    <w:rsid w:val="0015653D"/>
    <w:rsid w:val="00160DCF"/>
    <w:rsid w:val="00161DA1"/>
    <w:rsid w:val="0016320C"/>
    <w:rsid w:val="0016380F"/>
    <w:rsid w:val="00163A9B"/>
    <w:rsid w:val="001669AF"/>
    <w:rsid w:val="00167063"/>
    <w:rsid w:val="00167220"/>
    <w:rsid w:val="00167285"/>
    <w:rsid w:val="00167F51"/>
    <w:rsid w:val="00171758"/>
    <w:rsid w:val="00171F92"/>
    <w:rsid w:val="00172636"/>
    <w:rsid w:val="00172677"/>
    <w:rsid w:val="001760E5"/>
    <w:rsid w:val="001830B9"/>
    <w:rsid w:val="00185133"/>
    <w:rsid w:val="00186EBA"/>
    <w:rsid w:val="00187149"/>
    <w:rsid w:val="00187541"/>
    <w:rsid w:val="00187738"/>
    <w:rsid w:val="00191A01"/>
    <w:rsid w:val="00191E2D"/>
    <w:rsid w:val="00192084"/>
    <w:rsid w:val="001942D1"/>
    <w:rsid w:val="00194C19"/>
    <w:rsid w:val="00196925"/>
    <w:rsid w:val="0019755F"/>
    <w:rsid w:val="001A2C84"/>
    <w:rsid w:val="001A33D3"/>
    <w:rsid w:val="001A36E9"/>
    <w:rsid w:val="001A3AD4"/>
    <w:rsid w:val="001A41A1"/>
    <w:rsid w:val="001A5BE4"/>
    <w:rsid w:val="001B03EA"/>
    <w:rsid w:val="001B1AC3"/>
    <w:rsid w:val="001B2C52"/>
    <w:rsid w:val="001B304A"/>
    <w:rsid w:val="001B3AF1"/>
    <w:rsid w:val="001C225C"/>
    <w:rsid w:val="001C2409"/>
    <w:rsid w:val="001C2568"/>
    <w:rsid w:val="001C27D9"/>
    <w:rsid w:val="001C2FE6"/>
    <w:rsid w:val="001C329F"/>
    <w:rsid w:val="001C4501"/>
    <w:rsid w:val="001D0B5E"/>
    <w:rsid w:val="001D4151"/>
    <w:rsid w:val="001D6C8D"/>
    <w:rsid w:val="001E18D6"/>
    <w:rsid w:val="001E3155"/>
    <w:rsid w:val="001E3B88"/>
    <w:rsid w:val="001E43B3"/>
    <w:rsid w:val="001E5393"/>
    <w:rsid w:val="001F3AF9"/>
    <w:rsid w:val="001F3E2D"/>
    <w:rsid w:val="001F4117"/>
    <w:rsid w:val="001F76F0"/>
    <w:rsid w:val="00200E11"/>
    <w:rsid w:val="00202075"/>
    <w:rsid w:val="002020DF"/>
    <w:rsid w:val="00203BC3"/>
    <w:rsid w:val="00205625"/>
    <w:rsid w:val="00206DAF"/>
    <w:rsid w:val="00207871"/>
    <w:rsid w:val="002119E3"/>
    <w:rsid w:val="00213E51"/>
    <w:rsid w:val="0021469E"/>
    <w:rsid w:val="00214FB9"/>
    <w:rsid w:val="00215377"/>
    <w:rsid w:val="00215E4F"/>
    <w:rsid w:val="0021798C"/>
    <w:rsid w:val="002209C8"/>
    <w:rsid w:val="002238F8"/>
    <w:rsid w:val="00231627"/>
    <w:rsid w:val="00231AEA"/>
    <w:rsid w:val="00231E42"/>
    <w:rsid w:val="00232C5E"/>
    <w:rsid w:val="00233C1E"/>
    <w:rsid w:val="002360E3"/>
    <w:rsid w:val="002372D7"/>
    <w:rsid w:val="00237D50"/>
    <w:rsid w:val="002409F4"/>
    <w:rsid w:val="002418D1"/>
    <w:rsid w:val="00242995"/>
    <w:rsid w:val="002441DB"/>
    <w:rsid w:val="00245124"/>
    <w:rsid w:val="00252218"/>
    <w:rsid w:val="002522C6"/>
    <w:rsid w:val="0025363F"/>
    <w:rsid w:val="0025464A"/>
    <w:rsid w:val="00257F4C"/>
    <w:rsid w:val="002609A6"/>
    <w:rsid w:val="002628AB"/>
    <w:rsid w:val="00263E95"/>
    <w:rsid w:val="002642FC"/>
    <w:rsid w:val="00264F06"/>
    <w:rsid w:val="002657E1"/>
    <w:rsid w:val="00266C98"/>
    <w:rsid w:val="00267C3C"/>
    <w:rsid w:val="002709D3"/>
    <w:rsid w:val="00273ABF"/>
    <w:rsid w:val="002748B2"/>
    <w:rsid w:val="00275516"/>
    <w:rsid w:val="00277CBB"/>
    <w:rsid w:val="00282603"/>
    <w:rsid w:val="0029241C"/>
    <w:rsid w:val="0029577D"/>
    <w:rsid w:val="00296489"/>
    <w:rsid w:val="002A244E"/>
    <w:rsid w:val="002A4DB3"/>
    <w:rsid w:val="002A56D3"/>
    <w:rsid w:val="002A62EA"/>
    <w:rsid w:val="002A7310"/>
    <w:rsid w:val="002A7871"/>
    <w:rsid w:val="002B019F"/>
    <w:rsid w:val="002B21C8"/>
    <w:rsid w:val="002B22E3"/>
    <w:rsid w:val="002B3C03"/>
    <w:rsid w:val="002B4F54"/>
    <w:rsid w:val="002B5C4F"/>
    <w:rsid w:val="002B5EBB"/>
    <w:rsid w:val="002B728D"/>
    <w:rsid w:val="002C2489"/>
    <w:rsid w:val="002C504A"/>
    <w:rsid w:val="002C554E"/>
    <w:rsid w:val="002C5CD1"/>
    <w:rsid w:val="002D0FA4"/>
    <w:rsid w:val="002D0FF9"/>
    <w:rsid w:val="002D2246"/>
    <w:rsid w:val="002D32BE"/>
    <w:rsid w:val="002D3345"/>
    <w:rsid w:val="002D40BC"/>
    <w:rsid w:val="002D49E1"/>
    <w:rsid w:val="002E166E"/>
    <w:rsid w:val="002E5B38"/>
    <w:rsid w:val="002E68AC"/>
    <w:rsid w:val="002F2971"/>
    <w:rsid w:val="002F4A9B"/>
    <w:rsid w:val="002F50E7"/>
    <w:rsid w:val="002F71FE"/>
    <w:rsid w:val="002F734B"/>
    <w:rsid w:val="00300915"/>
    <w:rsid w:val="00300B40"/>
    <w:rsid w:val="00300E4B"/>
    <w:rsid w:val="00302B32"/>
    <w:rsid w:val="003072F3"/>
    <w:rsid w:val="003075DB"/>
    <w:rsid w:val="00310035"/>
    <w:rsid w:val="00311110"/>
    <w:rsid w:val="003118DA"/>
    <w:rsid w:val="00312AD6"/>
    <w:rsid w:val="003132C5"/>
    <w:rsid w:val="00313AC7"/>
    <w:rsid w:val="00315276"/>
    <w:rsid w:val="0031577A"/>
    <w:rsid w:val="003174B1"/>
    <w:rsid w:val="00317EC9"/>
    <w:rsid w:val="003201E7"/>
    <w:rsid w:val="00320307"/>
    <w:rsid w:val="00322338"/>
    <w:rsid w:val="0032366B"/>
    <w:rsid w:val="00323FE3"/>
    <w:rsid w:val="003252F1"/>
    <w:rsid w:val="00327B5B"/>
    <w:rsid w:val="0033187E"/>
    <w:rsid w:val="003318CF"/>
    <w:rsid w:val="00333875"/>
    <w:rsid w:val="0033471F"/>
    <w:rsid w:val="00335638"/>
    <w:rsid w:val="00341503"/>
    <w:rsid w:val="0034187F"/>
    <w:rsid w:val="00342A22"/>
    <w:rsid w:val="00342CD6"/>
    <w:rsid w:val="00342F9F"/>
    <w:rsid w:val="0034698C"/>
    <w:rsid w:val="00350B4E"/>
    <w:rsid w:val="00352982"/>
    <w:rsid w:val="003540FE"/>
    <w:rsid w:val="00354940"/>
    <w:rsid w:val="00356541"/>
    <w:rsid w:val="0035657A"/>
    <w:rsid w:val="003567E2"/>
    <w:rsid w:val="00361A94"/>
    <w:rsid w:val="003644FE"/>
    <w:rsid w:val="003646DE"/>
    <w:rsid w:val="003666FB"/>
    <w:rsid w:val="003673C1"/>
    <w:rsid w:val="00367BD7"/>
    <w:rsid w:val="00372882"/>
    <w:rsid w:val="00372CC9"/>
    <w:rsid w:val="00372E07"/>
    <w:rsid w:val="0037416F"/>
    <w:rsid w:val="00374EF2"/>
    <w:rsid w:val="0037504A"/>
    <w:rsid w:val="003752FD"/>
    <w:rsid w:val="00377439"/>
    <w:rsid w:val="00383AFB"/>
    <w:rsid w:val="003840BD"/>
    <w:rsid w:val="003856BC"/>
    <w:rsid w:val="00386636"/>
    <w:rsid w:val="0038754A"/>
    <w:rsid w:val="003924C5"/>
    <w:rsid w:val="003A05C1"/>
    <w:rsid w:val="003A0958"/>
    <w:rsid w:val="003A4AC7"/>
    <w:rsid w:val="003A675E"/>
    <w:rsid w:val="003B1408"/>
    <w:rsid w:val="003B45F3"/>
    <w:rsid w:val="003B58AC"/>
    <w:rsid w:val="003B73E9"/>
    <w:rsid w:val="003B79CB"/>
    <w:rsid w:val="003B7FEE"/>
    <w:rsid w:val="003C09C2"/>
    <w:rsid w:val="003C1E03"/>
    <w:rsid w:val="003C2E9F"/>
    <w:rsid w:val="003C53E5"/>
    <w:rsid w:val="003C5462"/>
    <w:rsid w:val="003C6CD9"/>
    <w:rsid w:val="003D00D8"/>
    <w:rsid w:val="003D1C3A"/>
    <w:rsid w:val="003D5B78"/>
    <w:rsid w:val="003D5F1F"/>
    <w:rsid w:val="003D77C4"/>
    <w:rsid w:val="003E1C7C"/>
    <w:rsid w:val="003E2ECE"/>
    <w:rsid w:val="003E2F0B"/>
    <w:rsid w:val="003E3C09"/>
    <w:rsid w:val="003E3FB5"/>
    <w:rsid w:val="003E4BE7"/>
    <w:rsid w:val="003E4D15"/>
    <w:rsid w:val="003E4EE2"/>
    <w:rsid w:val="003E6639"/>
    <w:rsid w:val="003F1A6C"/>
    <w:rsid w:val="003F20B7"/>
    <w:rsid w:val="003F2578"/>
    <w:rsid w:val="003F4245"/>
    <w:rsid w:val="003F4847"/>
    <w:rsid w:val="003F7D47"/>
    <w:rsid w:val="00407482"/>
    <w:rsid w:val="00410F6A"/>
    <w:rsid w:val="00411664"/>
    <w:rsid w:val="00414C99"/>
    <w:rsid w:val="00417CBD"/>
    <w:rsid w:val="004214CF"/>
    <w:rsid w:val="00421EB3"/>
    <w:rsid w:val="004224C0"/>
    <w:rsid w:val="00424E3F"/>
    <w:rsid w:val="00424F5E"/>
    <w:rsid w:val="00425CB4"/>
    <w:rsid w:val="0042624C"/>
    <w:rsid w:val="00427F95"/>
    <w:rsid w:val="00431779"/>
    <w:rsid w:val="0043276F"/>
    <w:rsid w:val="00437B94"/>
    <w:rsid w:val="004417C6"/>
    <w:rsid w:val="00442AA3"/>
    <w:rsid w:val="004453C1"/>
    <w:rsid w:val="00446ACE"/>
    <w:rsid w:val="00446C35"/>
    <w:rsid w:val="00447234"/>
    <w:rsid w:val="00447D78"/>
    <w:rsid w:val="00447DE7"/>
    <w:rsid w:val="00450F5F"/>
    <w:rsid w:val="004523AC"/>
    <w:rsid w:val="004554F3"/>
    <w:rsid w:val="004607C3"/>
    <w:rsid w:val="00461C38"/>
    <w:rsid w:val="00462D25"/>
    <w:rsid w:val="004631FB"/>
    <w:rsid w:val="004636A7"/>
    <w:rsid w:val="00463A51"/>
    <w:rsid w:val="00464453"/>
    <w:rsid w:val="00466D99"/>
    <w:rsid w:val="00466DEE"/>
    <w:rsid w:val="00466EF0"/>
    <w:rsid w:val="00467491"/>
    <w:rsid w:val="00470178"/>
    <w:rsid w:val="0047478A"/>
    <w:rsid w:val="0047653B"/>
    <w:rsid w:val="004778AF"/>
    <w:rsid w:val="004832F3"/>
    <w:rsid w:val="00483A74"/>
    <w:rsid w:val="00483AF2"/>
    <w:rsid w:val="0048512B"/>
    <w:rsid w:val="00485702"/>
    <w:rsid w:val="00485C27"/>
    <w:rsid w:val="00487B66"/>
    <w:rsid w:val="00491E32"/>
    <w:rsid w:val="00493281"/>
    <w:rsid w:val="004A10B4"/>
    <w:rsid w:val="004A3FAE"/>
    <w:rsid w:val="004A5A4F"/>
    <w:rsid w:val="004A6090"/>
    <w:rsid w:val="004A682B"/>
    <w:rsid w:val="004A6BBB"/>
    <w:rsid w:val="004A71E2"/>
    <w:rsid w:val="004A7BB0"/>
    <w:rsid w:val="004B12D7"/>
    <w:rsid w:val="004B547B"/>
    <w:rsid w:val="004B5C52"/>
    <w:rsid w:val="004B5F26"/>
    <w:rsid w:val="004C1E00"/>
    <w:rsid w:val="004C301F"/>
    <w:rsid w:val="004C38CC"/>
    <w:rsid w:val="004C38CE"/>
    <w:rsid w:val="004C3F7D"/>
    <w:rsid w:val="004C52B0"/>
    <w:rsid w:val="004C6229"/>
    <w:rsid w:val="004D1205"/>
    <w:rsid w:val="004D29B6"/>
    <w:rsid w:val="004D30A1"/>
    <w:rsid w:val="004D67EC"/>
    <w:rsid w:val="004D7818"/>
    <w:rsid w:val="004E257E"/>
    <w:rsid w:val="004E2EEE"/>
    <w:rsid w:val="004E3799"/>
    <w:rsid w:val="004E39AF"/>
    <w:rsid w:val="004E5D0A"/>
    <w:rsid w:val="004E7450"/>
    <w:rsid w:val="004F6086"/>
    <w:rsid w:val="004F657E"/>
    <w:rsid w:val="004F7473"/>
    <w:rsid w:val="004F7DF7"/>
    <w:rsid w:val="005072FC"/>
    <w:rsid w:val="005079EB"/>
    <w:rsid w:val="0051216D"/>
    <w:rsid w:val="00512E3B"/>
    <w:rsid w:val="0051399B"/>
    <w:rsid w:val="00517545"/>
    <w:rsid w:val="00521D95"/>
    <w:rsid w:val="005225C5"/>
    <w:rsid w:val="00525DAB"/>
    <w:rsid w:val="0053076A"/>
    <w:rsid w:val="00532F9A"/>
    <w:rsid w:val="0053623F"/>
    <w:rsid w:val="005362C5"/>
    <w:rsid w:val="0053719A"/>
    <w:rsid w:val="005412EA"/>
    <w:rsid w:val="005428A4"/>
    <w:rsid w:val="005430DC"/>
    <w:rsid w:val="0054451F"/>
    <w:rsid w:val="00546B64"/>
    <w:rsid w:val="005506CE"/>
    <w:rsid w:val="00550A71"/>
    <w:rsid w:val="00550FF9"/>
    <w:rsid w:val="00552448"/>
    <w:rsid w:val="00554E84"/>
    <w:rsid w:val="00556315"/>
    <w:rsid w:val="00556762"/>
    <w:rsid w:val="00557B02"/>
    <w:rsid w:val="00562E21"/>
    <w:rsid w:val="00563274"/>
    <w:rsid w:val="005658B2"/>
    <w:rsid w:val="00566B53"/>
    <w:rsid w:val="0056771B"/>
    <w:rsid w:val="0057035B"/>
    <w:rsid w:val="005729BA"/>
    <w:rsid w:val="00575257"/>
    <w:rsid w:val="00577770"/>
    <w:rsid w:val="0058238B"/>
    <w:rsid w:val="00586CC7"/>
    <w:rsid w:val="00586F12"/>
    <w:rsid w:val="00587514"/>
    <w:rsid w:val="00591A33"/>
    <w:rsid w:val="00591F73"/>
    <w:rsid w:val="00592D14"/>
    <w:rsid w:val="0059341F"/>
    <w:rsid w:val="00593D73"/>
    <w:rsid w:val="00595E69"/>
    <w:rsid w:val="005977B0"/>
    <w:rsid w:val="005A05BE"/>
    <w:rsid w:val="005A1A03"/>
    <w:rsid w:val="005A2572"/>
    <w:rsid w:val="005A2685"/>
    <w:rsid w:val="005A28F9"/>
    <w:rsid w:val="005A2A8E"/>
    <w:rsid w:val="005A32C2"/>
    <w:rsid w:val="005A3903"/>
    <w:rsid w:val="005A62C3"/>
    <w:rsid w:val="005A6EC7"/>
    <w:rsid w:val="005B0411"/>
    <w:rsid w:val="005B0D14"/>
    <w:rsid w:val="005B1D2F"/>
    <w:rsid w:val="005B2076"/>
    <w:rsid w:val="005B2D93"/>
    <w:rsid w:val="005B4701"/>
    <w:rsid w:val="005B5FF5"/>
    <w:rsid w:val="005B601E"/>
    <w:rsid w:val="005C05A6"/>
    <w:rsid w:val="005C0F6F"/>
    <w:rsid w:val="005C3384"/>
    <w:rsid w:val="005C3D8D"/>
    <w:rsid w:val="005C54FD"/>
    <w:rsid w:val="005C7209"/>
    <w:rsid w:val="005C7F4F"/>
    <w:rsid w:val="005D09B1"/>
    <w:rsid w:val="005D0CE9"/>
    <w:rsid w:val="005D20F1"/>
    <w:rsid w:val="005D2D51"/>
    <w:rsid w:val="005D3981"/>
    <w:rsid w:val="005D4BE2"/>
    <w:rsid w:val="005D665C"/>
    <w:rsid w:val="005D771A"/>
    <w:rsid w:val="005E019F"/>
    <w:rsid w:val="005E1727"/>
    <w:rsid w:val="005E1ABD"/>
    <w:rsid w:val="005E5018"/>
    <w:rsid w:val="005E7958"/>
    <w:rsid w:val="005F1649"/>
    <w:rsid w:val="005F216B"/>
    <w:rsid w:val="005F318B"/>
    <w:rsid w:val="005F3AFD"/>
    <w:rsid w:val="005F55FE"/>
    <w:rsid w:val="005F5CEE"/>
    <w:rsid w:val="005F5D81"/>
    <w:rsid w:val="005F6E51"/>
    <w:rsid w:val="005F6EB2"/>
    <w:rsid w:val="00600805"/>
    <w:rsid w:val="006016E9"/>
    <w:rsid w:val="00602F21"/>
    <w:rsid w:val="0060347B"/>
    <w:rsid w:val="00605FA3"/>
    <w:rsid w:val="00607022"/>
    <w:rsid w:val="006140F5"/>
    <w:rsid w:val="0061417F"/>
    <w:rsid w:val="00614D21"/>
    <w:rsid w:val="00615492"/>
    <w:rsid w:val="006165AD"/>
    <w:rsid w:val="006204C2"/>
    <w:rsid w:val="006207AF"/>
    <w:rsid w:val="00620E89"/>
    <w:rsid w:val="00621ACC"/>
    <w:rsid w:val="00621C05"/>
    <w:rsid w:val="0062449A"/>
    <w:rsid w:val="0063011A"/>
    <w:rsid w:val="00630F3A"/>
    <w:rsid w:val="00634154"/>
    <w:rsid w:val="00635ABD"/>
    <w:rsid w:val="0063639A"/>
    <w:rsid w:val="0063778E"/>
    <w:rsid w:val="0064095D"/>
    <w:rsid w:val="0064198D"/>
    <w:rsid w:val="00641A9E"/>
    <w:rsid w:val="0064318F"/>
    <w:rsid w:val="0064458A"/>
    <w:rsid w:val="00645A3D"/>
    <w:rsid w:val="0064615E"/>
    <w:rsid w:val="00646DA4"/>
    <w:rsid w:val="00652082"/>
    <w:rsid w:val="006535EC"/>
    <w:rsid w:val="00654A39"/>
    <w:rsid w:val="00657BE5"/>
    <w:rsid w:val="006616F6"/>
    <w:rsid w:val="00664455"/>
    <w:rsid w:val="00665941"/>
    <w:rsid w:val="00666074"/>
    <w:rsid w:val="0066614E"/>
    <w:rsid w:val="00667FDF"/>
    <w:rsid w:val="006733DB"/>
    <w:rsid w:val="00673C22"/>
    <w:rsid w:val="00675062"/>
    <w:rsid w:val="006758DE"/>
    <w:rsid w:val="00676116"/>
    <w:rsid w:val="00677A39"/>
    <w:rsid w:val="00677DC3"/>
    <w:rsid w:val="00681D02"/>
    <w:rsid w:val="00682F72"/>
    <w:rsid w:val="006861F8"/>
    <w:rsid w:val="006866CD"/>
    <w:rsid w:val="00687F23"/>
    <w:rsid w:val="0069390B"/>
    <w:rsid w:val="00693DAB"/>
    <w:rsid w:val="00695505"/>
    <w:rsid w:val="00695704"/>
    <w:rsid w:val="006A192B"/>
    <w:rsid w:val="006A3A7C"/>
    <w:rsid w:val="006A57A2"/>
    <w:rsid w:val="006A59CE"/>
    <w:rsid w:val="006A7BB8"/>
    <w:rsid w:val="006A7DD0"/>
    <w:rsid w:val="006B0323"/>
    <w:rsid w:val="006B1113"/>
    <w:rsid w:val="006B11D2"/>
    <w:rsid w:val="006B1946"/>
    <w:rsid w:val="006B2412"/>
    <w:rsid w:val="006B2C44"/>
    <w:rsid w:val="006B565F"/>
    <w:rsid w:val="006B6D77"/>
    <w:rsid w:val="006B7204"/>
    <w:rsid w:val="006C3FEE"/>
    <w:rsid w:val="006C649A"/>
    <w:rsid w:val="006C7B1C"/>
    <w:rsid w:val="006D0BF7"/>
    <w:rsid w:val="006D363B"/>
    <w:rsid w:val="006D4CEC"/>
    <w:rsid w:val="006E01B4"/>
    <w:rsid w:val="006E4459"/>
    <w:rsid w:val="006E4518"/>
    <w:rsid w:val="006E4E3C"/>
    <w:rsid w:val="006E5968"/>
    <w:rsid w:val="006E5DD2"/>
    <w:rsid w:val="006F1E5A"/>
    <w:rsid w:val="006F2698"/>
    <w:rsid w:val="006F458B"/>
    <w:rsid w:val="006F4D73"/>
    <w:rsid w:val="006F55A6"/>
    <w:rsid w:val="006F73F9"/>
    <w:rsid w:val="00700FCA"/>
    <w:rsid w:val="00703627"/>
    <w:rsid w:val="00703E09"/>
    <w:rsid w:val="00705C2B"/>
    <w:rsid w:val="00706291"/>
    <w:rsid w:val="0071174C"/>
    <w:rsid w:val="00712B4E"/>
    <w:rsid w:val="00713894"/>
    <w:rsid w:val="00713B04"/>
    <w:rsid w:val="00713B1C"/>
    <w:rsid w:val="007140D2"/>
    <w:rsid w:val="00714AF3"/>
    <w:rsid w:val="007150A9"/>
    <w:rsid w:val="00715BF3"/>
    <w:rsid w:val="00720387"/>
    <w:rsid w:val="0072141F"/>
    <w:rsid w:val="00721DA7"/>
    <w:rsid w:val="00722572"/>
    <w:rsid w:val="00722B22"/>
    <w:rsid w:val="00724391"/>
    <w:rsid w:val="00724995"/>
    <w:rsid w:val="007264C3"/>
    <w:rsid w:val="00727B19"/>
    <w:rsid w:val="00727C17"/>
    <w:rsid w:val="007300E9"/>
    <w:rsid w:val="007308A7"/>
    <w:rsid w:val="007315FB"/>
    <w:rsid w:val="007324F6"/>
    <w:rsid w:val="00733FBD"/>
    <w:rsid w:val="007371AC"/>
    <w:rsid w:val="00743D03"/>
    <w:rsid w:val="0075483A"/>
    <w:rsid w:val="00754DAD"/>
    <w:rsid w:val="00755E66"/>
    <w:rsid w:val="0075675E"/>
    <w:rsid w:val="00757856"/>
    <w:rsid w:val="00760265"/>
    <w:rsid w:val="007607AE"/>
    <w:rsid w:val="00760B23"/>
    <w:rsid w:val="00761AAE"/>
    <w:rsid w:val="00770BA8"/>
    <w:rsid w:val="00770DEA"/>
    <w:rsid w:val="00775B3C"/>
    <w:rsid w:val="007766E7"/>
    <w:rsid w:val="007816A0"/>
    <w:rsid w:val="007822D8"/>
    <w:rsid w:val="00782D32"/>
    <w:rsid w:val="00786B7C"/>
    <w:rsid w:val="00787B7D"/>
    <w:rsid w:val="00790C82"/>
    <w:rsid w:val="007917CA"/>
    <w:rsid w:val="0079200B"/>
    <w:rsid w:val="00793E15"/>
    <w:rsid w:val="007941F5"/>
    <w:rsid w:val="00794234"/>
    <w:rsid w:val="00794521"/>
    <w:rsid w:val="00795985"/>
    <w:rsid w:val="0079648D"/>
    <w:rsid w:val="007A11D7"/>
    <w:rsid w:val="007A3330"/>
    <w:rsid w:val="007A71C0"/>
    <w:rsid w:val="007B06D3"/>
    <w:rsid w:val="007B1D71"/>
    <w:rsid w:val="007B2090"/>
    <w:rsid w:val="007B36FF"/>
    <w:rsid w:val="007B5072"/>
    <w:rsid w:val="007B5BAA"/>
    <w:rsid w:val="007C144B"/>
    <w:rsid w:val="007C14C5"/>
    <w:rsid w:val="007C558D"/>
    <w:rsid w:val="007C5C1A"/>
    <w:rsid w:val="007C6943"/>
    <w:rsid w:val="007C78C8"/>
    <w:rsid w:val="007C796A"/>
    <w:rsid w:val="007D5CD9"/>
    <w:rsid w:val="007D69B1"/>
    <w:rsid w:val="007D7A47"/>
    <w:rsid w:val="007E1F09"/>
    <w:rsid w:val="007E3CA1"/>
    <w:rsid w:val="007E42CC"/>
    <w:rsid w:val="007F3E89"/>
    <w:rsid w:val="007F5921"/>
    <w:rsid w:val="007F6CBE"/>
    <w:rsid w:val="0080150C"/>
    <w:rsid w:val="00801B7D"/>
    <w:rsid w:val="0080303A"/>
    <w:rsid w:val="00804A00"/>
    <w:rsid w:val="00804AC2"/>
    <w:rsid w:val="00804ACD"/>
    <w:rsid w:val="00806977"/>
    <w:rsid w:val="00806ACE"/>
    <w:rsid w:val="008071D9"/>
    <w:rsid w:val="00807AFB"/>
    <w:rsid w:val="0081050D"/>
    <w:rsid w:val="0081071B"/>
    <w:rsid w:val="008114B2"/>
    <w:rsid w:val="0081272E"/>
    <w:rsid w:val="008127C1"/>
    <w:rsid w:val="00820F09"/>
    <w:rsid w:val="00821262"/>
    <w:rsid w:val="00821C45"/>
    <w:rsid w:val="00821CE8"/>
    <w:rsid w:val="008232FC"/>
    <w:rsid w:val="00824394"/>
    <w:rsid w:val="008243D3"/>
    <w:rsid w:val="008254B6"/>
    <w:rsid w:val="008265BA"/>
    <w:rsid w:val="008268F1"/>
    <w:rsid w:val="00832094"/>
    <w:rsid w:val="008325D3"/>
    <w:rsid w:val="00833404"/>
    <w:rsid w:val="00834051"/>
    <w:rsid w:val="00837728"/>
    <w:rsid w:val="00837F4D"/>
    <w:rsid w:val="00842B97"/>
    <w:rsid w:val="00844138"/>
    <w:rsid w:val="00846A90"/>
    <w:rsid w:val="00846A9B"/>
    <w:rsid w:val="00847425"/>
    <w:rsid w:val="00850F01"/>
    <w:rsid w:val="00855868"/>
    <w:rsid w:val="00861449"/>
    <w:rsid w:val="00861C54"/>
    <w:rsid w:val="00861CE7"/>
    <w:rsid w:val="00864599"/>
    <w:rsid w:val="0086719F"/>
    <w:rsid w:val="00871771"/>
    <w:rsid w:val="00871C72"/>
    <w:rsid w:val="008720A5"/>
    <w:rsid w:val="00872874"/>
    <w:rsid w:val="00873F8D"/>
    <w:rsid w:val="00874571"/>
    <w:rsid w:val="00875276"/>
    <w:rsid w:val="0087679A"/>
    <w:rsid w:val="00876F4B"/>
    <w:rsid w:val="00877623"/>
    <w:rsid w:val="008818BC"/>
    <w:rsid w:val="008832BB"/>
    <w:rsid w:val="0089044B"/>
    <w:rsid w:val="008911D1"/>
    <w:rsid w:val="00891200"/>
    <w:rsid w:val="008917F5"/>
    <w:rsid w:val="0089215D"/>
    <w:rsid w:val="00893E68"/>
    <w:rsid w:val="0089588C"/>
    <w:rsid w:val="00896881"/>
    <w:rsid w:val="00896AE8"/>
    <w:rsid w:val="008A35D5"/>
    <w:rsid w:val="008A4A48"/>
    <w:rsid w:val="008A7500"/>
    <w:rsid w:val="008A76EA"/>
    <w:rsid w:val="008A7A18"/>
    <w:rsid w:val="008B2885"/>
    <w:rsid w:val="008B5DD4"/>
    <w:rsid w:val="008C2132"/>
    <w:rsid w:val="008C27D4"/>
    <w:rsid w:val="008C5907"/>
    <w:rsid w:val="008D32E6"/>
    <w:rsid w:val="008D3666"/>
    <w:rsid w:val="008D4447"/>
    <w:rsid w:val="008D530F"/>
    <w:rsid w:val="008E4BDE"/>
    <w:rsid w:val="008E4BED"/>
    <w:rsid w:val="008F5451"/>
    <w:rsid w:val="00900E79"/>
    <w:rsid w:val="00901A38"/>
    <w:rsid w:val="00903880"/>
    <w:rsid w:val="00904CBF"/>
    <w:rsid w:val="009072FB"/>
    <w:rsid w:val="00907EBD"/>
    <w:rsid w:val="009149C6"/>
    <w:rsid w:val="00914FD3"/>
    <w:rsid w:val="00920C01"/>
    <w:rsid w:val="0092466A"/>
    <w:rsid w:val="0092625D"/>
    <w:rsid w:val="00931755"/>
    <w:rsid w:val="00932113"/>
    <w:rsid w:val="00932371"/>
    <w:rsid w:val="0093245F"/>
    <w:rsid w:val="00933BFF"/>
    <w:rsid w:val="00937344"/>
    <w:rsid w:val="009404A5"/>
    <w:rsid w:val="00940ED3"/>
    <w:rsid w:val="0094595C"/>
    <w:rsid w:val="00945D2B"/>
    <w:rsid w:val="00946429"/>
    <w:rsid w:val="009476AE"/>
    <w:rsid w:val="00947740"/>
    <w:rsid w:val="00953495"/>
    <w:rsid w:val="009548B8"/>
    <w:rsid w:val="0095582D"/>
    <w:rsid w:val="0096105B"/>
    <w:rsid w:val="009623EE"/>
    <w:rsid w:val="00963C8F"/>
    <w:rsid w:val="0096456E"/>
    <w:rsid w:val="009671DC"/>
    <w:rsid w:val="00970ADB"/>
    <w:rsid w:val="00971151"/>
    <w:rsid w:val="00972AFB"/>
    <w:rsid w:val="00973CE5"/>
    <w:rsid w:val="00974811"/>
    <w:rsid w:val="00974B00"/>
    <w:rsid w:val="0097693A"/>
    <w:rsid w:val="00980B39"/>
    <w:rsid w:val="00980D88"/>
    <w:rsid w:val="00981AF1"/>
    <w:rsid w:val="009828DD"/>
    <w:rsid w:val="009839BD"/>
    <w:rsid w:val="00983D81"/>
    <w:rsid w:val="00985F86"/>
    <w:rsid w:val="009867B5"/>
    <w:rsid w:val="0099033E"/>
    <w:rsid w:val="00991831"/>
    <w:rsid w:val="009931E3"/>
    <w:rsid w:val="00994C8F"/>
    <w:rsid w:val="00995AA0"/>
    <w:rsid w:val="009962C7"/>
    <w:rsid w:val="00996AFB"/>
    <w:rsid w:val="00997F6A"/>
    <w:rsid w:val="009A153D"/>
    <w:rsid w:val="009A2629"/>
    <w:rsid w:val="009A4E33"/>
    <w:rsid w:val="009A4F65"/>
    <w:rsid w:val="009B0D26"/>
    <w:rsid w:val="009B2E97"/>
    <w:rsid w:val="009B7303"/>
    <w:rsid w:val="009B75D2"/>
    <w:rsid w:val="009C1E0F"/>
    <w:rsid w:val="009C3022"/>
    <w:rsid w:val="009C3031"/>
    <w:rsid w:val="009C5D61"/>
    <w:rsid w:val="009C6E6E"/>
    <w:rsid w:val="009D5348"/>
    <w:rsid w:val="009D7759"/>
    <w:rsid w:val="009D7B86"/>
    <w:rsid w:val="009E0903"/>
    <w:rsid w:val="009E0CF4"/>
    <w:rsid w:val="009E1249"/>
    <w:rsid w:val="009E3D47"/>
    <w:rsid w:val="009E43C5"/>
    <w:rsid w:val="009E6AD0"/>
    <w:rsid w:val="009E703D"/>
    <w:rsid w:val="009F0DC4"/>
    <w:rsid w:val="009F18A0"/>
    <w:rsid w:val="009F44B1"/>
    <w:rsid w:val="00A02943"/>
    <w:rsid w:val="00A02E18"/>
    <w:rsid w:val="00A06B6C"/>
    <w:rsid w:val="00A0741E"/>
    <w:rsid w:val="00A07508"/>
    <w:rsid w:val="00A07B65"/>
    <w:rsid w:val="00A10CD0"/>
    <w:rsid w:val="00A1110C"/>
    <w:rsid w:val="00A12C31"/>
    <w:rsid w:val="00A16566"/>
    <w:rsid w:val="00A20DA9"/>
    <w:rsid w:val="00A221BB"/>
    <w:rsid w:val="00A2299C"/>
    <w:rsid w:val="00A23578"/>
    <w:rsid w:val="00A23793"/>
    <w:rsid w:val="00A2457E"/>
    <w:rsid w:val="00A31B85"/>
    <w:rsid w:val="00A3212F"/>
    <w:rsid w:val="00A33D88"/>
    <w:rsid w:val="00A3558F"/>
    <w:rsid w:val="00A361F7"/>
    <w:rsid w:val="00A369D2"/>
    <w:rsid w:val="00A3704A"/>
    <w:rsid w:val="00A40EFB"/>
    <w:rsid w:val="00A4122B"/>
    <w:rsid w:val="00A42342"/>
    <w:rsid w:val="00A427A6"/>
    <w:rsid w:val="00A43392"/>
    <w:rsid w:val="00A44733"/>
    <w:rsid w:val="00A45A88"/>
    <w:rsid w:val="00A53B4E"/>
    <w:rsid w:val="00A548A1"/>
    <w:rsid w:val="00A55592"/>
    <w:rsid w:val="00A574EC"/>
    <w:rsid w:val="00A57ACE"/>
    <w:rsid w:val="00A60019"/>
    <w:rsid w:val="00A650EE"/>
    <w:rsid w:val="00A67031"/>
    <w:rsid w:val="00A71472"/>
    <w:rsid w:val="00A77147"/>
    <w:rsid w:val="00A83382"/>
    <w:rsid w:val="00A853EB"/>
    <w:rsid w:val="00A85A4A"/>
    <w:rsid w:val="00A91310"/>
    <w:rsid w:val="00A921DF"/>
    <w:rsid w:val="00A92725"/>
    <w:rsid w:val="00A95DC8"/>
    <w:rsid w:val="00A96440"/>
    <w:rsid w:val="00A96B4B"/>
    <w:rsid w:val="00A97DE8"/>
    <w:rsid w:val="00AA2675"/>
    <w:rsid w:val="00AA293A"/>
    <w:rsid w:val="00AA39C3"/>
    <w:rsid w:val="00AA3D8F"/>
    <w:rsid w:val="00AA59F1"/>
    <w:rsid w:val="00AA5B10"/>
    <w:rsid w:val="00AB36E6"/>
    <w:rsid w:val="00AB43C0"/>
    <w:rsid w:val="00AB4813"/>
    <w:rsid w:val="00AB5791"/>
    <w:rsid w:val="00AB6B86"/>
    <w:rsid w:val="00AC0AE7"/>
    <w:rsid w:val="00AC1095"/>
    <w:rsid w:val="00AC32C3"/>
    <w:rsid w:val="00AC3C67"/>
    <w:rsid w:val="00AC45F7"/>
    <w:rsid w:val="00AC4E42"/>
    <w:rsid w:val="00AC6EAA"/>
    <w:rsid w:val="00AC70DF"/>
    <w:rsid w:val="00AD041A"/>
    <w:rsid w:val="00AD7100"/>
    <w:rsid w:val="00AE09FF"/>
    <w:rsid w:val="00AE0C3F"/>
    <w:rsid w:val="00AE1547"/>
    <w:rsid w:val="00AE4A3B"/>
    <w:rsid w:val="00AE5752"/>
    <w:rsid w:val="00AE5B9D"/>
    <w:rsid w:val="00AF101D"/>
    <w:rsid w:val="00AF1A9E"/>
    <w:rsid w:val="00B00782"/>
    <w:rsid w:val="00B01D6E"/>
    <w:rsid w:val="00B02C9F"/>
    <w:rsid w:val="00B02FC9"/>
    <w:rsid w:val="00B0429F"/>
    <w:rsid w:val="00B05349"/>
    <w:rsid w:val="00B05456"/>
    <w:rsid w:val="00B0577E"/>
    <w:rsid w:val="00B05A81"/>
    <w:rsid w:val="00B05B02"/>
    <w:rsid w:val="00B105A1"/>
    <w:rsid w:val="00B13E61"/>
    <w:rsid w:val="00B151B1"/>
    <w:rsid w:val="00B15573"/>
    <w:rsid w:val="00B17430"/>
    <w:rsid w:val="00B2125D"/>
    <w:rsid w:val="00B243A9"/>
    <w:rsid w:val="00B25943"/>
    <w:rsid w:val="00B25D14"/>
    <w:rsid w:val="00B26372"/>
    <w:rsid w:val="00B32936"/>
    <w:rsid w:val="00B329B4"/>
    <w:rsid w:val="00B33471"/>
    <w:rsid w:val="00B35A19"/>
    <w:rsid w:val="00B41368"/>
    <w:rsid w:val="00B422FF"/>
    <w:rsid w:val="00B46F66"/>
    <w:rsid w:val="00B50D27"/>
    <w:rsid w:val="00B51075"/>
    <w:rsid w:val="00B54EFF"/>
    <w:rsid w:val="00B552E3"/>
    <w:rsid w:val="00B562BC"/>
    <w:rsid w:val="00B56608"/>
    <w:rsid w:val="00B5790C"/>
    <w:rsid w:val="00B61F5A"/>
    <w:rsid w:val="00B6320E"/>
    <w:rsid w:val="00B6380F"/>
    <w:rsid w:val="00B6490D"/>
    <w:rsid w:val="00B6494D"/>
    <w:rsid w:val="00B64DAD"/>
    <w:rsid w:val="00B65E0E"/>
    <w:rsid w:val="00B660DA"/>
    <w:rsid w:val="00B66C86"/>
    <w:rsid w:val="00B67519"/>
    <w:rsid w:val="00B67BB0"/>
    <w:rsid w:val="00B703E5"/>
    <w:rsid w:val="00B704F3"/>
    <w:rsid w:val="00B7470F"/>
    <w:rsid w:val="00B74D69"/>
    <w:rsid w:val="00B7530F"/>
    <w:rsid w:val="00B75AEE"/>
    <w:rsid w:val="00B76C2E"/>
    <w:rsid w:val="00B76DE3"/>
    <w:rsid w:val="00B7736F"/>
    <w:rsid w:val="00B77B3D"/>
    <w:rsid w:val="00B77F6C"/>
    <w:rsid w:val="00B80C99"/>
    <w:rsid w:val="00B81A88"/>
    <w:rsid w:val="00B8203B"/>
    <w:rsid w:val="00B87ADF"/>
    <w:rsid w:val="00B91EAF"/>
    <w:rsid w:val="00B92937"/>
    <w:rsid w:val="00B93884"/>
    <w:rsid w:val="00B94E45"/>
    <w:rsid w:val="00B96790"/>
    <w:rsid w:val="00B971E0"/>
    <w:rsid w:val="00BA0E31"/>
    <w:rsid w:val="00BA2E58"/>
    <w:rsid w:val="00BA4333"/>
    <w:rsid w:val="00BA4C37"/>
    <w:rsid w:val="00BA784D"/>
    <w:rsid w:val="00BB17E4"/>
    <w:rsid w:val="00BB2590"/>
    <w:rsid w:val="00BB4249"/>
    <w:rsid w:val="00BB5865"/>
    <w:rsid w:val="00BB5A66"/>
    <w:rsid w:val="00BB5C0C"/>
    <w:rsid w:val="00BB5E8F"/>
    <w:rsid w:val="00BC1306"/>
    <w:rsid w:val="00BC3119"/>
    <w:rsid w:val="00BC43B9"/>
    <w:rsid w:val="00BD07B8"/>
    <w:rsid w:val="00BD0937"/>
    <w:rsid w:val="00BD302C"/>
    <w:rsid w:val="00BD516B"/>
    <w:rsid w:val="00BD5E42"/>
    <w:rsid w:val="00BD625E"/>
    <w:rsid w:val="00BE169E"/>
    <w:rsid w:val="00BE1D29"/>
    <w:rsid w:val="00BE27C3"/>
    <w:rsid w:val="00BE628F"/>
    <w:rsid w:val="00BE67A0"/>
    <w:rsid w:val="00BE6ABC"/>
    <w:rsid w:val="00BE70BC"/>
    <w:rsid w:val="00BF00F3"/>
    <w:rsid w:val="00BF084F"/>
    <w:rsid w:val="00BF0E08"/>
    <w:rsid w:val="00BF1C6E"/>
    <w:rsid w:val="00BF37A6"/>
    <w:rsid w:val="00BF391D"/>
    <w:rsid w:val="00BF3B8C"/>
    <w:rsid w:val="00C00954"/>
    <w:rsid w:val="00C00997"/>
    <w:rsid w:val="00C01BD3"/>
    <w:rsid w:val="00C113F6"/>
    <w:rsid w:val="00C23138"/>
    <w:rsid w:val="00C24626"/>
    <w:rsid w:val="00C260CD"/>
    <w:rsid w:val="00C26390"/>
    <w:rsid w:val="00C26EA8"/>
    <w:rsid w:val="00C27918"/>
    <w:rsid w:val="00C307B5"/>
    <w:rsid w:val="00C31008"/>
    <w:rsid w:val="00C31DA7"/>
    <w:rsid w:val="00C31FCB"/>
    <w:rsid w:val="00C33066"/>
    <w:rsid w:val="00C33A64"/>
    <w:rsid w:val="00C37233"/>
    <w:rsid w:val="00C40DB0"/>
    <w:rsid w:val="00C40FB0"/>
    <w:rsid w:val="00C43C21"/>
    <w:rsid w:val="00C47595"/>
    <w:rsid w:val="00C507CE"/>
    <w:rsid w:val="00C52784"/>
    <w:rsid w:val="00C531E4"/>
    <w:rsid w:val="00C53B5E"/>
    <w:rsid w:val="00C5571A"/>
    <w:rsid w:val="00C57433"/>
    <w:rsid w:val="00C6005C"/>
    <w:rsid w:val="00C607CA"/>
    <w:rsid w:val="00C61C1D"/>
    <w:rsid w:val="00C623FF"/>
    <w:rsid w:val="00C62BEE"/>
    <w:rsid w:val="00C630B5"/>
    <w:rsid w:val="00C6462E"/>
    <w:rsid w:val="00C64B61"/>
    <w:rsid w:val="00C661E0"/>
    <w:rsid w:val="00C7022E"/>
    <w:rsid w:val="00C70E00"/>
    <w:rsid w:val="00C71F3C"/>
    <w:rsid w:val="00C71F7F"/>
    <w:rsid w:val="00C73DDF"/>
    <w:rsid w:val="00C7417D"/>
    <w:rsid w:val="00C83260"/>
    <w:rsid w:val="00C83967"/>
    <w:rsid w:val="00C8530C"/>
    <w:rsid w:val="00C93F92"/>
    <w:rsid w:val="00C94273"/>
    <w:rsid w:val="00C962D4"/>
    <w:rsid w:val="00CA2985"/>
    <w:rsid w:val="00CA2B22"/>
    <w:rsid w:val="00CA320E"/>
    <w:rsid w:val="00CA4AD1"/>
    <w:rsid w:val="00CA74DA"/>
    <w:rsid w:val="00CA7687"/>
    <w:rsid w:val="00CA7D84"/>
    <w:rsid w:val="00CB1B6A"/>
    <w:rsid w:val="00CB328B"/>
    <w:rsid w:val="00CB32AF"/>
    <w:rsid w:val="00CB4BB2"/>
    <w:rsid w:val="00CB5B92"/>
    <w:rsid w:val="00CC26B7"/>
    <w:rsid w:val="00CC6447"/>
    <w:rsid w:val="00CC6E1F"/>
    <w:rsid w:val="00CD1E4D"/>
    <w:rsid w:val="00CD2ADC"/>
    <w:rsid w:val="00CD3705"/>
    <w:rsid w:val="00CD3811"/>
    <w:rsid w:val="00CD672F"/>
    <w:rsid w:val="00CD7558"/>
    <w:rsid w:val="00CD77C0"/>
    <w:rsid w:val="00CE32AE"/>
    <w:rsid w:val="00CE58D7"/>
    <w:rsid w:val="00CE5F34"/>
    <w:rsid w:val="00CE73F6"/>
    <w:rsid w:val="00CF2ABA"/>
    <w:rsid w:val="00CF3D40"/>
    <w:rsid w:val="00CF5B94"/>
    <w:rsid w:val="00D00ED0"/>
    <w:rsid w:val="00D0127D"/>
    <w:rsid w:val="00D03252"/>
    <w:rsid w:val="00D04C7A"/>
    <w:rsid w:val="00D06481"/>
    <w:rsid w:val="00D067A0"/>
    <w:rsid w:val="00D067A6"/>
    <w:rsid w:val="00D06D4B"/>
    <w:rsid w:val="00D10DFD"/>
    <w:rsid w:val="00D111C4"/>
    <w:rsid w:val="00D136CF"/>
    <w:rsid w:val="00D13AA2"/>
    <w:rsid w:val="00D142A0"/>
    <w:rsid w:val="00D14411"/>
    <w:rsid w:val="00D15FCF"/>
    <w:rsid w:val="00D162CF"/>
    <w:rsid w:val="00D16604"/>
    <w:rsid w:val="00D16EF3"/>
    <w:rsid w:val="00D16F81"/>
    <w:rsid w:val="00D20405"/>
    <w:rsid w:val="00D215D2"/>
    <w:rsid w:val="00D21D3E"/>
    <w:rsid w:val="00D224B7"/>
    <w:rsid w:val="00D230EE"/>
    <w:rsid w:val="00D23D86"/>
    <w:rsid w:val="00D2510D"/>
    <w:rsid w:val="00D25212"/>
    <w:rsid w:val="00D26F3E"/>
    <w:rsid w:val="00D303B9"/>
    <w:rsid w:val="00D312E6"/>
    <w:rsid w:val="00D3701C"/>
    <w:rsid w:val="00D42774"/>
    <w:rsid w:val="00D44896"/>
    <w:rsid w:val="00D448BD"/>
    <w:rsid w:val="00D45D88"/>
    <w:rsid w:val="00D46345"/>
    <w:rsid w:val="00D54B6C"/>
    <w:rsid w:val="00D54E7D"/>
    <w:rsid w:val="00D54FAD"/>
    <w:rsid w:val="00D55D1F"/>
    <w:rsid w:val="00D57C94"/>
    <w:rsid w:val="00D62BFE"/>
    <w:rsid w:val="00D649A6"/>
    <w:rsid w:val="00D64C83"/>
    <w:rsid w:val="00D6552D"/>
    <w:rsid w:val="00D6618A"/>
    <w:rsid w:val="00D677EE"/>
    <w:rsid w:val="00D70DB0"/>
    <w:rsid w:val="00D71808"/>
    <w:rsid w:val="00D71A24"/>
    <w:rsid w:val="00D72D7B"/>
    <w:rsid w:val="00D72EEC"/>
    <w:rsid w:val="00D736EC"/>
    <w:rsid w:val="00D7655F"/>
    <w:rsid w:val="00D80C95"/>
    <w:rsid w:val="00D83ED2"/>
    <w:rsid w:val="00D84586"/>
    <w:rsid w:val="00D849E4"/>
    <w:rsid w:val="00D84FF1"/>
    <w:rsid w:val="00D86813"/>
    <w:rsid w:val="00D86BCC"/>
    <w:rsid w:val="00D90ABB"/>
    <w:rsid w:val="00D914B9"/>
    <w:rsid w:val="00D91AF0"/>
    <w:rsid w:val="00D91E14"/>
    <w:rsid w:val="00D92C9C"/>
    <w:rsid w:val="00D939C5"/>
    <w:rsid w:val="00D93BDE"/>
    <w:rsid w:val="00D94330"/>
    <w:rsid w:val="00D970A0"/>
    <w:rsid w:val="00D97363"/>
    <w:rsid w:val="00D975CC"/>
    <w:rsid w:val="00DA1039"/>
    <w:rsid w:val="00DA1408"/>
    <w:rsid w:val="00DA156F"/>
    <w:rsid w:val="00DA17CE"/>
    <w:rsid w:val="00DA1C66"/>
    <w:rsid w:val="00DA21AE"/>
    <w:rsid w:val="00DA3170"/>
    <w:rsid w:val="00DA599A"/>
    <w:rsid w:val="00DA6AAE"/>
    <w:rsid w:val="00DA74B5"/>
    <w:rsid w:val="00DA75A3"/>
    <w:rsid w:val="00DB0168"/>
    <w:rsid w:val="00DB209B"/>
    <w:rsid w:val="00DB4180"/>
    <w:rsid w:val="00DC05D0"/>
    <w:rsid w:val="00DC0641"/>
    <w:rsid w:val="00DC274E"/>
    <w:rsid w:val="00DC4922"/>
    <w:rsid w:val="00DC4D34"/>
    <w:rsid w:val="00DC60AE"/>
    <w:rsid w:val="00DC77CA"/>
    <w:rsid w:val="00DD415C"/>
    <w:rsid w:val="00DD5C07"/>
    <w:rsid w:val="00DD63B9"/>
    <w:rsid w:val="00DE1688"/>
    <w:rsid w:val="00DE1E71"/>
    <w:rsid w:val="00DE2822"/>
    <w:rsid w:val="00DE3FA2"/>
    <w:rsid w:val="00DE54CA"/>
    <w:rsid w:val="00DE623D"/>
    <w:rsid w:val="00DF0255"/>
    <w:rsid w:val="00DF1B73"/>
    <w:rsid w:val="00DF39E9"/>
    <w:rsid w:val="00E0078E"/>
    <w:rsid w:val="00E027E3"/>
    <w:rsid w:val="00E02F45"/>
    <w:rsid w:val="00E0498C"/>
    <w:rsid w:val="00E06E33"/>
    <w:rsid w:val="00E07083"/>
    <w:rsid w:val="00E109B4"/>
    <w:rsid w:val="00E124A6"/>
    <w:rsid w:val="00E144CB"/>
    <w:rsid w:val="00E148CB"/>
    <w:rsid w:val="00E1545C"/>
    <w:rsid w:val="00E16C44"/>
    <w:rsid w:val="00E200E0"/>
    <w:rsid w:val="00E2039C"/>
    <w:rsid w:val="00E2199A"/>
    <w:rsid w:val="00E23CA5"/>
    <w:rsid w:val="00E23FAD"/>
    <w:rsid w:val="00E24AD0"/>
    <w:rsid w:val="00E27376"/>
    <w:rsid w:val="00E31EB1"/>
    <w:rsid w:val="00E327E9"/>
    <w:rsid w:val="00E33AF8"/>
    <w:rsid w:val="00E34777"/>
    <w:rsid w:val="00E34FE4"/>
    <w:rsid w:val="00E35011"/>
    <w:rsid w:val="00E36916"/>
    <w:rsid w:val="00E415C0"/>
    <w:rsid w:val="00E4229D"/>
    <w:rsid w:val="00E43C14"/>
    <w:rsid w:val="00E43E4F"/>
    <w:rsid w:val="00E44CC6"/>
    <w:rsid w:val="00E45B93"/>
    <w:rsid w:val="00E51C4B"/>
    <w:rsid w:val="00E52F47"/>
    <w:rsid w:val="00E57638"/>
    <w:rsid w:val="00E606A5"/>
    <w:rsid w:val="00E61941"/>
    <w:rsid w:val="00E61E34"/>
    <w:rsid w:val="00E644DE"/>
    <w:rsid w:val="00E6471F"/>
    <w:rsid w:val="00E65367"/>
    <w:rsid w:val="00E654BD"/>
    <w:rsid w:val="00E65649"/>
    <w:rsid w:val="00E66E7E"/>
    <w:rsid w:val="00E67712"/>
    <w:rsid w:val="00E73247"/>
    <w:rsid w:val="00E734E3"/>
    <w:rsid w:val="00E738D1"/>
    <w:rsid w:val="00E73DD1"/>
    <w:rsid w:val="00E74E37"/>
    <w:rsid w:val="00E774F8"/>
    <w:rsid w:val="00E80548"/>
    <w:rsid w:val="00E822F4"/>
    <w:rsid w:val="00E8262A"/>
    <w:rsid w:val="00E8584B"/>
    <w:rsid w:val="00E869AF"/>
    <w:rsid w:val="00E87580"/>
    <w:rsid w:val="00E87D66"/>
    <w:rsid w:val="00E913DC"/>
    <w:rsid w:val="00E94688"/>
    <w:rsid w:val="00E95F7C"/>
    <w:rsid w:val="00E961B7"/>
    <w:rsid w:val="00EA0F49"/>
    <w:rsid w:val="00EA4532"/>
    <w:rsid w:val="00EA4CA8"/>
    <w:rsid w:val="00EA50F2"/>
    <w:rsid w:val="00EA5108"/>
    <w:rsid w:val="00EA712B"/>
    <w:rsid w:val="00EA75A4"/>
    <w:rsid w:val="00EB16FB"/>
    <w:rsid w:val="00EB18E4"/>
    <w:rsid w:val="00EB2671"/>
    <w:rsid w:val="00EB7CDB"/>
    <w:rsid w:val="00EC105A"/>
    <w:rsid w:val="00EC197C"/>
    <w:rsid w:val="00EC5E9C"/>
    <w:rsid w:val="00EC733C"/>
    <w:rsid w:val="00ED1C01"/>
    <w:rsid w:val="00ED1E62"/>
    <w:rsid w:val="00ED218B"/>
    <w:rsid w:val="00ED2F30"/>
    <w:rsid w:val="00ED34FA"/>
    <w:rsid w:val="00ED4E56"/>
    <w:rsid w:val="00ED65C1"/>
    <w:rsid w:val="00EE08FB"/>
    <w:rsid w:val="00EE1FB7"/>
    <w:rsid w:val="00EE288D"/>
    <w:rsid w:val="00EE2A38"/>
    <w:rsid w:val="00EE348F"/>
    <w:rsid w:val="00EE3859"/>
    <w:rsid w:val="00EE4538"/>
    <w:rsid w:val="00EF036E"/>
    <w:rsid w:val="00EF0759"/>
    <w:rsid w:val="00EF1127"/>
    <w:rsid w:val="00EF142E"/>
    <w:rsid w:val="00EF22BD"/>
    <w:rsid w:val="00EF4360"/>
    <w:rsid w:val="00EF449C"/>
    <w:rsid w:val="00EF65BD"/>
    <w:rsid w:val="00F01EB7"/>
    <w:rsid w:val="00F02052"/>
    <w:rsid w:val="00F02081"/>
    <w:rsid w:val="00F030E6"/>
    <w:rsid w:val="00F04973"/>
    <w:rsid w:val="00F04B56"/>
    <w:rsid w:val="00F05BB8"/>
    <w:rsid w:val="00F11C46"/>
    <w:rsid w:val="00F12037"/>
    <w:rsid w:val="00F12CD8"/>
    <w:rsid w:val="00F14CFA"/>
    <w:rsid w:val="00F15784"/>
    <w:rsid w:val="00F162BE"/>
    <w:rsid w:val="00F1701A"/>
    <w:rsid w:val="00F21C8C"/>
    <w:rsid w:val="00F31D6C"/>
    <w:rsid w:val="00F32F70"/>
    <w:rsid w:val="00F33AB2"/>
    <w:rsid w:val="00F34084"/>
    <w:rsid w:val="00F34A34"/>
    <w:rsid w:val="00F358DB"/>
    <w:rsid w:val="00F35F53"/>
    <w:rsid w:val="00F35FDC"/>
    <w:rsid w:val="00F40CB9"/>
    <w:rsid w:val="00F41C53"/>
    <w:rsid w:val="00F43CF3"/>
    <w:rsid w:val="00F44FBF"/>
    <w:rsid w:val="00F45429"/>
    <w:rsid w:val="00F51DFE"/>
    <w:rsid w:val="00F5323C"/>
    <w:rsid w:val="00F53FBE"/>
    <w:rsid w:val="00F541C0"/>
    <w:rsid w:val="00F54392"/>
    <w:rsid w:val="00F552B4"/>
    <w:rsid w:val="00F6026A"/>
    <w:rsid w:val="00F60BFF"/>
    <w:rsid w:val="00F6137B"/>
    <w:rsid w:val="00F61BF3"/>
    <w:rsid w:val="00F61E44"/>
    <w:rsid w:val="00F62FFA"/>
    <w:rsid w:val="00F63219"/>
    <w:rsid w:val="00F634CC"/>
    <w:rsid w:val="00F63B75"/>
    <w:rsid w:val="00F63CC7"/>
    <w:rsid w:val="00F67BA5"/>
    <w:rsid w:val="00F67FB4"/>
    <w:rsid w:val="00F7111C"/>
    <w:rsid w:val="00F7115E"/>
    <w:rsid w:val="00F71FA9"/>
    <w:rsid w:val="00F72B40"/>
    <w:rsid w:val="00F737F5"/>
    <w:rsid w:val="00F73CD0"/>
    <w:rsid w:val="00F7674F"/>
    <w:rsid w:val="00F76D95"/>
    <w:rsid w:val="00F80282"/>
    <w:rsid w:val="00F81DEF"/>
    <w:rsid w:val="00F8561A"/>
    <w:rsid w:val="00F87D63"/>
    <w:rsid w:val="00F92BF4"/>
    <w:rsid w:val="00F9440D"/>
    <w:rsid w:val="00FA052C"/>
    <w:rsid w:val="00FA2F1A"/>
    <w:rsid w:val="00FA592D"/>
    <w:rsid w:val="00FA701D"/>
    <w:rsid w:val="00FA7F3B"/>
    <w:rsid w:val="00FB0C25"/>
    <w:rsid w:val="00FB1107"/>
    <w:rsid w:val="00FB25D3"/>
    <w:rsid w:val="00FB71E8"/>
    <w:rsid w:val="00FC0AF0"/>
    <w:rsid w:val="00FC1337"/>
    <w:rsid w:val="00FC53EC"/>
    <w:rsid w:val="00FC660D"/>
    <w:rsid w:val="00FC6FE4"/>
    <w:rsid w:val="00FC73F7"/>
    <w:rsid w:val="00FD104C"/>
    <w:rsid w:val="00FD27DE"/>
    <w:rsid w:val="00FD3503"/>
    <w:rsid w:val="00FD4541"/>
    <w:rsid w:val="00FD520A"/>
    <w:rsid w:val="00FD58A3"/>
    <w:rsid w:val="00FE25A0"/>
    <w:rsid w:val="00FE31F6"/>
    <w:rsid w:val="00FE3AD9"/>
    <w:rsid w:val="00FE4A55"/>
    <w:rsid w:val="00FE5696"/>
    <w:rsid w:val="00FE569B"/>
    <w:rsid w:val="00FE6F70"/>
    <w:rsid w:val="00FE6FA2"/>
    <w:rsid w:val="00FE7149"/>
    <w:rsid w:val="00FF04D0"/>
    <w:rsid w:val="00FF0536"/>
    <w:rsid w:val="00FF1174"/>
    <w:rsid w:val="00FF22C3"/>
    <w:rsid w:val="00FF2AD6"/>
    <w:rsid w:val="00FF2F89"/>
    <w:rsid w:val="00FF45E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F2BFD7F4-8B00-4C06-9940-7995EE15C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777"/>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0Maintext">
    <w:name w:val="0 Main text"/>
    <w:basedOn w:val="Normal"/>
    <w:link w:val="0MaintextChar"/>
    <w:qFormat/>
    <w:rsid w:val="00202075"/>
    <w:pPr>
      <w:spacing w:before="0" w:after="100" w:afterAutospacing="1" w:line="288" w:lineRule="auto"/>
      <w:ind w:firstLine="360"/>
    </w:pPr>
    <w:rPr>
      <w:rFonts w:eastAsia="Malgun Gothic" w:cs="Batang"/>
    </w:rPr>
  </w:style>
  <w:style w:type="character" w:customStyle="1" w:styleId="0MaintextChar">
    <w:name w:val="0 Main text Char"/>
    <w:link w:val="0Maintext"/>
    <w:rsid w:val="00202075"/>
    <w:rPr>
      <w:rFonts w:eastAsia="Malgun Gothic" w:cs="Batang"/>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7AF"/>
    <w:rPr>
      <w:lang w:eastAsia="en-US"/>
    </w:rPr>
  </w:style>
  <w:style w:type="character" w:styleId="Strong">
    <w:name w:val="Strong"/>
    <w:uiPriority w:val="22"/>
    <w:qFormat/>
    <w:rsid w:val="009E6AD0"/>
    <w:rPr>
      <w:b/>
      <w:bCs/>
    </w:rPr>
  </w:style>
  <w:style w:type="character" w:customStyle="1" w:styleId="apple-converted-space">
    <w:name w:val="apple-converted-space"/>
    <w:basedOn w:val="DefaultParagraphFont"/>
    <w:qFormat/>
    <w:rsid w:val="00E1545C"/>
  </w:style>
  <w:style w:type="paragraph" w:customStyle="1" w:styleId="xmsonormal">
    <w:name w:val="xmsonormal"/>
    <w:basedOn w:val="Normal"/>
    <w:uiPriority w:val="99"/>
    <w:rsid w:val="000F2537"/>
    <w:pPr>
      <w:spacing w:before="100" w:beforeAutospacing="1" w:after="100" w:afterAutospacing="1"/>
      <w:jc w:val="left"/>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3" ma:contentTypeDescription="Create a new document." ma:contentTypeScope="" ma:versionID="5a49e89bf68b2e3ce67294c154a02442">
  <xsd:schema xmlns:xsd="http://www.w3.org/2001/XMLSchema" xmlns:xs="http://www.w3.org/2001/XMLSchema" xmlns:p="http://schemas.microsoft.com/office/2006/metadata/properties" xmlns:ns2="d78def48-27c6-4979-bba9-c862a2df76a0" xmlns:ns3="http://schemas.microsoft.com/sharepoint/v4" targetNamespace="http://schemas.microsoft.com/office/2006/metadata/properties" ma:root="true" ma:fieldsID="729e7d1a95c82aeab1e5ef9ea70a4de3" ns2:_="" ns3:_="">
    <xsd:import namespace="d78def48-27c6-4979-bba9-c862a2df76a0"/>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Props1.xml><?xml version="1.0" encoding="utf-8"?>
<ds:datastoreItem xmlns:ds="http://schemas.openxmlformats.org/officeDocument/2006/customXml" ds:itemID="{E2CFF243-D9B2-4A26-A939-C132012CDD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F71ED2-9E56-48B5-BABF-FBE7A3C9C48E}">
  <ds:schemaRefs>
    <ds:schemaRef ds:uri="http://schemas.openxmlformats.org/officeDocument/2006/bibliography"/>
  </ds:schemaRefs>
</ds:datastoreItem>
</file>

<file path=customXml/itemProps3.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4.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1014</Words>
  <Characters>5780</Characters>
  <Application>Microsoft Office Word</Application>
  <DocSecurity>4</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2021-11-06T02:03:00Z</dcterms:created>
  <dcterms:modified xsi:type="dcterms:W3CDTF">2021-11-06T02:03:00Z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