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jc w:val="both"/>
        <w:outlineLvl w:val="0"/>
        <w:rPr>
          <w:rFonts w:hint="default"/>
          <w:b/>
          <w:bCs/>
          <w:sz w:val="28"/>
          <w:szCs w:val="24"/>
          <w:lang w:val="en-US" w:eastAsia="zh-CN"/>
        </w:rPr>
      </w:pPr>
      <w:r>
        <w:rPr>
          <w:rFonts w:eastAsia="Batang"/>
          <w:b/>
          <w:bCs/>
          <w:sz w:val="28"/>
          <w:szCs w:val="24"/>
          <w:lang w:eastAsia="en-US"/>
        </w:rPr>
        <w:t>3GPP TSG RAN WG1 #10</w:t>
      </w:r>
      <w:r>
        <w:rPr>
          <w:rFonts w:hint="eastAsia"/>
          <w:b/>
          <w:bCs/>
          <w:sz w:val="28"/>
          <w:szCs w:val="24"/>
          <w:lang w:val="en-US" w:eastAsia="zh-CN"/>
        </w:rPr>
        <w:t>7</w:t>
      </w:r>
      <w:r>
        <w:rPr>
          <w:rFonts w:eastAsia="Batang"/>
          <w:b/>
          <w:bCs/>
          <w:sz w:val="28"/>
          <w:szCs w:val="24"/>
          <w:lang w:eastAsia="en-US"/>
        </w:rPr>
        <w:t>-e</w:t>
      </w:r>
      <w:r>
        <w:rPr>
          <w:rFonts w:eastAsia="Batang"/>
          <w:b/>
          <w:bCs/>
          <w:sz w:val="28"/>
          <w:szCs w:val="24"/>
          <w:lang w:eastAsia="en-US"/>
        </w:rPr>
        <w:tab/>
      </w:r>
      <w:r>
        <w:rPr>
          <w:rFonts w:eastAsia="Batang"/>
          <w:b/>
          <w:bCs/>
          <w:sz w:val="28"/>
          <w:szCs w:val="24"/>
          <w:lang w:eastAsia="en-US"/>
        </w:rPr>
        <w:tab/>
      </w:r>
      <w:r>
        <w:rPr>
          <w:rFonts w:eastAsia="Batang"/>
          <w:b/>
          <w:bCs/>
          <w:sz w:val="28"/>
          <w:szCs w:val="24"/>
          <w:lang w:eastAsia="en-US"/>
        </w:rPr>
        <w:tab/>
      </w:r>
      <w:r>
        <w:rPr>
          <w:rFonts w:eastAsia="Batang"/>
          <w:b/>
          <w:bCs/>
          <w:sz w:val="28"/>
          <w:szCs w:val="24"/>
          <w:lang w:eastAsia="en-US"/>
        </w:rPr>
        <w:t xml:space="preserve">                      </w:t>
      </w:r>
      <w:r>
        <w:rPr>
          <w:rFonts w:hint="eastAsia"/>
          <w:b/>
          <w:bCs/>
          <w:sz w:val="28"/>
          <w:szCs w:val="24"/>
          <w:lang w:val="en-US" w:eastAsia="zh-CN"/>
        </w:rPr>
        <w:t xml:space="preserve">     </w:t>
      </w:r>
      <w:r>
        <w:rPr>
          <w:rFonts w:eastAsia="Batang"/>
          <w:b/>
          <w:bCs/>
          <w:sz w:val="28"/>
          <w:szCs w:val="24"/>
          <w:lang w:eastAsia="en-US"/>
        </w:rPr>
        <w:t>R1-21</w:t>
      </w:r>
      <w:r>
        <w:rPr>
          <w:rFonts w:hint="eastAsia"/>
          <w:b/>
          <w:bCs/>
          <w:sz w:val="28"/>
          <w:szCs w:val="24"/>
          <w:lang w:val="en-US" w:eastAsia="zh-CN"/>
        </w:rPr>
        <w:t>11631</w:t>
      </w:r>
    </w:p>
    <w:p>
      <w:pPr>
        <w:widowControl w:val="0"/>
        <w:spacing w:after="0"/>
        <w:jc w:val="both"/>
        <w:outlineLvl w:val="0"/>
        <w:rPr>
          <w:rFonts w:eastAsia="Batang"/>
          <w:b/>
          <w:bCs/>
          <w:sz w:val="28"/>
          <w:szCs w:val="24"/>
          <w:lang w:eastAsia="en-US"/>
        </w:rPr>
      </w:pPr>
      <w:r>
        <w:rPr>
          <w:rFonts w:eastAsia="Batang"/>
          <w:b/>
          <w:bCs/>
          <w:sz w:val="28"/>
          <w:szCs w:val="24"/>
          <w:lang w:eastAsia="en-US"/>
        </w:rPr>
        <w:t xml:space="preserve">e-Meeting, </w:t>
      </w:r>
      <w:r>
        <w:rPr>
          <w:rFonts w:hint="eastAsia"/>
          <w:b/>
          <w:bCs/>
          <w:sz w:val="28"/>
          <w:szCs w:val="24"/>
          <w:lang w:val="en-US" w:eastAsia="zh-CN"/>
        </w:rPr>
        <w:t>November</w:t>
      </w:r>
      <w:r>
        <w:rPr>
          <w:rFonts w:eastAsia="Batang"/>
          <w:b/>
          <w:bCs/>
          <w:sz w:val="28"/>
          <w:szCs w:val="24"/>
          <w:lang w:eastAsia="en-US"/>
        </w:rPr>
        <w:t xml:space="preserve"> </w:t>
      </w:r>
      <w:r>
        <w:rPr>
          <w:rFonts w:hint="eastAsia"/>
          <w:b/>
          <w:bCs/>
          <w:sz w:val="28"/>
          <w:szCs w:val="24"/>
          <w:lang w:val="en-US" w:eastAsia="zh-CN"/>
        </w:rPr>
        <w:t>11</w:t>
      </w:r>
      <w:r>
        <w:rPr>
          <w:rFonts w:hint="eastAsia"/>
          <w:b/>
          <w:bCs/>
          <w:sz w:val="28"/>
          <w:szCs w:val="24"/>
          <w:vertAlign w:val="superscript"/>
          <w:lang w:val="en-US" w:eastAsia="zh-CN"/>
        </w:rPr>
        <w:t>th</w:t>
      </w:r>
      <w:r>
        <w:rPr>
          <w:rFonts w:eastAsia="Batang"/>
          <w:b/>
          <w:bCs/>
          <w:sz w:val="28"/>
          <w:szCs w:val="24"/>
          <w:lang w:eastAsia="en-US"/>
        </w:rPr>
        <w:t xml:space="preserve"> – </w:t>
      </w:r>
      <w:r>
        <w:rPr>
          <w:rFonts w:hint="eastAsia"/>
          <w:b/>
          <w:bCs/>
          <w:sz w:val="28"/>
          <w:szCs w:val="24"/>
          <w:lang w:val="en-US" w:eastAsia="zh-CN"/>
        </w:rPr>
        <w:t>19</w:t>
      </w:r>
      <w:r>
        <w:rPr>
          <w:rFonts w:eastAsia="Batang"/>
          <w:b/>
          <w:bCs/>
          <w:sz w:val="28"/>
          <w:szCs w:val="24"/>
          <w:vertAlign w:val="superscript"/>
          <w:lang w:eastAsia="en-US"/>
        </w:rPr>
        <w:t>th</w:t>
      </w:r>
      <w:r>
        <w:rPr>
          <w:rFonts w:eastAsia="Batang"/>
          <w:b/>
          <w:bCs/>
          <w:sz w:val="28"/>
          <w:szCs w:val="24"/>
          <w:lang w:eastAsia="en-US"/>
        </w:rPr>
        <w:t>, 2021</w:t>
      </w:r>
    </w:p>
    <w:p>
      <w:pPr>
        <w:widowControl w:val="0"/>
        <w:spacing w:after="0"/>
        <w:jc w:val="both"/>
        <w:rPr>
          <w:sz w:val="24"/>
          <w:szCs w:val="24"/>
          <w:lang w:eastAsia="zh-CN"/>
        </w:rPr>
      </w:pPr>
    </w:p>
    <w:p>
      <w:pPr>
        <w:pStyle w:val="104"/>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4"/>
        <w:spacing w:after="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 xml:space="preserve">Discussion on cross-carrier scheduling </w:t>
      </w:r>
      <w:bookmarkStart w:id="3" w:name="_Hlk67411226"/>
      <w:r>
        <w:rPr>
          <w:rFonts w:ascii="Times New Roman" w:hAnsi="Times New Roman"/>
          <w:sz w:val="24"/>
          <w:szCs w:val="24"/>
          <w:lang w:val="en-US"/>
        </w:rPr>
        <w:t>from S</w:t>
      </w:r>
      <w:r>
        <w:rPr>
          <w:rFonts w:ascii="Times New Roman" w:hAnsi="Times New Roman"/>
          <w:sz w:val="24"/>
          <w:szCs w:val="24"/>
          <w:lang w:val="en-US" w:eastAsia="zh-CN"/>
        </w:rPr>
        <w:t>C</w:t>
      </w:r>
      <w:r>
        <w:rPr>
          <w:rFonts w:ascii="Times New Roman" w:hAnsi="Times New Roman"/>
          <w:sz w:val="24"/>
          <w:szCs w:val="24"/>
          <w:lang w:val="en-US"/>
        </w:rPr>
        <w:t>ell to P</w:t>
      </w:r>
      <w:r>
        <w:rPr>
          <w:rFonts w:hint="eastAsia" w:ascii="Times New Roman" w:hAnsi="Times New Roman"/>
          <w:sz w:val="24"/>
          <w:szCs w:val="24"/>
          <w:lang w:val="en-US" w:eastAsia="zh-CN"/>
        </w:rPr>
        <w:t>C</w:t>
      </w:r>
      <w:r>
        <w:rPr>
          <w:rFonts w:ascii="Times New Roman" w:hAnsi="Times New Roman"/>
          <w:sz w:val="24"/>
          <w:szCs w:val="24"/>
          <w:lang w:val="en-US"/>
        </w:rPr>
        <w:t>ell</w:t>
      </w:r>
      <w:bookmarkEnd w:id="3"/>
    </w:p>
    <w:p>
      <w:pPr>
        <w:pStyle w:val="104"/>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8.13.1</w:t>
      </w:r>
    </w:p>
    <w:p>
      <w:pPr>
        <w:pStyle w:val="104"/>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5"/>
        </w:numPr>
        <w:rPr>
          <w:rFonts w:ascii="Times New Roman" w:hAnsi="Times New Roman"/>
        </w:rPr>
      </w:pPr>
      <w:bookmarkStart w:id="5" w:name="_Toc120549591"/>
      <w:r>
        <w:rPr>
          <w:rFonts w:ascii="Times New Roman" w:hAnsi="Times New Roman"/>
        </w:rPr>
        <w:t>Introduction</w:t>
      </w:r>
      <w:bookmarkEnd w:id="5"/>
    </w:p>
    <w:p>
      <w:pPr>
        <w:jc w:val="both"/>
        <w:rPr>
          <w:lang w:val="en-US" w:eastAsia="zh-CN"/>
        </w:rPr>
      </w:pPr>
      <w:r>
        <w:rPr>
          <w:rFonts w:hint="eastAsia"/>
          <w:lang w:val="en-US" w:eastAsia="zh-CN"/>
        </w:rPr>
        <w:t>During</w:t>
      </w:r>
      <w:r>
        <w:rPr>
          <w:lang w:eastAsia="zh-CN"/>
        </w:rPr>
        <w:t xml:space="preserve"> last RAN1#10</w:t>
      </w:r>
      <w:r>
        <w:rPr>
          <w:rFonts w:hint="eastAsia"/>
          <w:lang w:val="en-US" w:eastAsia="zh-CN"/>
        </w:rPr>
        <w:t>6b-</w:t>
      </w:r>
      <w:r>
        <w:rPr>
          <w:lang w:eastAsia="zh-CN"/>
        </w:rPr>
        <w:t>e</w:t>
      </w:r>
      <w:r>
        <w:rPr>
          <w:rFonts w:hint="eastAsia"/>
          <w:lang w:val="en-US" w:eastAsia="zh-CN"/>
        </w:rPr>
        <w:t xml:space="preserve"> </w:t>
      </w:r>
      <w:r>
        <w:rPr>
          <w:lang w:eastAsia="zh-CN"/>
        </w:rPr>
        <w:t xml:space="preserve">meeting [1], </w:t>
      </w:r>
      <w:r>
        <w:rPr>
          <w:rFonts w:hint="eastAsia"/>
          <w:lang w:val="en-US" w:eastAsia="zh-CN"/>
        </w:rPr>
        <w:t>issues for cross-carrier scheduling from sSCell to P(S)Cell were discussed and some progress has been achieved to support PDCCH on sSCell scheduling PDSCH/PUSCH on P(S)Cell.</w:t>
      </w:r>
    </w:p>
    <w:p>
      <w:pPr>
        <w:jc w:val="both"/>
        <w:rPr>
          <w:lang w:eastAsia="zh-CN"/>
        </w:rPr>
      </w:pPr>
      <w:r>
        <w:rPr>
          <w:lang w:eastAsia="zh-CN"/>
        </w:rPr>
        <w:t>In this contribution, we will further discuss</w:t>
      </w:r>
      <w:r>
        <w:rPr>
          <w:rFonts w:hint="eastAsia"/>
          <w:lang w:val="en-US" w:eastAsia="zh-CN"/>
        </w:rPr>
        <w:t xml:space="preserve"> and share our views on the remaining issues on the </w:t>
      </w:r>
      <w:r>
        <w:rPr>
          <w:lang w:eastAsia="zh-CN"/>
        </w:rPr>
        <w:t>BD/CCE limit handling and CCS configuration</w:t>
      </w:r>
      <w:r>
        <w:rPr>
          <w:rFonts w:hint="eastAsia"/>
          <w:lang w:val="en-US" w:eastAsia="zh-CN"/>
        </w:rPr>
        <w:t xml:space="preserve"> of the two types of UE</w:t>
      </w:r>
      <w:r>
        <w:rPr>
          <w:lang w:eastAsia="zh-CN"/>
        </w:rPr>
        <w:t>.</w:t>
      </w:r>
    </w:p>
    <w:p>
      <w:pPr>
        <w:pStyle w:val="2"/>
        <w:numPr>
          <w:ilvl w:val="0"/>
          <w:numId w:val="5"/>
        </w:numPr>
        <w:jc w:val="both"/>
        <w:rPr>
          <w:rFonts w:ascii="Times New Roman" w:hAnsi="Times New Roman" w:eastAsiaTheme="minorEastAsia"/>
          <w:lang w:eastAsia="zh-CN"/>
        </w:rPr>
      </w:pPr>
      <w:r>
        <w:rPr>
          <w:rFonts w:ascii="Times New Roman" w:hAnsi="Times New Roman" w:eastAsiaTheme="minorEastAsia"/>
          <w:lang w:eastAsia="zh-CN"/>
        </w:rPr>
        <w:t>Discussion</w:t>
      </w:r>
    </w:p>
    <w:p>
      <w:pPr>
        <w:pStyle w:val="3"/>
        <w:ind w:left="0" w:firstLine="0"/>
        <w:jc w:val="both"/>
        <w:rPr>
          <w:rFonts w:ascii="Times New Roman" w:hAnsi="Times New Roman"/>
          <w:lang w:eastAsia="zh-CN"/>
        </w:rPr>
      </w:pPr>
      <w:r>
        <w:rPr>
          <w:rFonts w:ascii="Times New Roman" w:hAnsi="Times New Roman"/>
          <w:lang w:eastAsia="zh-CN"/>
        </w:rPr>
        <w:t xml:space="preserve">2.1 PDCCH </w:t>
      </w:r>
      <w:r>
        <w:rPr>
          <w:rFonts w:hint="eastAsia" w:ascii="Times New Roman" w:hAnsi="Times New Roman"/>
          <w:lang w:eastAsia="zh-CN"/>
        </w:rPr>
        <w:t>monitoring</w:t>
      </w:r>
      <w:r>
        <w:rPr>
          <w:rFonts w:ascii="Times New Roman" w:hAnsi="Times New Roman"/>
          <w:lang w:eastAsia="zh-CN"/>
        </w:rPr>
        <w:t xml:space="preserve"> </w:t>
      </w:r>
      <w:r>
        <w:rPr>
          <w:rFonts w:hint="eastAsia" w:ascii="Times New Roman" w:hAnsi="Times New Roman"/>
          <w:lang w:eastAsia="zh-CN"/>
        </w:rPr>
        <w:t>and</w:t>
      </w:r>
      <w:r>
        <w:rPr>
          <w:rFonts w:ascii="Times New Roman" w:hAnsi="Times New Roman"/>
          <w:lang w:eastAsia="zh-CN"/>
        </w:rPr>
        <w:t xml:space="preserve"> BD/CCE limit handling</w:t>
      </w:r>
    </w:p>
    <w:p>
      <w:pPr>
        <w:jc w:val="both"/>
        <w:outlineLvl w:val="2"/>
        <w:rPr>
          <w:sz w:val="21"/>
          <w:u w:val="single"/>
          <w:lang w:eastAsia="zh-CN"/>
        </w:rPr>
      </w:pPr>
      <w:r>
        <w:rPr>
          <w:rFonts w:hint="eastAsia"/>
          <w:b/>
          <w:bCs/>
          <w:sz w:val="21"/>
          <w:u w:val="single"/>
          <w:lang w:val="en-US" w:eastAsia="zh-CN"/>
        </w:rPr>
        <w:t>2.1.1</w:t>
      </w:r>
      <w:r>
        <w:rPr>
          <w:b/>
          <w:bCs/>
          <w:sz w:val="21"/>
          <w:u w:val="single"/>
          <w:lang w:val="en-US" w:eastAsia="zh-CN"/>
        </w:rPr>
        <w:t xml:space="preserve"> </w:t>
      </w:r>
      <w:r>
        <w:rPr>
          <w:rFonts w:hint="eastAsia"/>
          <w:b/>
          <w:bCs/>
          <w:sz w:val="21"/>
          <w:u w:val="single"/>
          <w:lang w:val="en-US" w:eastAsia="zh-CN"/>
        </w:rPr>
        <w:t xml:space="preserve">Type B UE </w:t>
      </w:r>
      <w:r>
        <w:rPr>
          <w:b/>
          <w:bCs/>
          <w:sz w:val="21"/>
          <w:u w:val="single"/>
          <w:lang w:val="en-US" w:eastAsia="zh-CN"/>
        </w:rPr>
        <w:t>BD/CCE limit handling</w:t>
      </w:r>
    </w:p>
    <w:p>
      <w:pPr>
        <w:jc w:val="both"/>
        <w:rPr>
          <w:rFonts w:eastAsia="Times New Roman"/>
          <w:color w:val="000000"/>
          <w:lang w:val="en-US" w:eastAsia="zh-CN"/>
        </w:rPr>
      </w:pPr>
      <w:r>
        <w:rPr>
          <w:lang w:eastAsia="zh-CN"/>
        </w:rPr>
        <w:t xml:space="preserve">In last RAN1 meeting, </w:t>
      </w:r>
      <w:r>
        <w:rPr>
          <w:rFonts w:hint="eastAsia"/>
          <w:lang w:val="en-US" w:eastAsia="zh-CN"/>
        </w:rPr>
        <w:t>solutions</w:t>
      </w:r>
      <w:r>
        <w:rPr>
          <w:lang w:eastAsia="zh-CN"/>
        </w:rPr>
        <w:t xml:space="preserve"> </w:t>
      </w:r>
      <w:r>
        <w:rPr>
          <w:rFonts w:hint="eastAsia"/>
          <w:lang w:val="en-US" w:eastAsia="zh-CN"/>
        </w:rPr>
        <w:t>for</w:t>
      </w:r>
      <w:r>
        <w:rPr>
          <w:lang w:eastAsia="zh-CN"/>
        </w:rPr>
        <w:t xml:space="preserve"> BD/CCE limit handling</w:t>
      </w:r>
      <w:r>
        <w:rPr>
          <w:rFonts w:hint="eastAsia"/>
          <w:lang w:val="en-US" w:eastAsia="zh-CN"/>
        </w:rPr>
        <w:t xml:space="preserve"> at least for Type B UE were discussed, the following agreement was achieved</w:t>
      </w:r>
      <w:r>
        <w:rPr>
          <w:lang w:val="en-US" w:eastAsia="zh-CN"/>
        </w:rPr>
        <w:t xml:space="preserve"> </w:t>
      </w:r>
      <w:r>
        <w:rPr>
          <w:rFonts w:hint="eastAsia"/>
          <w:lang w:val="en-US" w:eastAsia="zh-CN"/>
        </w:rPr>
        <w:t>[</w:t>
      </w:r>
      <w:r>
        <w:rPr>
          <w:lang w:val="en-US" w:eastAsia="zh-CN"/>
        </w:rPr>
        <w:t>1</w:t>
      </w:r>
      <w:r>
        <w:rPr>
          <w:rFonts w:hint="eastAsia"/>
          <w:lang w:val="en-US" w:eastAsia="zh-CN"/>
        </w:rPr>
        <w:t>]. And some detailed issues based on the conclusion are expected for this meeting.</w:t>
      </w:r>
      <w:r>
        <w:rPr>
          <w:rFonts w:hint="eastAsia" w:eastAsia="Times New Roman"/>
          <w:color w:val="000000"/>
          <w:lang w:val="en-US" w:eastAsia="zh-CN"/>
        </w:rPr>
        <w:t xml:space="preserve"> </w:t>
      </w:r>
    </w:p>
    <w:p>
      <w:pPr>
        <w:spacing w:before="0" w:after="0"/>
        <w:rPr>
          <w:rFonts w:ascii="Times" w:hAnsi="Times" w:eastAsia="Batang" w:cs="Times"/>
          <w:b/>
          <w:bCs/>
          <w:szCs w:val="22"/>
          <w:highlight w:val="green"/>
          <w:lang w:eastAsia="en-US"/>
        </w:rPr>
      </w:pPr>
      <w:r>
        <w:rPr>
          <w:rFonts w:ascii="Times" w:hAnsi="Times" w:eastAsia="Batang" w:cs="Times"/>
          <w:b/>
          <w:bCs/>
          <w:szCs w:val="22"/>
          <w:highlight w:val="green"/>
          <w:lang w:eastAsia="en-US"/>
        </w:rPr>
        <w:t>Agreement</w:t>
      </w:r>
    </w:p>
    <w:p>
      <w:pPr>
        <w:overflowPunct w:val="0"/>
        <w:autoSpaceDE w:val="0"/>
        <w:autoSpaceDN w:val="0"/>
        <w:adjustRightInd w:val="0"/>
        <w:spacing w:before="0" w:line="360" w:lineRule="auto"/>
        <w:rPr>
          <w:rFonts w:eastAsia="等线"/>
          <w:lang w:val="en-US" w:eastAsia="zh-CN"/>
        </w:rPr>
      </w:pPr>
      <w:r>
        <w:rPr>
          <w:rFonts w:hint="eastAsia" w:eastAsia="等线"/>
          <w:lang w:val="en-US" w:eastAsia="zh-CN"/>
        </w:rPr>
        <w:t>O</w:t>
      </w:r>
      <w:r>
        <w:rPr>
          <w:rFonts w:eastAsia="等线"/>
          <w:lang w:val="en-US" w:eastAsia="zh-CN"/>
        </w:rPr>
        <w:t>ption A is supported in Rel-17</w:t>
      </w:r>
    </w:p>
    <w:p>
      <w:pPr>
        <w:numPr>
          <w:ilvl w:val="0"/>
          <w:numId w:val="6"/>
        </w:numPr>
        <w:spacing w:before="0" w:after="160" w:line="260" w:lineRule="auto"/>
        <w:ind w:left="726" w:hanging="363"/>
        <w:contextualSpacing/>
        <w:rPr>
          <w:lang w:eastAsia="en-US"/>
        </w:rPr>
      </w:pPr>
      <w:r>
        <w:rPr>
          <w:lang w:eastAsia="en-US"/>
        </w:rPr>
        <w:t xml:space="preserve">At least for Type B UE, when the UE is configured for CCS from sSCell to P(S)Cell and </w:t>
      </w:r>
      <w:r>
        <w:rPr>
          <w:lang w:eastAsia="zh-CN"/>
        </w:rPr>
        <w:t>when P(S)Cell SCS (</w:t>
      </w:r>
      <m:oMath>
        <m:r>
          <m:rPr>
            <m:sty m:val="p"/>
          </m:rPr>
          <w:rPr>
            <w:rFonts w:ascii="Cambria Math" w:hAnsi="Cambria Math"/>
          </w:rPr>
          <m:t>μ</m:t>
        </m:r>
      </m:oMath>
      <w:r>
        <w:rPr>
          <w:lang w:eastAsia="zh-CN"/>
        </w:rPr>
        <w:t>) is less than or equal to sSCell SCS (</w:t>
      </w:r>
      <m:oMath>
        <m:r>
          <m:rPr>
            <m:sty m:val="p"/>
          </m:rPr>
          <w:rPr>
            <w:rFonts w:ascii="Cambria Math" w:hAnsi="Cambria Math"/>
          </w:rPr>
          <m:t>μ1</m:t>
        </m:r>
      </m:oMath>
      <w:r>
        <w:rPr>
          <w:lang w:eastAsia="zh-CN"/>
        </w:rPr>
        <w:t>),</w:t>
      </w:r>
      <w:r>
        <w:rPr>
          <w:highlight w:val="yellow"/>
          <w:lang w:eastAsia="zh-CN"/>
        </w:rPr>
        <w:t>[and at least when UE is not provided</w:t>
      </w:r>
      <w:r>
        <w:rPr>
          <w:highlight w:val="yellow"/>
          <w:lang w:eastAsia="en-US"/>
        </w:rPr>
        <w:t xml:space="preserve"> monitoringCapabilityConfig for any cell, ]</w:t>
      </w:r>
    </w:p>
    <w:p>
      <w:pPr>
        <w:numPr>
          <w:ilvl w:val="1"/>
          <w:numId w:val="6"/>
        </w:numPr>
        <w:spacing w:before="0" w:after="160" w:line="260" w:lineRule="auto"/>
        <w:ind w:left="1446" w:hanging="363"/>
        <w:contextualSpacing/>
        <w:rPr>
          <w:lang w:eastAsia="en-US"/>
        </w:rPr>
      </w:pPr>
      <w:r>
        <w:rPr>
          <w:lang w:eastAsia="en-US"/>
        </w:rPr>
        <w:t>Option A</w:t>
      </w:r>
    </w:p>
    <w:p>
      <w:pPr>
        <w:numPr>
          <w:ilvl w:val="2"/>
          <w:numId w:val="6"/>
        </w:numPr>
        <w:spacing w:after="160" w:line="260" w:lineRule="auto"/>
        <w:ind w:left="2166" w:hanging="363"/>
        <w:contextualSpacing/>
        <w:jc w:val="both"/>
        <w:rPr>
          <w:lang w:eastAsia="en-US"/>
        </w:rPr>
      </w:pPr>
      <w:r>
        <w:rPr>
          <w:lang w:eastAsia="en-US"/>
        </w:rPr>
        <w:t>On P(S)Cell (for self-scheduling)</w:t>
      </w:r>
    </w:p>
    <w:p>
      <w:pPr>
        <w:numPr>
          <w:ilvl w:val="3"/>
          <w:numId w:val="6"/>
        </w:numPr>
        <w:spacing w:after="160" w:line="260" w:lineRule="auto"/>
        <w:ind w:left="2886" w:hanging="363"/>
        <w:contextualSpacing/>
        <w:jc w:val="both"/>
        <w:rPr>
          <w:lang w:eastAsia="en-US"/>
        </w:rPr>
      </w:pPr>
      <w:r>
        <w:rPr>
          <w:lang w:eastAsia="en-US"/>
        </w:rP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ctrlPr>
              <w:rPr>
                <w:rFonts w:ascii="Cambria Math" w:hAnsi="Cambria Math"/>
              </w:rPr>
            </m:ctrlP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ctrlPr>
                      <w:rPr>
                        <w:rFonts w:ascii="Cambria Math" w:hAnsi="Cambria Math"/>
                      </w:rPr>
                    </m:ctrlPr>
                  </m:e>
                  <m:sub>
                    <m:r>
                      <m:rPr>
                        <m:sty m:val="p"/>
                      </m:rPr>
                      <w:rPr>
                        <w:rFonts w:ascii="Cambria Math" w:hAnsi="Cambria Math"/>
                      </w:rPr>
                      <m:t>PDCCH</m:t>
                    </m:r>
                    <m:ctrlPr>
                      <w:rPr>
                        <w:rFonts w:ascii="Cambria Math" w:hAnsi="Cambria Math"/>
                      </w:rPr>
                    </m:ctrlPr>
                  </m:sub>
                  <m:sup>
                    <m:r>
                      <m:rPr>
                        <m:sty m:val="p"/>
                      </m:rPr>
                      <w:rPr>
                        <w:rFonts w:ascii="Cambria Math" w:hAnsi="Cambria Math"/>
                      </w:rPr>
                      <m:t>max,slot,μ</m:t>
                    </m:r>
                    <m:ctrlPr>
                      <w:rPr>
                        <w:rFonts w:ascii="Cambria Math" w:hAnsi="Cambria Math"/>
                      </w:rPr>
                    </m:ctrlP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ctrlPr>
                      <w:rPr>
                        <w:rFonts w:ascii="Cambria Math" w:hAnsi="Cambria Math"/>
                      </w:rPr>
                    </m:ctrlPr>
                  </m:e>
                  <m:sub>
                    <m:r>
                      <m:rPr>
                        <m:sty m:val="p"/>
                      </m:rPr>
                      <w:rPr>
                        <w:rFonts w:ascii="Cambria Math" w:hAnsi="Cambria Math"/>
                      </w:rPr>
                      <m:t>PDCCH</m:t>
                    </m:r>
                    <m:ctrlPr>
                      <w:rPr>
                        <w:rFonts w:ascii="Cambria Math" w:hAnsi="Cambria Math"/>
                      </w:rPr>
                    </m:ctrlPr>
                  </m:sub>
                  <m:sup>
                    <m:r>
                      <m:rPr>
                        <m:sty m:val="p"/>
                      </m:rPr>
                      <w:rPr>
                        <w:rFonts w:ascii="Cambria Math" w:hAnsi="Cambria Math"/>
                      </w:rPr>
                      <m:t>total,slot,μ</m:t>
                    </m:r>
                    <m:ctrlPr>
                      <w:rPr>
                        <w:rFonts w:ascii="Cambria Math" w:hAnsi="Cambria Math"/>
                      </w:rPr>
                    </m:ctrlPr>
                  </m:sup>
                </m:sSubSup>
                <m:ctrlPr>
                  <w:rPr>
                    <w:rFonts w:ascii="Cambria Math" w:hAnsi="Cambria Math"/>
                  </w:rPr>
                </m:ctrlPr>
              </m:e>
            </m:d>
            <m:ctrlPr>
              <w:rPr>
                <w:rFonts w:ascii="Cambria Math" w:hAnsi="Cambria Math"/>
              </w:rPr>
            </m:ctrlPr>
          </m:e>
        </m:func>
        <m:r>
          <m:rPr>
            <m:sty m:val="p"/>
          </m:rPr>
          <w:rPr>
            <w:rFonts w:ascii="Cambria Math" w:hAnsi="Cambria Math" w:eastAsia="等线"/>
          </w:rPr>
          <m:t xml:space="preserve"> </m:t>
        </m:r>
      </m:oMath>
      <w:r>
        <w:rPr>
          <w:rFonts w:eastAsia="等线"/>
          <w:lang w:eastAsia="en-US"/>
        </w:rPr>
        <w:t xml:space="preserve"> PDCCH BD candidates per P(S)Cell slot</w:t>
      </w:r>
    </w:p>
    <w:p>
      <w:pPr>
        <w:numPr>
          <w:ilvl w:val="2"/>
          <w:numId w:val="6"/>
        </w:numPr>
        <w:spacing w:after="160" w:line="260" w:lineRule="auto"/>
        <w:ind w:left="2166" w:hanging="363"/>
        <w:contextualSpacing/>
        <w:jc w:val="both"/>
        <w:rPr>
          <w:lang w:eastAsia="en-US"/>
        </w:rPr>
      </w:pPr>
      <w:r>
        <w:rPr>
          <w:rFonts w:eastAsia="等线"/>
          <w:lang w:eastAsia="en-US"/>
        </w:rPr>
        <w:t>On sSCell (for cross-carrier scheduling to P(S)Cell)</w:t>
      </w:r>
    </w:p>
    <w:p>
      <w:pPr>
        <w:numPr>
          <w:ilvl w:val="3"/>
          <w:numId w:val="6"/>
        </w:numPr>
        <w:spacing w:after="160" w:line="260" w:lineRule="auto"/>
        <w:ind w:left="2886" w:hanging="363"/>
        <w:contextualSpacing/>
        <w:jc w:val="both"/>
        <w:rPr>
          <w:lang w:eastAsia="en-US"/>
        </w:rPr>
      </w:pPr>
      <w:r>
        <w:rPr>
          <w:lang w:eastAsia="en-US"/>
        </w:rPr>
        <w:t>UE is not required to monitor more than [</w:t>
      </w:r>
      <m:oMath>
        <m:func>
          <m:funcPr>
            <m:ctrlPr>
              <w:rPr>
                <w:rFonts w:ascii="Cambria Math" w:hAnsi="Cambria Math"/>
              </w:rPr>
            </m:ctrlPr>
          </m:funcPr>
          <m:fName>
            <m:r>
              <m:rPr>
                <m:sty m:val="p"/>
              </m:rPr>
              <w:rPr>
                <w:rFonts w:ascii="Cambria Math" w:hAnsi="Cambria Math"/>
              </w:rPr>
              <m:t>min</m:t>
            </m:r>
            <m:ctrlPr>
              <w:rPr>
                <w:rFonts w:ascii="Cambria Math" w:hAnsi="Cambria Math"/>
              </w:rPr>
            </m:ctrlP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ctrlPr>
                      <w:rPr>
                        <w:rFonts w:ascii="Cambria Math" w:hAnsi="Cambria Math"/>
                      </w:rPr>
                    </m:ctrlPr>
                  </m:e>
                  <m:sub>
                    <m:r>
                      <m:rPr>
                        <m:nor/>
                        <m:sty m:val="p"/>
                      </m:rPr>
                      <w:rPr>
                        <w:b w:val="0"/>
                        <w:i w:val="0"/>
                      </w:rPr>
                      <m:t>PDCCH</m:t>
                    </m:r>
                    <m:ctrlPr>
                      <w:rPr>
                        <w:rFonts w:ascii="Cambria Math" w:hAnsi="Cambria Math"/>
                      </w:rPr>
                    </m:ctrlPr>
                  </m:sub>
                  <m:sup>
                    <m:r>
                      <m:rPr>
                        <m:nor/>
                        <m:sty m:val="p"/>
                      </m:rPr>
                      <w:rPr>
                        <w:b w:val="0"/>
                        <w:i w:val="0"/>
                      </w:rPr>
                      <m:t>max,slot,</m:t>
                    </m:r>
                    <m:r>
                      <m:rPr>
                        <m:sty m:val="p"/>
                      </m:rPr>
                      <w:rPr>
                        <w:rFonts w:ascii="Cambria Math" w:hAnsi="Cambria Math"/>
                      </w:rPr>
                      <m:t>μ1</m:t>
                    </m:r>
                    <m:ctrlPr>
                      <w:rPr>
                        <w:rFonts w:ascii="Cambria Math" w:hAnsi="Cambria Math"/>
                      </w:rPr>
                    </m:ctrlP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ctrlPr>
                      <w:rPr>
                        <w:rFonts w:ascii="Cambria Math" w:hAnsi="Cambria Math"/>
                      </w:rPr>
                    </m:ctrlPr>
                  </m:e>
                  <m:sub>
                    <m:r>
                      <m:rPr>
                        <m:nor/>
                        <m:sty m:val="p"/>
                      </m:rPr>
                      <w:rPr>
                        <w:b w:val="0"/>
                        <w:i w:val="0"/>
                      </w:rPr>
                      <m:t>PDCCH</m:t>
                    </m:r>
                    <m:ctrlPr>
                      <w:rPr>
                        <w:rFonts w:ascii="Cambria Math" w:hAnsi="Cambria Math"/>
                      </w:rPr>
                    </m:ctrlPr>
                  </m:sub>
                  <m:sup>
                    <m:r>
                      <m:rPr>
                        <m:nor/>
                        <m:sty m:val="p"/>
                      </m:rPr>
                      <w:rPr>
                        <w:b w:val="0"/>
                        <w:i w:val="0"/>
                      </w:rPr>
                      <m:t>total,slot,</m:t>
                    </m:r>
                    <m:r>
                      <m:rPr>
                        <m:sty m:val="p"/>
                      </m:rPr>
                      <w:rPr>
                        <w:rFonts w:ascii="Cambria Math" w:hAnsi="Cambria Math"/>
                      </w:rPr>
                      <m:t>μ1</m:t>
                    </m:r>
                    <m:ctrlPr>
                      <w:rPr>
                        <w:rFonts w:ascii="Cambria Math" w:hAnsi="Cambria Math"/>
                      </w:rPr>
                    </m:ctrlPr>
                  </m:sup>
                </m:sSubSup>
                <m:ctrlPr>
                  <w:rPr>
                    <w:rFonts w:ascii="Cambria Math" w:hAnsi="Cambria Math"/>
                  </w:rPr>
                </m:ctrlPr>
              </m:e>
            </m:d>
            <m:ctrlPr>
              <w:rPr>
                <w:rFonts w:ascii="Cambria Math" w:hAnsi="Cambria Math"/>
              </w:rPr>
            </m:ctrlPr>
          </m:e>
        </m:func>
      </m:oMath>
      <w:r>
        <w:rPr>
          <w:rFonts w:eastAsia="等线"/>
          <w:lang w:eastAsia="zh-CN"/>
        </w:rPr>
        <w:t xml:space="preserve"> or </w:t>
      </w:r>
      <m:oMath>
        <m:sSubSup>
          <m:sSubSupPr>
            <m:ctrlPr>
              <w:rPr>
                <w:rFonts w:ascii="Cambria Math" w:hAnsi="Cambria Math"/>
              </w:rPr>
            </m:ctrlPr>
          </m:sSubSupPr>
          <m:e>
            <m:r>
              <m:rPr>
                <m:sty m:val="p"/>
              </m:rPr>
              <w:rPr>
                <w:rFonts w:ascii="Cambria Math" w:hAnsi="Cambria Math"/>
              </w:rPr>
              <m:t>M</m:t>
            </m:r>
            <m:ctrlPr>
              <w:rPr>
                <w:rFonts w:ascii="Cambria Math" w:hAnsi="Cambria Math"/>
              </w:rPr>
            </m:ctrlPr>
          </m:e>
          <m:sub>
            <m:r>
              <m:rPr>
                <m:sty m:val="p"/>
              </m:rPr>
              <w:rPr>
                <w:rFonts w:ascii="Cambria Math" w:hAnsi="Cambria Math"/>
              </w:rPr>
              <m:t>PDCCH</m:t>
            </m:r>
            <m:ctrlPr>
              <w:rPr>
                <w:rFonts w:ascii="Cambria Math" w:hAnsi="Cambria Math"/>
              </w:rPr>
            </m:ctrlPr>
          </m:sub>
          <m:sup>
            <m:r>
              <m:rPr>
                <m:sty m:val="p"/>
              </m:rPr>
              <w:rPr>
                <w:rFonts w:ascii="Cambria Math" w:hAnsi="Cambria Math"/>
              </w:rPr>
              <m:t>max,slot,μ1</m:t>
            </m:r>
            <m:ctrlPr>
              <w:rPr>
                <w:rFonts w:ascii="Cambria Math" w:hAnsi="Cambria Math"/>
              </w:rPr>
            </m:ctrlPr>
          </m:sup>
        </m:sSubSup>
      </m:oMath>
      <w:r>
        <w:rPr>
          <w:rFonts w:eastAsia="等线"/>
          <w:lang w:eastAsia="en-US"/>
        </w:rPr>
        <w:t>] PDCCH BD candidates per sSCell slot</w:t>
      </w:r>
    </w:p>
    <w:p>
      <w:pPr>
        <w:numPr>
          <w:ilvl w:val="3"/>
          <w:numId w:val="6"/>
        </w:numPr>
        <w:spacing w:after="160" w:line="260" w:lineRule="auto"/>
        <w:ind w:left="2886" w:hanging="363"/>
        <w:contextualSpacing/>
        <w:jc w:val="both"/>
        <w:rPr>
          <w:lang w:eastAsia="en-US"/>
        </w:rPr>
      </w:pPr>
      <w:r>
        <w:rPr>
          <w:lang w:eastAsia="en-US"/>
        </w:rPr>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ctrlPr>
              <w:rPr>
                <w:rFonts w:ascii="Cambria Math" w:hAnsi="Cambria Math"/>
              </w:rPr>
            </m:ctrlP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ctrlPr>
                      <w:rPr>
                        <w:rFonts w:ascii="Cambria Math" w:hAnsi="Cambria Math"/>
                      </w:rPr>
                    </m:ctrlPr>
                  </m:e>
                  <m:sub>
                    <m:r>
                      <m:rPr>
                        <m:sty m:val="p"/>
                      </m:rPr>
                      <w:rPr>
                        <w:rFonts w:ascii="Cambria Math" w:hAnsi="Cambria Math"/>
                      </w:rPr>
                      <m:t>PDCCH</m:t>
                    </m:r>
                    <m:ctrlPr>
                      <w:rPr>
                        <w:rFonts w:ascii="Cambria Math" w:hAnsi="Cambria Math"/>
                      </w:rPr>
                    </m:ctrlPr>
                  </m:sub>
                  <m:sup>
                    <m:r>
                      <m:rPr>
                        <m:sty m:val="p"/>
                      </m:rPr>
                      <w:rPr>
                        <w:rFonts w:ascii="Cambria Math" w:hAnsi="Cambria Math"/>
                      </w:rPr>
                      <m:t>max,slot,μ</m:t>
                    </m:r>
                    <m:ctrlPr>
                      <w:rPr>
                        <w:rFonts w:ascii="Cambria Math" w:hAnsi="Cambria Math"/>
                      </w:rPr>
                    </m:ctrlP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ctrlPr>
                      <w:rPr>
                        <w:rFonts w:ascii="Cambria Math" w:hAnsi="Cambria Math"/>
                      </w:rPr>
                    </m:ctrlPr>
                  </m:e>
                  <m:sub>
                    <m:r>
                      <m:rPr>
                        <m:sty m:val="p"/>
                      </m:rPr>
                      <w:rPr>
                        <w:rFonts w:ascii="Cambria Math" w:hAnsi="Cambria Math"/>
                      </w:rPr>
                      <m:t>PDCCH</m:t>
                    </m:r>
                    <m:ctrlPr>
                      <w:rPr>
                        <w:rFonts w:ascii="Cambria Math" w:hAnsi="Cambria Math"/>
                      </w:rPr>
                    </m:ctrlPr>
                  </m:sub>
                  <m:sup>
                    <m:r>
                      <m:rPr>
                        <m:sty m:val="p"/>
                      </m:rPr>
                      <w:rPr>
                        <w:rFonts w:ascii="Cambria Math" w:hAnsi="Cambria Math"/>
                      </w:rPr>
                      <m:t>total,slot,μ</m:t>
                    </m:r>
                    <m:ctrlPr>
                      <w:rPr>
                        <w:rFonts w:ascii="Cambria Math" w:hAnsi="Cambria Math"/>
                      </w:rPr>
                    </m:ctrlPr>
                  </m:sup>
                </m:sSubSup>
                <m:ctrlPr>
                  <w:rPr>
                    <w:rFonts w:ascii="Cambria Math" w:hAnsi="Cambria Math"/>
                  </w:rPr>
                </m:ctrlPr>
              </m:e>
            </m:d>
            <m:ctrlPr>
              <w:rPr>
                <w:rFonts w:ascii="Cambria Math" w:hAnsi="Cambria Math"/>
              </w:rPr>
            </m:ctrlPr>
          </m:e>
        </m:func>
      </m:oMath>
      <w:r>
        <w:rPr>
          <w:rFonts w:eastAsia="等线"/>
          <w:lang w:eastAsia="en-US"/>
        </w:rPr>
        <w:t xml:space="preserve"> PDCCH BD candidates per P(S)Cell slot</w:t>
      </w:r>
    </w:p>
    <w:p>
      <w:pPr>
        <w:numPr>
          <w:ilvl w:val="2"/>
          <w:numId w:val="6"/>
        </w:numPr>
        <w:spacing w:after="160" w:line="260" w:lineRule="auto"/>
        <w:ind w:left="2166" w:hanging="363"/>
        <w:contextualSpacing/>
        <w:jc w:val="both"/>
        <w:rPr>
          <w:lang w:eastAsia="en-US"/>
        </w:rPr>
      </w:pPr>
      <m:oMath>
        <m:r>
          <m:rPr>
            <m:sty m:val="p"/>
          </m:rPr>
          <w:rPr>
            <w:rFonts w:ascii="Cambria Math" w:hAnsi="Cambria Math"/>
          </w:rPr>
          <m:t>0≤α≤1</m:t>
        </m:r>
      </m:oMath>
      <w:r>
        <w:rPr>
          <w:lang w:eastAsia="en-US"/>
        </w:rPr>
        <w:t xml:space="preserve">  is based on RRC configuration </w:t>
      </w:r>
    </w:p>
    <w:p>
      <w:pPr>
        <w:numPr>
          <w:ilvl w:val="2"/>
          <w:numId w:val="6"/>
        </w:numPr>
        <w:spacing w:after="160" w:line="260" w:lineRule="auto"/>
        <w:ind w:left="2166" w:hanging="363"/>
        <w:contextualSpacing/>
        <w:jc w:val="both"/>
        <w:rPr>
          <w:lang w:eastAsia="en-US"/>
        </w:rPr>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ctrlPr>
              <w:rPr>
                <w:rFonts w:ascii="Cambria Math" w:hAnsi="Cambria Math"/>
              </w:rPr>
            </m:ctrlP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ctrlPr>
                      <w:rPr>
                        <w:rFonts w:ascii="Cambria Math" w:hAnsi="Cambria Math"/>
                      </w:rPr>
                    </m:ctrlPr>
                  </m:e>
                  <m:sub>
                    <m:r>
                      <m:rPr>
                        <m:sty m:val="p"/>
                      </m:rPr>
                      <w:rPr>
                        <w:rFonts w:ascii="Cambria Math" w:hAnsi="Cambria Math"/>
                      </w:rPr>
                      <m:t>PDCCH</m:t>
                    </m:r>
                    <m:ctrlPr>
                      <w:rPr>
                        <w:rFonts w:ascii="Cambria Math" w:hAnsi="Cambria Math"/>
                      </w:rPr>
                    </m:ctrlPr>
                  </m:sub>
                  <m:sup>
                    <m:r>
                      <m:rPr>
                        <m:sty m:val="p"/>
                      </m:rPr>
                      <w:rPr>
                        <w:rFonts w:ascii="Cambria Math" w:hAnsi="Cambria Math"/>
                      </w:rPr>
                      <m:t>max,slot,μ</m:t>
                    </m:r>
                    <m:ctrlPr>
                      <w:rPr>
                        <w:rFonts w:ascii="Cambria Math" w:hAnsi="Cambria Math"/>
                      </w:rPr>
                    </m:ctrlP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ctrlPr>
                      <w:rPr>
                        <w:rFonts w:ascii="Cambria Math" w:hAnsi="Cambria Math"/>
                      </w:rPr>
                    </m:ctrlPr>
                  </m:e>
                  <m:sub>
                    <m:r>
                      <m:rPr>
                        <m:sty m:val="p"/>
                      </m:rPr>
                      <w:rPr>
                        <w:rFonts w:ascii="Cambria Math" w:hAnsi="Cambria Math"/>
                      </w:rPr>
                      <m:t>PDCCH</m:t>
                    </m:r>
                    <m:ctrlPr>
                      <w:rPr>
                        <w:rFonts w:ascii="Cambria Math" w:hAnsi="Cambria Math"/>
                      </w:rPr>
                    </m:ctrlPr>
                  </m:sub>
                  <m:sup>
                    <m:r>
                      <m:rPr>
                        <m:sty m:val="p"/>
                      </m:rPr>
                      <w:rPr>
                        <w:rFonts w:ascii="Cambria Math" w:hAnsi="Cambria Math"/>
                      </w:rPr>
                      <m:t>total,slot,μ</m:t>
                    </m:r>
                    <m:ctrlPr>
                      <w:rPr>
                        <w:rFonts w:ascii="Cambria Math" w:hAnsi="Cambria Math"/>
                      </w:rPr>
                    </m:ctrlPr>
                  </m:sup>
                </m:sSubSup>
                <m:ctrlPr>
                  <w:rPr>
                    <w:rFonts w:ascii="Cambria Math" w:hAnsi="Cambria Math"/>
                  </w:rPr>
                </m:ctrlPr>
              </m:e>
            </m:d>
            <m:ctrlPr>
              <w:rPr>
                <w:rFonts w:ascii="Cambria Math" w:hAnsi="Cambria Math"/>
              </w:rPr>
            </m:ctrlPr>
          </m:e>
        </m:func>
        <m:r>
          <m:rPr>
            <m:sty m:val="p"/>
          </m:rPr>
          <w:rPr>
            <w:rFonts w:ascii="Cambria Math" w:hAnsi="Cambria Math" w:eastAsia="等线"/>
          </w:rPr>
          <m:t xml:space="preserve"> </m:t>
        </m:r>
      </m:oMath>
      <w:r>
        <w:rPr>
          <w:rFonts w:eastAsia="等线"/>
          <w:lang w:eastAsia="en-US"/>
        </w:rPr>
        <w:t xml:space="preserve">  is used for P(S)Cell overbooking procedure</w:t>
      </w:r>
    </w:p>
    <w:p>
      <w:pPr>
        <w:numPr>
          <w:ilvl w:val="2"/>
          <w:numId w:val="6"/>
        </w:numPr>
        <w:spacing w:after="160" w:line="260" w:lineRule="auto"/>
        <w:ind w:left="2166" w:hanging="363"/>
        <w:contextualSpacing/>
        <w:jc w:val="both"/>
        <w:rPr>
          <w:lang w:eastAsia="en-US"/>
        </w:rPr>
      </w:pPr>
      <w:r>
        <w:rPr>
          <w:lang w:eastAsia="en-US"/>
        </w:rPr>
        <w:t xml:space="preserve">When determining </w:t>
      </w:r>
      <m:oMath>
        <m:sSubSup>
          <m:sSubSupPr>
            <m:ctrlPr>
              <w:rPr>
                <w:rFonts w:ascii="Cambria Math" w:hAnsi="Cambria Math"/>
              </w:rPr>
            </m:ctrlPr>
          </m:sSubSupPr>
          <m:e>
            <m:r>
              <m:rPr/>
              <w:rPr>
                <w:rFonts w:ascii="Cambria Math" w:hAnsi="Cambria Math"/>
              </w:rPr>
              <m:t>M</m:t>
            </m:r>
            <m:ctrlPr>
              <w:rPr>
                <w:rFonts w:ascii="Cambria Math" w:hAnsi="Cambria Math"/>
              </w:rPr>
            </m:ctrlPr>
          </m:e>
          <m:sub>
            <m:r>
              <m:rPr>
                <m:nor/>
                <m:sty m:val="p"/>
              </m:rPr>
              <w:rPr>
                <w:b w:val="0"/>
                <w:i w:val="0"/>
              </w:rPr>
              <m:t>PDCCH</m:t>
            </m:r>
            <m:ctrlPr>
              <w:rPr>
                <w:rFonts w:ascii="Cambria Math" w:hAnsi="Cambria Math"/>
              </w:rPr>
            </m:ctrlPr>
          </m:sub>
          <m:sup>
            <m:r>
              <m:rPr>
                <m:nor/>
                <m:sty m:val="p"/>
              </m:rPr>
              <w:rPr>
                <w:b w:val="0"/>
                <w:i w:val="0"/>
              </w:rPr>
              <m:t>total,slot,</m:t>
            </m:r>
            <m:r>
              <m:rPr/>
              <w:rPr>
                <w:rFonts w:ascii="Cambria Math" w:hAnsi="Cambria Math"/>
              </w:rPr>
              <m:t>μ</m:t>
            </m:r>
            <m:ctrlPr>
              <w:rPr>
                <w:rFonts w:ascii="Cambria Math" w:hAnsi="Cambria Math"/>
              </w:rPr>
            </m:ctrlPr>
          </m:sup>
        </m:sSubSup>
      </m:oMath>
      <w:r>
        <w:rPr>
          <w:lang w:eastAsia="en-US"/>
        </w:rPr>
        <w:t xml:space="preserve"> and </w:t>
      </w:r>
      <m:oMath>
        <m:sSubSup>
          <m:sSubSupPr>
            <m:ctrlPr>
              <w:rPr>
                <w:rFonts w:ascii="Cambria Math" w:hAnsi="Cambria Math"/>
              </w:rPr>
            </m:ctrlPr>
          </m:sSubSupPr>
          <m:e>
            <m:r>
              <m:rPr/>
              <w:rPr>
                <w:rFonts w:ascii="Cambria Math" w:hAnsi="Cambria Math"/>
              </w:rPr>
              <m:t>M</m:t>
            </m:r>
            <m:ctrlPr>
              <w:rPr>
                <w:rFonts w:ascii="Cambria Math" w:hAnsi="Cambria Math"/>
              </w:rPr>
            </m:ctrlPr>
          </m:e>
          <m:sub>
            <m:r>
              <m:rPr>
                <m:nor/>
                <m:sty m:val="p"/>
              </m:rPr>
              <w:rPr>
                <w:b w:val="0"/>
                <w:i w:val="0"/>
              </w:rPr>
              <m:t>PDCCH</m:t>
            </m:r>
            <m:ctrlPr>
              <w:rPr>
                <w:rFonts w:ascii="Cambria Math" w:hAnsi="Cambria Math"/>
              </w:rPr>
            </m:ctrlPr>
          </m:sub>
          <m:sup>
            <m:r>
              <m:rPr>
                <m:nor/>
                <m:sty m:val="p"/>
              </m:rPr>
              <w:rPr>
                <w:b w:val="0"/>
                <w:i w:val="0"/>
              </w:rPr>
              <m:t>total,slot,</m:t>
            </m:r>
            <m:r>
              <m:rPr/>
              <w:rPr>
                <w:rFonts w:ascii="Cambria Math" w:hAnsi="Cambria Math"/>
              </w:rPr>
              <m:t>μ</m:t>
            </m:r>
            <m:r>
              <m:rPr>
                <m:sty m:val="p"/>
              </m:rPr>
              <w:rPr>
                <w:rFonts w:ascii="Cambria Math" w:hAnsi="Cambria Math"/>
              </w:rPr>
              <m:t>1</m:t>
            </m:r>
            <m:ctrlPr>
              <w:rPr>
                <w:rFonts w:ascii="Cambria Math" w:hAnsi="Cambria Math"/>
              </w:rPr>
            </m:ctrlPr>
          </m:sup>
        </m:sSubSup>
      </m:oMath>
      <w:r>
        <w:rPr>
          <w:lang w:eastAsia="en-US"/>
        </w:rPr>
        <w:t xml:space="preserve"> </w:t>
      </w:r>
    </w:p>
    <w:p>
      <w:pPr>
        <w:numPr>
          <w:ilvl w:val="3"/>
          <w:numId w:val="6"/>
        </w:numPr>
        <w:spacing w:after="160" w:line="260" w:lineRule="auto"/>
        <w:ind w:left="2886" w:hanging="363"/>
        <w:contextualSpacing/>
        <w:jc w:val="both"/>
        <w:rPr>
          <w:lang w:eastAsia="en-US"/>
        </w:rPr>
      </w:pPr>
      <w:r>
        <w:rPr>
          <w:lang w:eastAsia="en-US"/>
        </w:rPr>
        <w:t xml:space="preserve">P(S)Cell self-scheduling is counted by applying scaling factor s1 </w:t>
      </w:r>
    </w:p>
    <w:p>
      <w:pPr>
        <w:numPr>
          <w:ilvl w:val="3"/>
          <w:numId w:val="6"/>
        </w:numPr>
        <w:spacing w:after="160" w:line="260" w:lineRule="auto"/>
        <w:ind w:left="2886" w:hanging="363"/>
        <w:contextualSpacing/>
        <w:jc w:val="both"/>
        <w:rPr>
          <w:lang w:val="en-US" w:eastAsia="zh-CN"/>
        </w:rPr>
      </w:pPr>
      <w:r>
        <w:rPr>
          <w:lang w:eastAsia="en-US"/>
        </w:rPr>
        <w:t>sSCell to P(S)Cell scheduling is counted additionally (assuming SCS of sSCell) by applying scaling factor s2</w:t>
      </w:r>
    </w:p>
    <w:p>
      <w:pPr>
        <w:numPr>
          <w:ilvl w:val="3"/>
          <w:numId w:val="6"/>
        </w:numPr>
        <w:spacing w:after="160" w:line="260" w:lineRule="auto"/>
        <w:ind w:left="2886" w:hanging="363"/>
        <w:contextualSpacing/>
        <w:jc w:val="both"/>
        <w:rPr>
          <w:color w:val="C45911"/>
          <w:lang w:val="en-US" w:eastAsia="zh-CN"/>
        </w:rPr>
      </w:pPr>
      <w:r>
        <w:rPr>
          <w:color w:val="C45911"/>
          <w:lang w:eastAsia="en-US"/>
        </w:rPr>
        <w:t>s1=1 and s2=0</w:t>
      </w:r>
      <w:r>
        <w:rPr>
          <w:rFonts w:hint="eastAsia" w:eastAsia="等线"/>
          <w:color w:val="C45911"/>
          <w:lang w:val="en-US" w:eastAsia="zh-CN"/>
        </w:rPr>
        <w:t>,</w:t>
      </w:r>
      <w:r>
        <w:rPr>
          <w:rFonts w:eastAsia="等线"/>
          <w:color w:val="C45911"/>
          <w:lang w:val="en-US" w:eastAsia="zh-CN"/>
        </w:rPr>
        <w:t xml:space="preserve"> FFS other s1 and s2</w:t>
      </w:r>
    </w:p>
    <w:p>
      <w:pPr>
        <w:numPr>
          <w:ilvl w:val="3"/>
          <w:numId w:val="6"/>
        </w:numPr>
        <w:tabs>
          <w:tab w:val="left" w:pos="720"/>
          <w:tab w:val="left" w:pos="1440"/>
          <w:tab w:val="left" w:pos="2160"/>
        </w:tabs>
        <w:spacing w:after="0"/>
        <w:ind w:left="2886" w:hanging="363"/>
        <w:contextualSpacing/>
        <w:jc w:val="both"/>
        <w:textAlignment w:val="baseline"/>
        <w:rPr>
          <w:strike/>
          <w:lang w:val="en-US" w:eastAsia="zh-CN"/>
        </w:rPr>
      </w:pPr>
      <m:oMath>
        <m:r>
          <m:rPr>
            <m:sty m:val="p"/>
          </m:rPr>
          <w:rPr>
            <w:rFonts w:ascii="Cambria Math" w:hAnsi="Cambria Math"/>
            <w:strike/>
          </w:rPr>
          <m:t>0≤s1≤1</m:t>
        </m:r>
      </m:oMath>
      <w:r>
        <w:rPr>
          <w:strike/>
          <w:lang w:eastAsia="en-US"/>
        </w:rPr>
        <w:t xml:space="preserve">  and </w:t>
      </w:r>
      <m:oMath>
        <m:r>
          <m:rPr>
            <m:sty m:val="p"/>
          </m:rPr>
          <w:rPr>
            <w:rFonts w:ascii="Cambria Math" w:hAnsi="Cambria Math"/>
            <w:strike/>
          </w:rPr>
          <m:t>0≤s2≤1</m:t>
        </m:r>
      </m:oMath>
      <w:r>
        <w:rPr>
          <w:strike/>
          <w:lang w:eastAsia="en-US"/>
        </w:rPr>
        <w:t xml:space="preserve"> are based on RRC configuration</w:t>
      </w:r>
    </w:p>
    <w:p>
      <w:pPr>
        <w:numPr>
          <w:ilvl w:val="4"/>
          <w:numId w:val="6"/>
        </w:numPr>
        <w:spacing w:before="0" w:after="160" w:line="260" w:lineRule="auto"/>
        <w:ind w:left="3606" w:hanging="363"/>
        <w:contextualSpacing/>
        <w:jc w:val="both"/>
        <w:rPr>
          <w:strike/>
          <w:lang w:eastAsia="en-US"/>
        </w:rPr>
      </w:pPr>
      <w:r>
        <w:rPr>
          <w:strike/>
          <w:lang w:eastAsia="en-US"/>
        </w:rPr>
        <w:t xml:space="preserve">FFS: additional constraints on s1 and s2 e.g., </w:t>
      </w:r>
      <w:r>
        <w:rPr>
          <w:strike/>
          <w:lang w:val="en-US" w:eastAsia="zh-CN"/>
        </w:rPr>
        <w:t>1 ≤ s1+s2 ≤ 2</w:t>
      </w:r>
      <w:r>
        <w:rPr>
          <w:strike/>
          <w:lang w:eastAsia="en-US"/>
        </w:rPr>
        <w:t xml:space="preserve"> or </w:t>
      </w:r>
      <w:r>
        <w:rPr>
          <w:bCs/>
          <w:strike/>
          <w:lang w:eastAsia="zh-CN"/>
        </w:rPr>
        <w:t xml:space="preserve">s1 + s2 </w:t>
      </w:r>
      <m:oMath>
        <m:r>
          <m:rPr>
            <m:sty m:val="p"/>
          </m:rPr>
          <w:rPr>
            <w:rFonts w:ascii="Cambria Math" w:hAnsi="Cambria Math"/>
            <w:strike/>
            <w:lang w:eastAsia="zh-CN"/>
          </w:rPr>
          <m:t>≤</m:t>
        </m:r>
      </m:oMath>
      <w:r>
        <w:rPr>
          <w:bCs/>
          <w:strike/>
          <w:lang w:eastAsia="zh-CN"/>
        </w:rPr>
        <w:t xml:space="preserve"> 1</w:t>
      </w:r>
    </w:p>
    <w:p>
      <w:pPr>
        <w:numPr>
          <w:ilvl w:val="3"/>
          <w:numId w:val="6"/>
        </w:numPr>
        <w:spacing w:before="0" w:after="160" w:line="260" w:lineRule="auto"/>
        <w:ind w:left="2886" w:hanging="363"/>
        <w:contextualSpacing/>
        <w:jc w:val="both"/>
        <w:rPr>
          <w:strike/>
          <w:lang w:eastAsia="en-US"/>
        </w:rPr>
      </w:pPr>
      <w:r>
        <w:rPr>
          <w:strike/>
          <w:lang w:eastAsia="en-US"/>
        </w:rPr>
        <w:t xml:space="preserve">Note: </w:t>
      </w:r>
      <m:oMath>
        <m:sSubSup>
          <m:sSubSupPr>
            <m:ctrlPr>
              <w:rPr>
                <w:rFonts w:ascii="Cambria Math" w:hAnsi="Cambria Math"/>
                <w:strike/>
              </w:rPr>
            </m:ctrlPr>
          </m:sSubSupPr>
          <m:e>
            <m:r>
              <m:rPr>
                <m:sty m:val="p"/>
              </m:rPr>
              <w:rPr>
                <w:rFonts w:ascii="Cambria Math"/>
                <w:strike/>
              </w:rPr>
              <m:t>N</m:t>
            </m:r>
            <m:ctrlPr>
              <w:rPr>
                <w:rFonts w:ascii="Cambria Math" w:hAnsi="Cambria Math"/>
                <w:strike/>
              </w:rPr>
            </m:ctrlPr>
          </m:e>
          <m:sub>
            <m:r>
              <m:rPr>
                <m:nor/>
                <m:sty m:val="p"/>
              </m:rPr>
              <w:rPr>
                <w:rFonts w:ascii="Cambria Math"/>
                <w:b w:val="0"/>
                <w:i w:val="0"/>
                <w:strike/>
              </w:rPr>
              <m:t>cells</m:t>
            </m:r>
            <m:ctrlPr>
              <w:rPr>
                <w:rFonts w:ascii="Cambria Math" w:hAnsi="Cambria Math"/>
                <w:strike/>
              </w:rPr>
            </m:ctrlPr>
          </m:sub>
          <m:sup>
            <m:r>
              <m:rPr>
                <m:nor/>
                <m:sty m:val="p"/>
              </m:rPr>
              <w:rPr>
                <w:rFonts w:ascii="Cambria Math"/>
                <w:b w:val="0"/>
                <w:i w:val="0"/>
                <w:strike/>
              </w:rPr>
              <m:t>cap</m:t>
            </m:r>
            <m:ctrlPr>
              <w:rPr>
                <w:rFonts w:ascii="Cambria Math" w:hAnsi="Cambria Math"/>
                <w:strike/>
              </w:rPr>
            </m:ctrlPr>
          </m:sup>
        </m:sSubSup>
      </m:oMath>
      <w:r>
        <w:rPr>
          <w:strike/>
          <w:lang w:eastAsia="en-US"/>
        </w:rPr>
        <w:t xml:space="preserve"> is as in Rel16 </w:t>
      </w:r>
    </w:p>
    <w:p>
      <w:pPr>
        <w:numPr>
          <w:ilvl w:val="2"/>
          <w:numId w:val="6"/>
        </w:numPr>
        <w:spacing w:after="160" w:line="260" w:lineRule="auto"/>
        <w:ind w:left="2166" w:hanging="363"/>
        <w:contextualSpacing/>
        <w:jc w:val="both"/>
        <w:rPr>
          <w:lang w:eastAsia="en-US"/>
        </w:rPr>
      </w:pPr>
      <w:r>
        <w:rPr>
          <w:lang w:eastAsia="en-US"/>
        </w:rPr>
        <w:t>UE capability/incapability indication for below to be discussed as part of UE features discussion</w:t>
      </w:r>
    </w:p>
    <w:p>
      <w:pPr>
        <w:numPr>
          <w:ilvl w:val="3"/>
          <w:numId w:val="6"/>
        </w:numPr>
        <w:spacing w:after="160" w:line="260" w:lineRule="auto"/>
        <w:ind w:left="2886" w:hanging="363"/>
        <w:contextualSpacing/>
        <w:jc w:val="both"/>
        <w:rPr>
          <w:lang w:eastAsia="en-US"/>
        </w:rPr>
      </w:pPr>
      <w:r>
        <w:rPr>
          <w:lang w:eastAsia="en-US"/>
        </w:rPr>
        <w:t xml:space="preserve">All search space configurations monitored on sSCell for cross-carrier scheduling to P(S)Cell are within a single span of </w:t>
      </w:r>
      <w:r>
        <w:rPr>
          <w:color w:val="C45911"/>
          <w:lang w:eastAsia="en-US"/>
        </w:rPr>
        <w:t>[3]</w:t>
      </w:r>
      <w:r>
        <w:rPr>
          <w:lang w:eastAsia="en-US"/>
        </w:rPr>
        <w:t xml:space="preserve"> consecutive OFDM symbols within a duration spanning P(S)Cell slot</w:t>
      </w:r>
    </w:p>
    <w:p>
      <w:pPr>
        <w:numPr>
          <w:ilvl w:val="2"/>
          <w:numId w:val="6"/>
        </w:numPr>
        <w:spacing w:after="160" w:line="260" w:lineRule="auto"/>
        <w:ind w:left="2166" w:hanging="363"/>
        <w:contextualSpacing/>
        <w:jc w:val="both"/>
        <w:rPr>
          <w:lang w:eastAsia="en-US"/>
        </w:rPr>
      </w:pPr>
      <w:r>
        <w:rPr>
          <w:lang w:eastAsia="en-US"/>
        </w:rPr>
        <w:t>Same approach as above is used for CCE limits</w:t>
      </w:r>
    </w:p>
    <w:p>
      <w:pPr>
        <w:numPr>
          <w:ilvl w:val="3"/>
          <w:numId w:val="6"/>
        </w:numPr>
        <w:spacing w:after="160" w:line="260" w:lineRule="auto"/>
        <w:ind w:left="2886" w:hanging="363"/>
        <w:contextualSpacing/>
        <w:jc w:val="both"/>
        <w:rPr>
          <w:lang w:eastAsia="en-US"/>
        </w:rPr>
      </w:pPr>
      <w:r>
        <w:rPr>
          <w:lang w:eastAsia="en-US"/>
        </w:rPr>
        <w:t xml:space="preserve">FFS: Separate vs. same RRC configured scaling factors (corresponding to </w:t>
      </w:r>
      <m:oMath>
        <m:r>
          <m:rPr>
            <m:sty m:val="p"/>
          </m:rPr>
          <w:rPr>
            <w:rFonts w:ascii="Cambria Math" w:hAnsi="Cambria Math"/>
          </w:rPr>
          <m:t>α</m:t>
        </m:r>
      </m:oMath>
      <w:r>
        <w:rPr>
          <w:lang w:eastAsia="en-US"/>
        </w:rPr>
        <w:t>) for BD and CCE limits.</w:t>
      </w:r>
    </w:p>
    <w:p>
      <w:pPr>
        <w:numPr>
          <w:ilvl w:val="0"/>
          <w:numId w:val="6"/>
        </w:numPr>
        <w:spacing w:before="0" w:after="160" w:line="260" w:lineRule="auto"/>
        <w:ind w:left="726" w:hanging="363"/>
        <w:contextualSpacing/>
        <w:rPr>
          <w:rFonts w:eastAsia="等线"/>
          <w:lang w:eastAsia="zh-CN"/>
        </w:rPr>
      </w:pPr>
      <w:r>
        <w:rPr>
          <w:lang w:eastAsia="zh-CN"/>
        </w:rPr>
        <w:t>When P(S)Cell SCS (</w:t>
      </w:r>
      <m:oMath>
        <m:r>
          <m:rPr>
            <m:sty m:val="p"/>
          </m:rPr>
          <w:rPr>
            <w:rFonts w:ascii="Cambria Math" w:hAnsi="Cambria Math"/>
          </w:rPr>
          <m:t>μ</m:t>
        </m:r>
      </m:oMath>
      <w:r>
        <w:rPr>
          <w:lang w:eastAsia="zh-CN"/>
        </w:rPr>
        <w:t>) is larger than sSCell SCS (</w:t>
      </w:r>
      <m:oMath>
        <m:r>
          <m:rPr>
            <m:sty m:val="p"/>
          </m:rPr>
          <w:rPr>
            <w:rFonts w:ascii="Cambria Math" w:hAnsi="Cambria Math"/>
          </w:rPr>
          <m:t>μ1</m:t>
        </m:r>
      </m:oMath>
      <w:r>
        <w:rPr>
          <w:lang w:eastAsia="zh-CN"/>
        </w:rPr>
        <w:t xml:space="preserve">), </w:t>
      </w:r>
      <w:r>
        <w:rPr>
          <w:lang w:eastAsia="en-US"/>
        </w:rPr>
        <w:t xml:space="preserve">for CCS from sSCell to P(S)Cell and, </w:t>
      </w:r>
      <w:r>
        <w:rPr>
          <w:lang w:eastAsia="zh-CN"/>
        </w:rPr>
        <w:t>it is not supported Rel-17 DSS.</w:t>
      </w:r>
    </w:p>
    <w:p>
      <w:pPr>
        <w:jc w:val="both"/>
        <w:rPr>
          <w:rFonts w:eastAsia="Times New Roman"/>
          <w:color w:val="000000"/>
          <w:lang w:val="en-US" w:eastAsia="zh-CN"/>
        </w:rPr>
      </w:pPr>
    </w:p>
    <w:p>
      <w:pPr>
        <w:jc w:val="both"/>
        <w:rPr>
          <w:color w:val="000000"/>
          <w:lang w:val="en-US" w:eastAsia="zh-CN"/>
        </w:rPr>
      </w:pPr>
      <w:r>
        <w:rPr>
          <w:rFonts w:hint="eastAsia" w:eastAsia="Times New Roman"/>
          <w:color w:val="000000"/>
          <w:lang w:val="en-US" w:eastAsia="zh-CN"/>
        </w:rPr>
        <w:t xml:space="preserve">In the solution based on Option A, the total BD/CCE budget from the perspective of the scheduled cell is split into two parts by applying scaling factor </w:t>
      </w:r>
      <m:oMath>
        <m:r>
          <m:rPr>
            <m:sty m:val="p"/>
          </m:rPr>
          <w:rPr>
            <w:rFonts w:ascii="Cambria Math" w:hAnsi="Cambria Math"/>
          </w:rPr>
          <m:t>α</m:t>
        </m:r>
      </m:oMath>
      <w:r>
        <w:rPr>
          <w:rFonts w:hint="eastAsia" w:hAnsi="Cambria Math"/>
          <w:lang w:val="en-US" w:eastAsia="zh-CN"/>
        </w:rPr>
        <w:t xml:space="preserve"> per P(S)Cell slot</w:t>
      </w:r>
      <w:r>
        <w:rPr>
          <w:rFonts w:hint="eastAsia" w:eastAsia="Times New Roman"/>
          <w:color w:val="000000"/>
          <w:lang w:val="en-US" w:eastAsia="zh-CN"/>
        </w:rPr>
        <w:t>. One part is used for P(S)Cell self-scheduling and another part for cross-carrier scheduling from sSCell to P(S)Cell</w:t>
      </w:r>
      <w:r>
        <w:rPr>
          <w:rFonts w:hint="eastAsia" w:hAnsi="Cambria Math"/>
          <w:lang w:val="en-US" w:eastAsia="zh-CN"/>
        </w:rPr>
        <w:t xml:space="preserve">. While the restriction of BD/CCE budget within each sSCell slot and other detailed issues on calculating </w:t>
      </w:r>
      <m:oMath>
        <m:sSubSup>
          <m:sSubSupPr>
            <m:ctrlPr>
              <w:rPr>
                <w:rFonts w:ascii="Cambria Math" w:hAnsi="Cambria Math"/>
              </w:rPr>
            </m:ctrlPr>
          </m:sSubSupPr>
          <m:e>
            <m:r>
              <m:rPr>
                <m:sty m:val="p"/>
              </m:rPr>
              <w:rPr>
                <w:rFonts w:ascii="Cambria Math" w:hAnsi="Cambria Math"/>
              </w:rPr>
              <m:t>M</m:t>
            </m:r>
            <m:ctrlPr>
              <w:rPr>
                <w:rFonts w:ascii="Cambria Math" w:hAnsi="Cambria Math"/>
              </w:rPr>
            </m:ctrlPr>
          </m:e>
          <m:sub>
            <m:r>
              <m:rPr>
                <m:nor/>
                <m:sty m:val="p"/>
              </m:rPr>
              <w:rPr>
                <w:b w:val="0"/>
                <w:i w:val="0"/>
              </w:rPr>
              <m:t>PDCCH</m:t>
            </m:r>
            <m:ctrlPr>
              <w:rPr>
                <w:rFonts w:ascii="Cambria Math" w:hAnsi="Cambria Math"/>
              </w:rPr>
            </m:ctrlPr>
          </m:sub>
          <m:sup>
            <m:r>
              <m:rPr>
                <m:nor/>
                <m:sty m:val="p"/>
              </m:rPr>
              <w:rPr>
                <w:b w:val="0"/>
                <w:i w:val="0"/>
              </w:rPr>
              <m:t>max,slot,</m:t>
            </m:r>
            <m:r>
              <m:rPr>
                <m:sty m:val="p"/>
              </m:rPr>
              <w:rPr>
                <w:rFonts w:ascii="Cambria Math" w:hAnsi="Cambria Math"/>
              </w:rPr>
              <m:t>μ1</m:t>
            </m:r>
            <m:ctrlPr>
              <w:rPr>
                <w:rFonts w:ascii="Cambria Math" w:hAnsi="Cambria Math"/>
              </w:rPr>
            </m:ctrlPr>
          </m:sup>
        </m:sSubSup>
        <m:r>
          <m:rPr>
            <m:sty m:val="p"/>
          </m:rPr>
          <w:rPr>
            <w:rFonts w:ascii="Cambria Math" w:hAnsi="Cambria Math"/>
            <w:lang w:val="en-US" w:eastAsia="zh-CN"/>
          </w:rPr>
          <m:t xml:space="preserve"> and </m:t>
        </m:r>
        <m:sSubSup>
          <m:sSubSupPr>
            <m:ctrlPr>
              <w:rPr>
                <w:rFonts w:ascii="Cambria Math" w:hAnsi="Cambria Math"/>
              </w:rPr>
            </m:ctrlPr>
          </m:sSubSupPr>
          <m:e>
            <m:r>
              <m:rPr>
                <m:sty m:val="p"/>
              </m:rPr>
              <w:rPr>
                <w:rFonts w:ascii="Cambria Math" w:hAnsi="Cambria Math"/>
              </w:rPr>
              <m:t>M</m:t>
            </m:r>
            <m:ctrlPr>
              <w:rPr>
                <w:rFonts w:ascii="Cambria Math" w:hAnsi="Cambria Math"/>
              </w:rPr>
            </m:ctrlPr>
          </m:e>
          <m:sub>
            <m:r>
              <m:rPr>
                <m:nor/>
                <m:sty m:val="p"/>
              </m:rPr>
              <w:rPr>
                <w:b w:val="0"/>
                <w:i w:val="0"/>
              </w:rPr>
              <m:t>PDCCH</m:t>
            </m:r>
            <m:ctrlPr>
              <w:rPr>
                <w:rFonts w:ascii="Cambria Math" w:hAnsi="Cambria Math"/>
              </w:rPr>
            </m:ctrlPr>
          </m:sub>
          <m:sup>
            <m:r>
              <m:rPr>
                <m:nor/>
                <m:sty m:val="p"/>
              </m:rPr>
              <w:rPr>
                <w:b w:val="0"/>
                <w:i w:val="0"/>
              </w:rPr>
              <m:t>total,slot,</m:t>
            </m:r>
            <m:r>
              <m:rPr>
                <m:sty m:val="p"/>
              </m:rPr>
              <w:rPr>
                <w:rFonts w:ascii="Cambria Math" w:hAnsi="Cambria Math"/>
              </w:rPr>
              <m:t>μ1</m:t>
            </m:r>
            <m:ctrlPr>
              <w:rPr>
                <w:rFonts w:ascii="Cambria Math" w:hAnsi="Cambria Math"/>
              </w:rPr>
            </m:ctrlPr>
          </m:sup>
        </m:sSubSup>
      </m:oMath>
      <w:r>
        <w:rPr>
          <w:rFonts w:hint="eastAsia" w:hAnsi="Cambria Math"/>
          <w:lang w:val="en-US" w:eastAsia="zh-CN"/>
        </w:rPr>
        <w:t xml:space="preserve"> need to be further discussed.</w:t>
      </w:r>
    </w:p>
    <w:p>
      <w:pPr>
        <w:jc w:val="both"/>
        <w:rPr>
          <w:rFonts w:eastAsia="Times New Roman"/>
          <w:color w:val="000000"/>
          <w:lang w:val="en-US" w:eastAsia="zh-CN"/>
        </w:rPr>
      </w:pPr>
      <w:r>
        <w:rPr>
          <w:rFonts w:eastAsia="Times New Roman"/>
          <w:color w:val="000000"/>
          <w:lang w:val="en-US" w:eastAsia="zh-CN"/>
        </w:rPr>
        <w:t>Regarding</w:t>
      </w:r>
      <w:r>
        <w:rPr>
          <w:rFonts w:hint="eastAsia" w:eastAsia="Times New Roman"/>
          <w:color w:val="000000"/>
          <w:lang w:val="en-US" w:eastAsia="zh-CN"/>
        </w:rPr>
        <w:t xml:space="preserve"> the selection of BD/CCE limit on sSCell (for cross-carrier scheduling to P(S)Cell) per single sSCell slot, we think </w:t>
      </w:r>
      <m:oMath>
        <m:func>
          <m:funcPr>
            <m:ctrlPr>
              <w:rPr>
                <w:rFonts w:ascii="Cambria Math" w:hAnsi="Cambria Math"/>
              </w:rPr>
            </m:ctrlPr>
          </m:funcPr>
          <m:fName>
            <m:r>
              <m:rPr>
                <m:sty m:val="p"/>
              </m:rPr>
              <w:rPr>
                <w:rFonts w:ascii="Cambria Math" w:hAnsi="Cambria Math"/>
              </w:rPr>
              <m:t>min</m:t>
            </m:r>
            <m:ctrlPr>
              <w:rPr>
                <w:rFonts w:ascii="Cambria Math" w:hAnsi="Cambria Math"/>
              </w:rPr>
            </m:ctrlP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ctrlPr>
                      <w:rPr>
                        <w:rFonts w:ascii="Cambria Math" w:hAnsi="Cambria Math"/>
                      </w:rPr>
                    </m:ctrlPr>
                  </m:e>
                  <m:sub>
                    <m:r>
                      <m:rPr>
                        <m:nor/>
                        <m:sty m:val="p"/>
                      </m:rPr>
                      <w:rPr>
                        <w:b w:val="0"/>
                        <w:i w:val="0"/>
                      </w:rPr>
                      <m:t>PDCCH</m:t>
                    </m:r>
                    <m:ctrlPr>
                      <w:rPr>
                        <w:rFonts w:ascii="Cambria Math" w:hAnsi="Cambria Math"/>
                      </w:rPr>
                    </m:ctrlPr>
                  </m:sub>
                  <m:sup>
                    <m:r>
                      <m:rPr>
                        <m:nor/>
                        <m:sty m:val="p"/>
                      </m:rPr>
                      <w:rPr>
                        <w:b w:val="0"/>
                        <w:i w:val="0"/>
                      </w:rPr>
                      <m:t>max,slot,</m:t>
                    </m:r>
                    <m:r>
                      <m:rPr>
                        <m:sty m:val="p"/>
                      </m:rPr>
                      <w:rPr>
                        <w:rFonts w:ascii="Cambria Math" w:hAnsi="Cambria Math"/>
                      </w:rPr>
                      <m:t>μ1</m:t>
                    </m:r>
                    <m:ctrlPr>
                      <w:rPr>
                        <w:rFonts w:ascii="Cambria Math" w:hAnsi="Cambria Math"/>
                      </w:rPr>
                    </m:ctrlP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ctrlPr>
                      <w:rPr>
                        <w:rFonts w:ascii="Cambria Math" w:hAnsi="Cambria Math"/>
                      </w:rPr>
                    </m:ctrlPr>
                  </m:e>
                  <m:sub>
                    <m:r>
                      <m:rPr>
                        <m:nor/>
                        <m:sty m:val="p"/>
                      </m:rPr>
                      <w:rPr>
                        <w:b w:val="0"/>
                        <w:i w:val="0"/>
                      </w:rPr>
                      <m:t>PDCCH</m:t>
                    </m:r>
                    <m:ctrlPr>
                      <w:rPr>
                        <w:rFonts w:ascii="Cambria Math" w:hAnsi="Cambria Math"/>
                      </w:rPr>
                    </m:ctrlPr>
                  </m:sub>
                  <m:sup>
                    <m:r>
                      <m:rPr>
                        <m:nor/>
                        <m:sty m:val="p"/>
                      </m:rPr>
                      <w:rPr>
                        <w:b w:val="0"/>
                        <w:i w:val="0"/>
                      </w:rPr>
                      <m:t>total,slot,</m:t>
                    </m:r>
                    <m:r>
                      <m:rPr>
                        <m:sty m:val="p"/>
                      </m:rPr>
                      <w:rPr>
                        <w:rFonts w:ascii="Cambria Math" w:hAnsi="Cambria Math"/>
                      </w:rPr>
                      <m:t>μ1</m:t>
                    </m:r>
                    <m:ctrlPr>
                      <w:rPr>
                        <w:rFonts w:ascii="Cambria Math" w:hAnsi="Cambria Math"/>
                      </w:rPr>
                    </m:ctrlPr>
                  </m:sup>
                </m:sSubSup>
                <m:ctrlPr>
                  <w:rPr>
                    <w:rFonts w:ascii="Cambria Math" w:hAnsi="Cambria Math"/>
                  </w:rPr>
                </m:ctrlPr>
              </m:e>
            </m:d>
            <m:ctrlPr>
              <w:rPr>
                <w:rFonts w:ascii="Cambria Math" w:hAnsi="Cambria Math"/>
              </w:rPr>
            </m:ctrlPr>
          </m:e>
        </m:func>
      </m:oMath>
      <w:r>
        <w:rPr>
          <w:rFonts w:hint="eastAsia" w:hAnsi="Cambria Math"/>
          <w:lang w:val="en-US" w:eastAsia="zh-CN"/>
        </w:rPr>
        <w:t xml:space="preserve"> </w:t>
      </w:r>
      <w:r>
        <w:rPr>
          <w:rFonts w:hint="eastAsia" w:eastAsia="Times New Roman"/>
          <w:color w:val="000000"/>
          <w:lang w:val="en-US" w:eastAsia="zh-CN"/>
        </w:rPr>
        <w:t>is more reasonable. It is more acceptable if we can maintain BD/CCE limit handling on sSCell per sSCell slot as in Rel-16 specification, which can also avoid additional complexity for UE implementation.</w:t>
      </w:r>
    </w:p>
    <w:p>
      <w:pPr>
        <w:jc w:val="both"/>
        <w:rPr>
          <w:lang w:eastAsia="zh-CN"/>
        </w:rPr>
      </w:pPr>
      <w:r>
        <w:rPr>
          <w:rFonts w:eastAsia="Times New Roman"/>
          <w:color w:val="000000"/>
          <w:lang w:val="en-US" w:eastAsia="zh-CN"/>
        </w:rPr>
        <w:t>R</w:t>
      </w:r>
      <w:r>
        <w:rPr>
          <w:rFonts w:hint="eastAsia" w:eastAsia="Times New Roman"/>
          <w:color w:val="000000"/>
          <w:lang w:val="en-US" w:eastAsia="zh-CN"/>
        </w:rPr>
        <w:t xml:space="preserve">egarding the determination of </w:t>
      </w:r>
      <m:oMath>
        <m:sSubSup>
          <m:sSubSupPr>
            <m:ctrlPr>
              <w:rPr>
                <w:rFonts w:ascii="Cambria Math" w:hAnsi="Cambria Math"/>
                <w:i/>
              </w:rPr>
            </m:ctrlPr>
          </m:sSubSupPr>
          <m:e>
            <m:r>
              <m:rPr/>
              <w:rPr>
                <w:rFonts w:ascii="Cambria Math" w:hAnsi="Cambria Math"/>
              </w:rPr>
              <m:t>M</m:t>
            </m:r>
            <m:ctrlPr>
              <w:rPr>
                <w:rFonts w:ascii="Cambria Math" w:hAnsi="Cambria Math"/>
                <w:i/>
              </w:rPr>
            </m:ctrlPr>
          </m:e>
          <m:sub>
            <m:r>
              <m:rPr>
                <m:nor/>
                <m:sty m:val="p"/>
              </m:rPr>
              <w:rPr>
                <w:b w:val="0"/>
                <w:i w:val="0"/>
              </w:rPr>
              <m:t>PDCCH</m:t>
            </m:r>
            <m:ctrlPr>
              <w:rPr>
                <w:rFonts w:ascii="Cambria Math" w:hAnsi="Cambria Math"/>
              </w:rPr>
            </m:ctrlPr>
          </m:sub>
          <m:sup>
            <m:r>
              <m:rPr>
                <m:nor/>
                <m:sty m:val="p"/>
              </m:rPr>
              <w:rPr>
                <w:b w:val="0"/>
                <w:i w:val="0"/>
              </w:rPr>
              <m:t>total,slot,</m:t>
            </m:r>
            <m:r>
              <m:rPr/>
              <w:rPr>
                <w:rFonts w:ascii="Cambria Math" w:hAnsi="Cambria Math"/>
              </w:rPr>
              <m:t>μ</m:t>
            </m:r>
            <m:ctrlPr>
              <w:rPr>
                <w:rFonts w:ascii="Cambria Math" w:hAnsi="Cambria Math"/>
              </w:rPr>
            </m:ctrlPr>
          </m:sup>
        </m:sSubSup>
      </m:oMath>
      <w:r>
        <w:rPr>
          <w:rFonts w:hint="eastAsia" w:hAnsi="Cambria Math"/>
          <w:lang w:val="en-US" w:eastAsia="zh-CN"/>
        </w:rPr>
        <w:t xml:space="preserve"> and </w:t>
      </w:r>
      <m:oMath>
        <m:sSubSup>
          <m:sSubSupPr>
            <m:ctrlPr>
              <w:rPr>
                <w:rFonts w:ascii="Cambria Math" w:hAnsi="Cambria Math"/>
                <w:i/>
              </w:rPr>
            </m:ctrlPr>
          </m:sSubSupPr>
          <m:e>
            <m:r>
              <m:rPr/>
              <w:rPr>
                <w:rFonts w:ascii="Cambria Math" w:hAnsi="Cambria Math"/>
              </w:rPr>
              <m:t>M</m:t>
            </m:r>
            <m:ctrlPr>
              <w:rPr>
                <w:rFonts w:ascii="Cambria Math" w:hAnsi="Cambria Math"/>
                <w:i/>
              </w:rPr>
            </m:ctrlPr>
          </m:e>
          <m:sub>
            <m:r>
              <m:rPr>
                <m:nor/>
                <m:sty m:val="p"/>
              </m:rPr>
              <w:rPr>
                <w:b w:val="0"/>
                <w:i w:val="0"/>
              </w:rPr>
              <m:t>PDCCH</m:t>
            </m:r>
            <m:ctrlPr>
              <w:rPr>
                <w:rFonts w:ascii="Cambria Math" w:hAnsi="Cambria Math"/>
              </w:rPr>
            </m:ctrlPr>
          </m:sub>
          <m:sup>
            <m:r>
              <m:rPr>
                <m:nor/>
                <m:sty m:val="p"/>
              </m:rPr>
              <w:rPr>
                <w:b w:val="0"/>
                <w:i w:val="0"/>
              </w:rPr>
              <m:t>total,slot,</m:t>
            </m:r>
            <m:r>
              <m:rPr/>
              <w:rPr>
                <w:rFonts w:ascii="Cambria Math" w:hAnsi="Cambria Math"/>
              </w:rPr>
              <m:t>μ</m:t>
            </m:r>
            <m:r>
              <m:rPr/>
              <w:rPr>
                <w:rFonts w:ascii="Cambria Math" w:hAnsi="Cambria Math"/>
                <w:lang w:val="en-US" w:eastAsia="zh-CN"/>
              </w:rPr>
              <m:t>1</m:t>
            </m:r>
            <m:ctrlPr>
              <w:rPr>
                <w:rFonts w:ascii="Cambria Math" w:hAnsi="Cambria Math"/>
              </w:rPr>
            </m:ctrlPr>
          </m:sup>
        </m:sSubSup>
      </m:oMath>
      <w:r>
        <w:rPr>
          <w:rFonts w:hint="eastAsia"/>
          <w:lang w:val="en-US" w:eastAsia="zh-CN"/>
        </w:rPr>
        <w:t>, which are significantly affected by scaling factors</w:t>
      </w:r>
      <w:r>
        <w:rPr>
          <w:lang w:val="en-US" w:eastAsia="zh-CN"/>
        </w:rPr>
        <w:t xml:space="preserve"> s1 and s2</w:t>
      </w:r>
      <w:r>
        <w:rPr>
          <w:rFonts w:hint="eastAsia"/>
          <w:lang w:val="en-US" w:eastAsia="zh-CN"/>
        </w:rPr>
        <w:t>, we</w:t>
      </w:r>
      <w:r>
        <w:rPr>
          <w:rFonts w:hint="eastAsia" w:hAnsi="Cambria Math"/>
          <w:lang w:val="en-US" w:eastAsia="zh-CN"/>
        </w:rPr>
        <w:t xml:space="preserve"> </w:t>
      </w:r>
      <w:r>
        <w:rPr>
          <w:rFonts w:hAnsi="Cambria Math"/>
          <w:lang w:val="en-US" w:eastAsia="zh-CN"/>
        </w:rPr>
        <w:t>think s1=1 and s2=0 is enough and other values of s1 and s2 should not be supported.</w:t>
      </w:r>
      <w:r>
        <w:rPr>
          <w:rFonts w:hint="eastAsia" w:hAnsi="Cambria Math"/>
          <w:lang w:val="en-US" w:eastAsia="zh-CN"/>
        </w:rPr>
        <w:t xml:space="preserve"> </w:t>
      </w:r>
      <w:r>
        <w:rPr>
          <w:rFonts w:hAnsi="Cambria Math"/>
          <w:lang w:val="en-US" w:eastAsia="zh-CN"/>
        </w:rPr>
        <w:t>W</w:t>
      </w:r>
      <w:r>
        <w:rPr>
          <w:rFonts w:hint="eastAsia" w:eastAsia="Times New Roman"/>
          <w:color w:val="000000"/>
          <w:lang w:val="en-US" w:eastAsia="zh-CN"/>
        </w:rPr>
        <w:t xml:space="preserve">e provide a </w:t>
      </w:r>
      <w:r>
        <w:rPr>
          <w:rFonts w:eastAsia="Times New Roman"/>
          <w:color w:val="000000"/>
          <w:lang w:val="en-US" w:eastAsia="zh-CN"/>
        </w:rPr>
        <w:t>detailed analysis</w:t>
      </w:r>
      <w:r>
        <w:rPr>
          <w:rFonts w:hint="eastAsia" w:eastAsia="Times New Roman"/>
          <w:color w:val="000000"/>
          <w:lang w:val="en-US" w:eastAsia="zh-CN"/>
        </w:rPr>
        <w:t xml:space="preserve"> by comparing the total number of PDCCH monitoring and corresponding BD limits among several different combinations of s1 and s2</w:t>
      </w:r>
      <w:r>
        <w:rPr>
          <w:rFonts w:eastAsia="Times New Roman"/>
          <w:color w:val="000000"/>
          <w:lang w:val="en-US" w:eastAsia="zh-CN"/>
        </w:rPr>
        <w:t xml:space="preserve"> as the following with the assumption of</w:t>
      </w:r>
      <w:r>
        <w:rPr>
          <w:rFonts w:hint="eastAsia" w:eastAsia="Times New Roman"/>
          <w:color w:val="000000"/>
          <w:lang w:val="en-US" w:eastAsia="zh-CN"/>
        </w:rPr>
        <w:t xml:space="preserve"> </w:t>
      </w:r>
      <w:r>
        <w:rPr>
          <w:lang w:eastAsia="zh-CN"/>
        </w:rPr>
        <w:t xml:space="preserve">the typical DSS case </w:t>
      </w:r>
      <w:r>
        <w:rPr>
          <w:rFonts w:hint="eastAsia"/>
          <w:lang w:val="en-US" w:eastAsia="zh-CN"/>
        </w:rPr>
        <w:t xml:space="preserve">illustrated </w:t>
      </w:r>
      <w:r>
        <w:rPr>
          <w:lang w:eastAsia="zh-CN"/>
        </w:rPr>
        <w:t>in Figure 1</w:t>
      </w:r>
      <w:r>
        <w:rPr>
          <w:rFonts w:hint="eastAsia"/>
          <w:lang w:val="en-US" w:eastAsia="zh-CN"/>
        </w:rPr>
        <w:t>, where</w:t>
      </w:r>
      <w:r>
        <w:rPr>
          <w:lang w:val="en-US" w:eastAsia="zh-CN"/>
        </w:rPr>
        <w:t xml:space="preserve"> UE is configured with</w:t>
      </w:r>
      <w:r>
        <w:rPr>
          <w:lang w:eastAsia="zh-CN"/>
        </w:rPr>
        <w:t xml:space="preserve"> one 15</w:t>
      </w:r>
      <w:r>
        <w:rPr>
          <w:rFonts w:hint="eastAsia"/>
          <w:lang w:val="en-US" w:eastAsia="zh-CN"/>
        </w:rPr>
        <w:t xml:space="preserve"> </w:t>
      </w:r>
      <w:r>
        <w:rPr>
          <w:lang w:eastAsia="zh-CN"/>
        </w:rPr>
        <w:t>kHz P</w:t>
      </w:r>
      <w:r>
        <w:rPr>
          <w:rFonts w:hint="eastAsia"/>
          <w:lang w:val="en-US" w:eastAsia="zh-CN"/>
        </w:rPr>
        <w:t>(S)</w:t>
      </w:r>
      <w:r>
        <w:rPr>
          <w:lang w:eastAsia="zh-CN"/>
        </w:rPr>
        <w:t>Cell in FDD band and four 30</w:t>
      </w:r>
      <w:r>
        <w:rPr>
          <w:rFonts w:hint="eastAsia"/>
          <w:lang w:val="en-US" w:eastAsia="zh-CN"/>
        </w:rPr>
        <w:t xml:space="preserve"> </w:t>
      </w:r>
      <w:r>
        <w:rPr>
          <w:lang w:eastAsia="zh-CN"/>
        </w:rPr>
        <w:t xml:space="preserve">kHz SCell(s) in TDD band and one is used as sSCell. UE reports its BD capability </w:t>
      </w:r>
      <w:r>
        <w:rPr>
          <w:i/>
        </w:rPr>
        <w:t xml:space="preserve">pdcch-BlindDetectionCA = </w:t>
      </w:r>
      <w:r>
        <w:rPr>
          <w:iCs/>
        </w:rPr>
        <w:t>4. The n1 and n2 are the BD limits for P(S)Cell self-scheduling</w:t>
      </w:r>
      <w:r>
        <w:rPr>
          <w:rFonts w:hint="eastAsia"/>
          <w:iCs/>
          <w:lang w:val="en-US" w:eastAsia="zh-CN"/>
        </w:rPr>
        <w:t xml:space="preserve"> per P(S)Cell slot,</w:t>
      </w:r>
      <w:r>
        <w:rPr>
          <w:iCs/>
        </w:rPr>
        <w:t xml:space="preserve"> and </w:t>
      </w:r>
      <w:r>
        <w:rPr>
          <w:rFonts w:eastAsia="Times New Roman"/>
        </w:rPr>
        <w:t xml:space="preserve">p1_1, p1_2 and p2_1 are the BD limits for </w:t>
      </w:r>
      <w:r>
        <w:rPr>
          <w:lang w:eastAsia="zh-CN"/>
        </w:rPr>
        <w:t>sSCell cross-carrier scheduling P(S)Cell</w:t>
      </w:r>
      <w:r>
        <w:rPr>
          <w:rFonts w:hint="eastAsia"/>
          <w:lang w:val="en-US" w:eastAsia="zh-CN"/>
        </w:rPr>
        <w:t xml:space="preserve"> per sSCell slot</w:t>
      </w:r>
      <w:r>
        <w:rPr>
          <w:lang w:eastAsia="zh-CN"/>
        </w:rPr>
        <w:t>.</w:t>
      </w:r>
    </w:p>
    <w:p>
      <w:pPr>
        <w:jc w:val="center"/>
        <w:rPr>
          <w:lang w:eastAsia="zh-CN"/>
        </w:rPr>
      </w:pPr>
      <w:r>
        <w:pict>
          <v:shape id="_x0000_i1025" o:spt="75" type="#_x0000_t75" style="height:102.4pt;width:268.45pt;" filled="f" o:preferrelative="t" stroked="f" coordsize="21600,21600">
            <v:path/>
            <v:fill on="f" focussize="0,0"/>
            <v:stroke on="f" joinstyle="miter"/>
            <v:imagedata r:id="rId6" cropleft="5547f" o:title=""/>
            <o:lock v:ext="edit" aspectratio="t"/>
            <w10:wrap type="none"/>
            <w10:anchorlock/>
          </v:shape>
        </w:pict>
      </w:r>
    </w:p>
    <w:p>
      <w:pPr>
        <w:jc w:val="center"/>
        <w:rPr>
          <w:rFonts w:eastAsiaTheme="minorEastAsia"/>
          <w:b/>
          <w:bCs/>
          <w:lang w:eastAsia="zh-CN"/>
        </w:rPr>
      </w:pPr>
      <w:r>
        <w:rPr>
          <w:rFonts w:hint="eastAsia" w:eastAsiaTheme="minorEastAsia"/>
          <w:b/>
          <w:bCs/>
          <w:lang w:eastAsia="zh-CN"/>
        </w:rPr>
        <w:t>F</w:t>
      </w:r>
      <w:r>
        <w:rPr>
          <w:rFonts w:eastAsiaTheme="minorEastAsia"/>
          <w:b/>
          <w:bCs/>
          <w:lang w:eastAsia="zh-CN"/>
        </w:rPr>
        <w:t xml:space="preserve">igure 1. Illustration of BD/CCE limits handling in CCS </w:t>
      </w:r>
      <w:r>
        <w:rPr>
          <w:rFonts w:hint="eastAsia" w:eastAsiaTheme="minorEastAsia"/>
          <w:b/>
          <w:bCs/>
          <w:lang w:val="en-US" w:eastAsia="zh-CN"/>
        </w:rPr>
        <w:t>from</w:t>
      </w:r>
      <w:r>
        <w:rPr>
          <w:rFonts w:eastAsiaTheme="minorEastAsia"/>
          <w:b/>
          <w:bCs/>
          <w:lang w:eastAsia="zh-CN"/>
        </w:rPr>
        <w:t xml:space="preserve"> sSCell to P(S)Cell</w:t>
      </w:r>
    </w:p>
    <w:p>
      <w:pPr>
        <w:jc w:val="both"/>
        <w:rPr>
          <w:color w:val="000000"/>
          <w:lang w:val="en-US" w:eastAsia="zh-CN"/>
        </w:rPr>
      </w:pPr>
    </w:p>
    <w:p>
      <w:pPr>
        <w:jc w:val="both"/>
        <w:rPr>
          <w:lang w:eastAsia="zh-CN"/>
        </w:rPr>
      </w:pPr>
      <m:oMath>
        <m:sSubSup>
          <m:sSubSupPr>
            <m:ctrlPr>
              <w:rPr>
                <w:rFonts w:ascii="Cambria Math" w:hAnsi="Cambria Math"/>
                <w:i/>
              </w:rPr>
            </m:ctrlPr>
          </m:sSubSupPr>
          <m:e>
            <m:r>
              <m:rPr/>
              <w:rPr>
                <w:rFonts w:ascii="Cambria Math" w:hAnsi="Cambria Math"/>
              </w:rPr>
              <m:t>M</m:t>
            </m:r>
            <m:ctrlPr>
              <w:rPr>
                <w:rFonts w:ascii="Cambria Math" w:hAnsi="Cambria Math"/>
                <w:i/>
              </w:rPr>
            </m:ctrlPr>
          </m:e>
          <m:sub>
            <m:r>
              <m:rPr>
                <m:nor/>
                <m:sty m:val="p"/>
              </m:rPr>
              <w:rPr>
                <w:rFonts w:ascii="Cambria Math" w:hAnsi="Cambria Math"/>
                <w:b w:val="0"/>
                <w:i w:val="0"/>
              </w:rPr>
              <m:t>PDCCH</m:t>
            </m:r>
            <m:ctrlPr>
              <w:rPr>
                <w:rFonts w:ascii="Cambria Math" w:hAnsi="Cambria Math"/>
              </w:rPr>
            </m:ctrlPr>
          </m:sub>
          <m:sup>
            <m:r>
              <m:rPr>
                <m:nor/>
                <m:sty m:val="p"/>
              </m:rPr>
              <w:rPr>
                <w:rFonts w:ascii="Cambria Math" w:hAnsi="Cambria Math"/>
                <w:b w:val="0"/>
                <w:i w:val="0"/>
              </w:rPr>
              <m:t>total,slot,</m:t>
            </m:r>
            <m:r>
              <m:rPr/>
              <w:rPr>
                <w:rFonts w:ascii="Cambria Math" w:hAnsi="Cambria Math"/>
              </w:rPr>
              <m:t>μ</m:t>
            </m:r>
            <m:ctrlPr>
              <w:rPr>
                <w:rFonts w:ascii="Cambria Math" w:hAnsi="Cambria Math"/>
              </w:rPr>
            </m:ctrlPr>
          </m:sup>
        </m:sSubSup>
      </m:oMath>
      <w:r>
        <w:rPr>
          <w:rFonts w:hint="eastAsia" w:hAnsi="Cambria Math"/>
          <w:lang w:val="en-US" w:eastAsia="zh-CN"/>
        </w:rPr>
        <w:t xml:space="preserve">, </w:t>
      </w:r>
      <m:oMath>
        <m:sSubSup>
          <m:sSubSupPr>
            <m:ctrlPr>
              <w:rPr>
                <w:rFonts w:ascii="Cambria Math" w:hAnsi="Cambria Math"/>
                <w:i/>
              </w:rPr>
            </m:ctrlPr>
          </m:sSubSupPr>
          <m:e>
            <m:r>
              <m:rPr/>
              <w:rPr>
                <w:rFonts w:ascii="Cambria Math" w:hAnsi="Cambria Math"/>
              </w:rPr>
              <m:t>M</m:t>
            </m:r>
            <m:ctrlPr>
              <w:rPr>
                <w:rFonts w:ascii="Cambria Math" w:hAnsi="Cambria Math"/>
                <w:i/>
              </w:rPr>
            </m:ctrlPr>
          </m:e>
          <m:sub>
            <m:r>
              <m:rPr>
                <m:nor/>
                <m:sty m:val="p"/>
              </m:rPr>
              <w:rPr>
                <w:b w:val="0"/>
                <w:i w:val="0"/>
              </w:rPr>
              <m:t>PDCCH</m:t>
            </m:r>
            <m:ctrlPr>
              <w:rPr>
                <w:rFonts w:ascii="Cambria Math" w:hAnsi="Cambria Math"/>
              </w:rPr>
            </m:ctrlPr>
          </m:sub>
          <m:sup>
            <m:r>
              <m:rPr>
                <m:nor/>
                <m:sty m:val="p"/>
              </m:rPr>
              <w:rPr>
                <w:b w:val="0"/>
                <w:i w:val="0"/>
              </w:rPr>
              <m:t>total,slot,</m:t>
            </m:r>
            <m:r>
              <m:rPr/>
              <w:rPr>
                <w:rFonts w:ascii="Cambria Math" w:hAnsi="Cambria Math"/>
              </w:rPr>
              <m:t>μ</m:t>
            </m:r>
            <m:r>
              <m:rPr/>
              <w:rPr>
                <w:rFonts w:ascii="Cambria Math" w:hAnsi="Cambria Math"/>
                <w:lang w:val="en-US" w:eastAsia="zh-CN"/>
              </w:rPr>
              <m:t>1</m:t>
            </m:r>
            <m:ctrlPr>
              <w:rPr>
                <w:rFonts w:ascii="Cambria Math" w:hAnsi="Cambria Math"/>
              </w:rPr>
            </m:ctrlPr>
          </m:sup>
        </m:sSubSup>
      </m:oMath>
      <w:r>
        <w:rPr>
          <w:rFonts w:hint="eastAsia" w:hAnsi="Cambria Math"/>
          <w:lang w:val="en-US" w:eastAsia="zh-CN"/>
        </w:rPr>
        <w:t xml:space="preserve">and </w:t>
      </w:r>
      <w:r>
        <w:rPr>
          <w:lang w:eastAsia="zh-CN"/>
        </w:rPr>
        <w:t xml:space="preserve">BD limits </w:t>
      </w:r>
      <w:r>
        <w:rPr>
          <w:rFonts w:hint="eastAsia"/>
          <w:lang w:val="en-US" w:eastAsia="zh-CN"/>
        </w:rPr>
        <w:t>per slot for</w:t>
      </w:r>
      <w:r>
        <w:rPr>
          <w:lang w:eastAsia="zh-CN"/>
        </w:rPr>
        <w:t xml:space="preserve"> P(S)Cell self-scheduling and sSCell cross-carrier scheduling</w:t>
      </w:r>
      <w:r>
        <w:rPr>
          <w:rFonts w:hint="eastAsia"/>
          <w:lang w:val="en-US" w:eastAsia="zh-CN"/>
        </w:rPr>
        <w:t xml:space="preserve"> to </w:t>
      </w:r>
      <w:r>
        <w:rPr>
          <w:lang w:eastAsia="zh-CN"/>
        </w:rPr>
        <w:t xml:space="preserve">P(S)Cell </w:t>
      </w:r>
      <w:r>
        <w:rPr>
          <w:rFonts w:hint="eastAsia"/>
          <w:lang w:val="en-US" w:eastAsia="zh-CN"/>
        </w:rPr>
        <w:t>with different combinations of s1 and s2</w:t>
      </w:r>
      <w:r>
        <w:rPr>
          <w:lang w:eastAsia="zh-CN"/>
        </w:rPr>
        <w:t xml:space="preserve"> are calculated as the following Table 1.</w:t>
      </w:r>
    </w:p>
    <w:p>
      <w:pPr>
        <w:jc w:val="center"/>
        <w:rPr>
          <w:b/>
          <w:bCs/>
          <w:lang w:val="en-US" w:eastAsia="zh-CN"/>
        </w:rPr>
      </w:pPr>
      <w:r>
        <w:rPr>
          <w:rFonts w:hint="eastAsia"/>
          <w:b/>
          <w:bCs/>
          <w:lang w:eastAsia="zh-CN"/>
        </w:rPr>
        <w:t>T</w:t>
      </w:r>
      <w:r>
        <w:rPr>
          <w:b/>
          <w:bCs/>
          <w:lang w:eastAsia="zh-CN"/>
        </w:rPr>
        <w:t>able 1. BD</w:t>
      </w:r>
      <w:r>
        <w:rPr>
          <w:rFonts w:hint="eastAsia"/>
          <w:b/>
          <w:bCs/>
          <w:lang w:val="en-US" w:eastAsia="zh-CN"/>
        </w:rPr>
        <w:t xml:space="preserve"> budget for different </w:t>
      </w:r>
      <w:r>
        <w:rPr>
          <w:b/>
          <w:bCs/>
          <w:lang w:val="en-US" w:eastAsia="zh-CN"/>
        </w:rPr>
        <w:t>combination cases of s1 and s2</w:t>
      </w:r>
    </w:p>
    <w:tbl>
      <w:tblPr>
        <w:tblStyle w:val="50"/>
        <w:tblW w:w="4902" w:type="pct"/>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0"/>
        <w:gridCol w:w="2451"/>
        <w:gridCol w:w="2480"/>
        <w:gridCol w:w="2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pct"/>
            <w:vAlign w:val="center"/>
          </w:tcPr>
          <w:p>
            <w:pPr>
              <w:overflowPunct w:val="0"/>
              <w:autoSpaceDE w:val="0"/>
              <w:autoSpaceDN w:val="0"/>
              <w:adjustRightInd w:val="0"/>
              <w:jc w:val="center"/>
              <w:textAlignment w:val="baseline"/>
              <w:rPr>
                <w:b/>
                <w:bCs/>
                <w:lang w:val="en-US" w:eastAsia="zh-CN"/>
              </w:rPr>
            </w:pPr>
            <w:r>
              <w:rPr>
                <w:rFonts w:hint="eastAsia"/>
                <w:b/>
                <w:bCs/>
                <w:lang w:eastAsia="zh-CN"/>
              </w:rPr>
              <w:t>B</w:t>
            </w:r>
            <w:r>
              <w:rPr>
                <w:b/>
                <w:bCs/>
                <w:lang w:eastAsia="zh-CN"/>
              </w:rPr>
              <w:t>D limits (scheduling)</w:t>
            </w:r>
            <w:r>
              <w:rPr>
                <w:rFonts w:hint="eastAsia"/>
                <w:b/>
                <w:bCs/>
                <w:lang w:val="en-US" w:eastAsia="zh-CN"/>
              </w:rPr>
              <w:t xml:space="preserve"> based on Option A</w:t>
            </w:r>
          </w:p>
        </w:tc>
        <w:tc>
          <w:tcPr>
            <w:tcW w:w="1268" w:type="pct"/>
            <w:vAlign w:val="center"/>
          </w:tcPr>
          <w:p>
            <w:pPr>
              <w:overflowPunct w:val="0"/>
              <w:autoSpaceDE w:val="0"/>
              <w:autoSpaceDN w:val="0"/>
              <w:adjustRightInd w:val="0"/>
              <w:jc w:val="center"/>
              <w:textAlignment w:val="baseline"/>
              <w:rPr>
                <w:b/>
                <w:bCs/>
                <w:lang w:val="en-US" w:eastAsia="zh-CN"/>
              </w:rPr>
            </w:pPr>
            <w:bookmarkStart w:id="6" w:name="_Hlk86687218"/>
            <w:r>
              <w:rPr>
                <w:rFonts w:hint="eastAsia"/>
                <w:b/>
                <w:bCs/>
                <w:lang w:val="en-US" w:eastAsia="zh-CN"/>
              </w:rPr>
              <w:t>s1=1, s2=0</w:t>
            </w:r>
            <w:bookmarkEnd w:id="6"/>
          </w:p>
        </w:tc>
        <w:tc>
          <w:tcPr>
            <w:tcW w:w="1283" w:type="pct"/>
            <w:vAlign w:val="center"/>
          </w:tcPr>
          <w:p>
            <w:pPr>
              <w:overflowPunct w:val="0"/>
              <w:autoSpaceDE w:val="0"/>
              <w:autoSpaceDN w:val="0"/>
              <w:adjustRightInd w:val="0"/>
              <w:jc w:val="center"/>
              <w:textAlignment w:val="baseline"/>
              <w:rPr>
                <w:b/>
                <w:bCs/>
                <w:lang w:val="en-US" w:eastAsia="zh-CN"/>
              </w:rPr>
            </w:pPr>
            <w:r>
              <w:rPr>
                <w:rFonts w:hint="eastAsia"/>
                <w:b/>
                <w:bCs/>
                <w:lang w:val="en-US" w:eastAsia="zh-CN"/>
              </w:rPr>
              <w:t>s1=1, s2=1</w:t>
            </w:r>
          </w:p>
        </w:tc>
        <w:tc>
          <w:tcPr>
            <w:tcW w:w="1247" w:type="pct"/>
            <w:vAlign w:val="center"/>
          </w:tcPr>
          <w:p>
            <w:pPr>
              <w:overflowPunct w:val="0"/>
              <w:autoSpaceDE w:val="0"/>
              <w:autoSpaceDN w:val="0"/>
              <w:adjustRightInd w:val="0"/>
              <w:jc w:val="center"/>
              <w:textAlignment w:val="baseline"/>
              <w:rPr>
                <w:b/>
                <w:bCs/>
                <w:lang w:val="en-US" w:eastAsia="zh-CN"/>
              </w:rPr>
            </w:pPr>
            <w:r>
              <w:rPr>
                <w:rFonts w:hint="eastAsia"/>
                <w:b/>
                <w:bCs/>
                <w:lang w:val="en-US" w:eastAsia="zh-CN"/>
              </w:rPr>
              <w:t>s1=0.5, s2=0.5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pct"/>
            <w:vAlign w:val="center"/>
          </w:tcPr>
          <w:p>
            <w:pPr>
              <w:overflowPunct w:val="0"/>
              <w:autoSpaceDE w:val="0"/>
              <w:autoSpaceDN w:val="0"/>
              <w:adjustRightInd w:val="0"/>
              <w:jc w:val="center"/>
              <w:textAlignment w:val="baseline"/>
              <w:rPr>
                <w:b/>
                <w:bCs/>
                <w:lang w:eastAsia="zh-CN"/>
              </w:rPr>
            </w:pPr>
            <m:oMathPara>
              <m:oMath>
                <m:sSubSup>
                  <m:sSubSupPr>
                    <m:ctrlPr>
                      <w:rPr>
                        <w:rFonts w:ascii="Cambria Math" w:hAnsi="Cambria Math"/>
                        <w:i/>
                      </w:rPr>
                    </m:ctrlPr>
                  </m:sSubSupPr>
                  <m:e>
                    <m:r>
                      <m:rPr/>
                      <w:rPr>
                        <w:rFonts w:ascii="Cambria Math" w:hAnsi="Cambria Math"/>
                      </w:rPr>
                      <m:t>M</m:t>
                    </m:r>
                    <m:ctrlPr>
                      <w:rPr>
                        <w:rFonts w:ascii="Cambria Math" w:hAnsi="Cambria Math"/>
                        <w:i/>
                      </w:rPr>
                    </m:ctrlPr>
                  </m:e>
                  <m:sub>
                    <m:r>
                      <m:rPr>
                        <m:nor/>
                        <m:sty m:val="p"/>
                      </m:rPr>
                      <w:rPr>
                        <w:rFonts w:ascii="Cambria Math" w:hAnsi="Cambria Math"/>
                        <w:b w:val="0"/>
                        <w:i w:val="0"/>
                      </w:rPr>
                      <m:t>PDCCH</m:t>
                    </m:r>
                    <m:ctrlPr>
                      <w:rPr>
                        <w:rFonts w:ascii="Cambria Math" w:hAnsi="Cambria Math"/>
                      </w:rPr>
                    </m:ctrlPr>
                  </m:sub>
                  <m:sup>
                    <m:r>
                      <m:rPr>
                        <m:nor/>
                        <m:sty m:val="p"/>
                      </m:rPr>
                      <w:rPr>
                        <w:rFonts w:ascii="Cambria Math" w:hAnsi="Cambria Math"/>
                        <w:b w:val="0"/>
                        <w:i w:val="0"/>
                      </w:rPr>
                      <m:t>total,slot,</m:t>
                    </m:r>
                    <m:r>
                      <m:rPr/>
                      <w:rPr>
                        <w:rFonts w:ascii="Cambria Math" w:hAnsi="Cambria Math"/>
                      </w:rPr>
                      <m:t>μ</m:t>
                    </m:r>
                    <m:ctrlPr>
                      <w:rPr>
                        <w:rFonts w:ascii="Cambria Math" w:hAnsi="Cambria Math"/>
                      </w:rPr>
                    </m:ctrlPr>
                  </m:sup>
                </m:sSubSup>
              </m:oMath>
            </m:oMathPara>
          </w:p>
        </w:tc>
        <w:tc>
          <w:tcPr>
            <w:tcW w:w="1268" w:type="pct"/>
            <w:vAlign w:val="center"/>
          </w:tcPr>
          <w:p>
            <w:pPr>
              <w:overflowPunct w:val="0"/>
              <w:autoSpaceDE w:val="0"/>
              <w:autoSpaceDN w:val="0"/>
              <w:adjustRightInd w:val="0"/>
              <w:jc w:val="center"/>
              <w:textAlignment w:val="baseline"/>
              <w:rPr>
                <w:lang w:val="en-US" w:eastAsia="zh-CN"/>
              </w:rPr>
            </w:pPr>
            <w:r>
              <w:rPr>
                <w:rFonts w:hint="eastAsia"/>
                <w:lang w:val="en-US" w:eastAsia="zh-CN"/>
              </w:rPr>
              <w:t>35</w:t>
            </w:r>
          </w:p>
        </w:tc>
        <w:tc>
          <w:tcPr>
            <w:tcW w:w="1283" w:type="pct"/>
            <w:vAlign w:val="center"/>
          </w:tcPr>
          <w:p>
            <w:pPr>
              <w:overflowPunct w:val="0"/>
              <w:autoSpaceDE w:val="0"/>
              <w:autoSpaceDN w:val="0"/>
              <w:adjustRightInd w:val="0"/>
              <w:jc w:val="center"/>
              <w:textAlignment w:val="baseline"/>
              <w:rPr>
                <w:lang w:val="en-US" w:eastAsia="zh-CN"/>
              </w:rPr>
            </w:pPr>
            <w:r>
              <w:rPr>
                <w:rFonts w:hint="eastAsia"/>
                <w:lang w:val="en-US" w:eastAsia="zh-CN"/>
              </w:rPr>
              <w:t>29</w:t>
            </w:r>
          </w:p>
        </w:tc>
        <w:tc>
          <w:tcPr>
            <w:tcW w:w="1247" w:type="pct"/>
            <w:vAlign w:val="center"/>
          </w:tcPr>
          <w:p>
            <w:pPr>
              <w:overflowPunct w:val="0"/>
              <w:autoSpaceDE w:val="0"/>
              <w:autoSpaceDN w:val="0"/>
              <w:adjustRightInd w:val="0"/>
              <w:jc w:val="center"/>
              <w:textAlignment w:val="baseline"/>
              <w:rPr>
                <w:lang w:val="en-US" w:eastAsia="zh-CN"/>
              </w:rPr>
            </w:pPr>
            <w:r>
              <w:rPr>
                <w:rFonts w:hint="eastAsia"/>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pct"/>
            <w:vAlign w:val="center"/>
          </w:tcPr>
          <w:p>
            <w:pPr>
              <w:overflowPunct w:val="0"/>
              <w:autoSpaceDE w:val="0"/>
              <w:autoSpaceDN w:val="0"/>
              <w:adjustRightInd w:val="0"/>
              <w:jc w:val="center"/>
              <w:textAlignment w:val="baseline"/>
              <w:rPr>
                <w:rFonts w:ascii="Cambria Math" w:hAnsi="Cambria Math"/>
                <w:oMath/>
              </w:rPr>
            </w:pPr>
            <m:oMathPara>
              <m:oMath>
                <m:sSubSup>
                  <m:sSubSupPr>
                    <m:ctrlPr>
                      <w:rPr>
                        <w:rFonts w:ascii="Cambria Math" w:hAnsi="Cambria Math"/>
                        <w:i/>
                      </w:rPr>
                    </m:ctrlPr>
                  </m:sSubSupPr>
                  <m:e>
                    <m:r>
                      <m:rPr/>
                      <w:rPr>
                        <w:rFonts w:ascii="Cambria Math" w:hAnsi="Cambria Math"/>
                      </w:rPr>
                      <m:t>M</m:t>
                    </m:r>
                    <m:ctrlPr>
                      <w:rPr>
                        <w:rFonts w:ascii="Cambria Math" w:hAnsi="Cambria Math"/>
                        <w:i/>
                      </w:rPr>
                    </m:ctrlPr>
                  </m:e>
                  <m:sub>
                    <m:r>
                      <m:rPr>
                        <m:nor/>
                        <m:sty m:val="p"/>
                      </m:rPr>
                      <w:rPr>
                        <w:b w:val="0"/>
                        <w:i w:val="0"/>
                      </w:rPr>
                      <m:t>PDCCH</m:t>
                    </m:r>
                    <m:ctrlPr>
                      <w:rPr>
                        <w:rFonts w:ascii="Cambria Math" w:hAnsi="Cambria Math"/>
                      </w:rPr>
                    </m:ctrlPr>
                  </m:sub>
                  <m:sup>
                    <m:r>
                      <m:rPr>
                        <m:nor/>
                        <m:sty m:val="p"/>
                      </m:rPr>
                      <w:rPr>
                        <w:b w:val="0"/>
                        <w:i w:val="0"/>
                      </w:rPr>
                      <m:t>total,slot,</m:t>
                    </m:r>
                    <m:r>
                      <m:rPr/>
                      <w:rPr>
                        <w:rFonts w:ascii="Cambria Math" w:hAnsi="Cambria Math"/>
                      </w:rPr>
                      <m:t>μ</m:t>
                    </m:r>
                    <m:r>
                      <m:rPr/>
                      <w:rPr>
                        <w:rFonts w:ascii="Cambria Math" w:hAnsi="Cambria Math"/>
                        <w:lang w:val="en-US" w:eastAsia="zh-CN"/>
                      </w:rPr>
                      <m:t>1</m:t>
                    </m:r>
                    <m:ctrlPr>
                      <w:rPr>
                        <w:rFonts w:ascii="Cambria Math" w:hAnsi="Cambria Math"/>
                      </w:rPr>
                    </m:ctrlPr>
                  </m:sup>
                </m:sSubSup>
              </m:oMath>
            </m:oMathPara>
          </w:p>
        </w:tc>
        <w:tc>
          <w:tcPr>
            <w:tcW w:w="1268" w:type="pct"/>
            <w:vAlign w:val="center"/>
          </w:tcPr>
          <w:p>
            <w:pPr>
              <w:overflowPunct w:val="0"/>
              <w:autoSpaceDE w:val="0"/>
              <w:autoSpaceDN w:val="0"/>
              <w:adjustRightInd w:val="0"/>
              <w:jc w:val="center"/>
              <w:textAlignment w:val="baseline"/>
              <w:rPr>
                <w:lang w:val="en-US" w:eastAsia="zh-CN"/>
              </w:rPr>
            </w:pPr>
            <w:r>
              <w:rPr>
                <w:rFonts w:hint="eastAsia"/>
                <w:lang w:val="en-US" w:eastAsia="zh-CN"/>
              </w:rPr>
              <w:t>115</w:t>
            </w:r>
          </w:p>
        </w:tc>
        <w:tc>
          <w:tcPr>
            <w:tcW w:w="1283" w:type="pct"/>
            <w:vAlign w:val="center"/>
          </w:tcPr>
          <w:p>
            <w:pPr>
              <w:overflowPunct w:val="0"/>
              <w:autoSpaceDE w:val="0"/>
              <w:autoSpaceDN w:val="0"/>
              <w:adjustRightInd w:val="0"/>
              <w:jc w:val="center"/>
              <w:textAlignment w:val="baseline"/>
              <w:rPr>
                <w:lang w:val="en-US" w:eastAsia="zh-CN"/>
              </w:rPr>
            </w:pPr>
            <w:r>
              <w:rPr>
                <w:rFonts w:hint="eastAsia"/>
                <w:lang w:val="en-US" w:eastAsia="zh-CN"/>
              </w:rPr>
              <w:t>120</w:t>
            </w:r>
          </w:p>
        </w:tc>
        <w:tc>
          <w:tcPr>
            <w:tcW w:w="1247" w:type="pct"/>
            <w:vAlign w:val="center"/>
          </w:tcPr>
          <w:p>
            <w:pPr>
              <w:overflowPunct w:val="0"/>
              <w:autoSpaceDE w:val="0"/>
              <w:autoSpaceDN w:val="0"/>
              <w:adjustRightInd w:val="0"/>
              <w:jc w:val="center"/>
              <w:textAlignment w:val="baseline"/>
              <w:rPr>
                <w:lang w:val="en-US" w:eastAsia="zh-CN"/>
              </w:rPr>
            </w:pPr>
            <w:r>
              <w:rPr>
                <w:rFonts w:hint="eastAsia"/>
                <w:lang w:val="en-US" w:eastAsia="zh-CN"/>
              </w:rPr>
              <w:t>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1200" w:type="pct"/>
            <w:vAlign w:val="center"/>
          </w:tcPr>
          <w:p>
            <w:pPr>
              <w:overflowPunct w:val="0"/>
              <w:autoSpaceDE w:val="0"/>
              <w:autoSpaceDN w:val="0"/>
              <w:adjustRightInd w:val="0"/>
              <w:spacing w:before="20" w:after="20"/>
              <w:jc w:val="center"/>
              <w:textAlignment w:val="baseline"/>
              <w:rPr>
                <w:lang w:eastAsia="zh-CN"/>
              </w:rPr>
            </w:pPr>
            <w:r>
              <w:rPr>
                <w:lang w:eastAsia="zh-CN"/>
              </w:rPr>
              <w:t>n1</w:t>
            </w:r>
          </w:p>
          <w:p>
            <w:pPr>
              <w:overflowPunct w:val="0"/>
              <w:autoSpaceDE w:val="0"/>
              <w:autoSpaceDN w:val="0"/>
              <w:adjustRightInd w:val="0"/>
              <w:spacing w:before="20" w:after="20"/>
              <w:jc w:val="center"/>
              <w:textAlignment w:val="baseline"/>
              <w:rPr>
                <w:lang w:val="en-US" w:eastAsia="zh-CN"/>
              </w:rPr>
            </w:pPr>
            <w:r>
              <w:rPr>
                <w:lang w:eastAsia="zh-CN"/>
              </w:rPr>
              <w:t>(</w:t>
            </w:r>
            <w:r>
              <w:rPr>
                <w:iCs/>
              </w:rPr>
              <w:t>P(S)Cell self-scheduling</w:t>
            </w:r>
            <w:r>
              <w:rPr>
                <w:lang w:eastAsia="zh-CN"/>
              </w:rPr>
              <w:t>)</w:t>
            </w:r>
          </w:p>
        </w:tc>
        <w:tc>
          <w:tcPr>
            <w:tcW w:w="1268" w:type="pct"/>
            <w:vAlign w:val="center"/>
          </w:tcPr>
          <w:p>
            <w:pPr>
              <w:overflowPunct w:val="0"/>
              <w:autoSpaceDE w:val="0"/>
              <w:autoSpaceDN w:val="0"/>
              <w:adjustRightInd w:val="0"/>
              <w:spacing w:before="20" w:after="20"/>
              <w:jc w:val="center"/>
              <w:textAlignment w:val="baseline"/>
              <w:rPr>
                <w:lang w:val="en-US" w:eastAsia="zh-CN"/>
              </w:rPr>
            </w:pPr>
            <w:r>
              <w:rPr>
                <w:lang w:eastAsia="zh-CN"/>
              </w:rPr>
              <w:t xml:space="preserve">n1&lt;= </w:t>
            </w:r>
            <m:oMath>
              <m:r>
                <m:rPr/>
                <w:rPr>
                  <w:rFonts w:ascii="Cambria Math" w:hAnsi="Cambria Math"/>
                </w:rPr>
                <m:t>α</m:t>
              </m:r>
            </m:oMath>
            <w:r>
              <w:rPr>
                <w:lang w:eastAsia="zh-CN"/>
              </w:rPr>
              <w:t>*</w:t>
            </w:r>
            <w:r>
              <w:rPr>
                <w:rFonts w:hint="eastAsia"/>
                <w:lang w:val="en-US" w:eastAsia="zh-CN"/>
              </w:rPr>
              <w:t>35</w:t>
            </w:r>
          </w:p>
        </w:tc>
        <w:tc>
          <w:tcPr>
            <w:tcW w:w="1283" w:type="pct"/>
            <w:vAlign w:val="center"/>
          </w:tcPr>
          <w:p>
            <w:pPr>
              <w:overflowPunct w:val="0"/>
              <w:autoSpaceDE w:val="0"/>
              <w:autoSpaceDN w:val="0"/>
              <w:adjustRightInd w:val="0"/>
              <w:spacing w:before="20" w:after="20"/>
              <w:jc w:val="center"/>
              <w:textAlignment w:val="baseline"/>
              <w:rPr>
                <w:lang w:val="en-US" w:eastAsia="zh-CN"/>
              </w:rPr>
            </w:pPr>
            <w:r>
              <w:rPr>
                <w:lang w:eastAsia="zh-CN"/>
              </w:rPr>
              <w:t xml:space="preserve">n1&lt;= </w:t>
            </w:r>
            <m:oMath>
              <m:r>
                <m:rPr/>
                <w:rPr>
                  <w:rFonts w:ascii="Cambria Math" w:hAnsi="Cambria Math"/>
                </w:rPr>
                <m:t>α</m:t>
              </m:r>
            </m:oMath>
            <w:r>
              <w:rPr>
                <w:lang w:eastAsia="zh-CN"/>
              </w:rPr>
              <w:t>*</w:t>
            </w:r>
            <w:r>
              <w:rPr>
                <w:rFonts w:hint="eastAsia"/>
                <w:lang w:val="en-US" w:eastAsia="zh-CN"/>
              </w:rPr>
              <w:t>29</w:t>
            </w:r>
          </w:p>
        </w:tc>
        <w:tc>
          <w:tcPr>
            <w:tcW w:w="1247" w:type="pct"/>
            <w:vAlign w:val="center"/>
          </w:tcPr>
          <w:p>
            <w:pPr>
              <w:overflowPunct w:val="0"/>
              <w:autoSpaceDE w:val="0"/>
              <w:autoSpaceDN w:val="0"/>
              <w:adjustRightInd w:val="0"/>
              <w:spacing w:before="20" w:after="20"/>
              <w:jc w:val="center"/>
              <w:textAlignment w:val="baseline"/>
              <w:rPr>
                <w:lang w:val="en-US" w:eastAsia="zh-CN"/>
              </w:rPr>
            </w:pPr>
            <w:r>
              <w:rPr>
                <w:lang w:eastAsia="zh-CN"/>
              </w:rPr>
              <w:t xml:space="preserve">n1&lt;= </w:t>
            </w:r>
            <m:oMath>
              <m:r>
                <m:rPr/>
                <w:rPr>
                  <w:rFonts w:ascii="Cambria Math" w:hAnsi="Cambria Math"/>
                </w:rPr>
                <m:t>α</m:t>
              </m:r>
            </m:oMath>
            <w:r>
              <w:rPr>
                <w:lang w:eastAsia="zh-CN"/>
              </w:rPr>
              <w:t>*</w:t>
            </w:r>
            <w:r>
              <w:rPr>
                <w:rFonts w:hint="eastAsia"/>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1200" w:type="pct"/>
            <w:vAlign w:val="center"/>
          </w:tcPr>
          <w:p>
            <w:pPr>
              <w:overflowPunct w:val="0"/>
              <w:autoSpaceDE w:val="0"/>
              <w:autoSpaceDN w:val="0"/>
              <w:adjustRightInd w:val="0"/>
              <w:spacing w:before="20" w:after="20"/>
              <w:jc w:val="center"/>
              <w:textAlignment w:val="baseline"/>
              <w:rPr>
                <w:lang w:eastAsia="zh-CN"/>
              </w:rPr>
            </w:pPr>
            <w:r>
              <w:rPr>
                <w:lang w:eastAsia="zh-CN"/>
              </w:rPr>
              <w:t>n2</w:t>
            </w:r>
          </w:p>
          <w:p>
            <w:pPr>
              <w:overflowPunct w:val="0"/>
              <w:autoSpaceDE w:val="0"/>
              <w:autoSpaceDN w:val="0"/>
              <w:adjustRightInd w:val="0"/>
              <w:spacing w:before="20" w:after="20"/>
              <w:jc w:val="center"/>
              <w:textAlignment w:val="baseline"/>
              <w:rPr>
                <w:lang w:val="en-US" w:eastAsia="zh-CN"/>
              </w:rPr>
            </w:pPr>
            <w:r>
              <w:rPr>
                <w:lang w:eastAsia="zh-CN"/>
              </w:rPr>
              <w:t>(</w:t>
            </w:r>
            <w:r>
              <w:rPr>
                <w:iCs/>
              </w:rPr>
              <w:t>P(S)Cell self-scheduling</w:t>
            </w:r>
            <w:r>
              <w:rPr>
                <w:lang w:eastAsia="zh-CN"/>
              </w:rPr>
              <w:t>)</w:t>
            </w:r>
          </w:p>
        </w:tc>
        <w:tc>
          <w:tcPr>
            <w:tcW w:w="1268" w:type="pct"/>
            <w:vAlign w:val="center"/>
          </w:tcPr>
          <w:p>
            <w:pPr>
              <w:overflowPunct w:val="0"/>
              <w:autoSpaceDE w:val="0"/>
              <w:autoSpaceDN w:val="0"/>
              <w:adjustRightInd w:val="0"/>
              <w:spacing w:before="20" w:after="20"/>
              <w:jc w:val="center"/>
              <w:textAlignment w:val="baseline"/>
              <w:rPr>
                <w:lang w:val="en-US" w:eastAsia="zh-CN"/>
              </w:rPr>
            </w:pPr>
            <w:r>
              <w:rPr>
                <w:lang w:eastAsia="zh-CN"/>
              </w:rPr>
              <w:t xml:space="preserve">n2&lt;= </w:t>
            </w:r>
            <m:oMath>
              <m:r>
                <m:rPr/>
                <w:rPr>
                  <w:rFonts w:ascii="Cambria Math" w:hAnsi="Cambria Math"/>
                </w:rPr>
                <m:t>α</m:t>
              </m:r>
            </m:oMath>
            <w:r>
              <w:rPr>
                <w:lang w:eastAsia="zh-CN"/>
              </w:rPr>
              <w:t>*</w:t>
            </w:r>
            <w:r>
              <w:rPr>
                <w:rFonts w:hint="eastAsia"/>
                <w:lang w:val="en-US" w:eastAsia="zh-CN"/>
              </w:rPr>
              <w:t>35</w:t>
            </w:r>
          </w:p>
        </w:tc>
        <w:tc>
          <w:tcPr>
            <w:tcW w:w="1283" w:type="pct"/>
            <w:vAlign w:val="center"/>
          </w:tcPr>
          <w:p>
            <w:pPr>
              <w:overflowPunct w:val="0"/>
              <w:autoSpaceDE w:val="0"/>
              <w:autoSpaceDN w:val="0"/>
              <w:adjustRightInd w:val="0"/>
              <w:spacing w:before="20" w:after="20"/>
              <w:jc w:val="center"/>
              <w:textAlignment w:val="baseline"/>
              <w:rPr>
                <w:lang w:val="en-US" w:eastAsia="zh-CN"/>
              </w:rPr>
            </w:pPr>
            <w:r>
              <w:rPr>
                <w:lang w:eastAsia="zh-CN"/>
              </w:rPr>
              <w:t xml:space="preserve">n2&lt;= </w:t>
            </w:r>
            <m:oMath>
              <m:r>
                <m:rPr/>
                <w:rPr>
                  <w:rFonts w:ascii="Cambria Math" w:hAnsi="Cambria Math"/>
                </w:rPr>
                <m:t>α</m:t>
              </m:r>
            </m:oMath>
            <w:r>
              <w:rPr>
                <w:lang w:eastAsia="zh-CN"/>
              </w:rPr>
              <w:t>*</w:t>
            </w:r>
            <w:r>
              <w:rPr>
                <w:rFonts w:hint="eastAsia"/>
                <w:lang w:val="en-US" w:eastAsia="zh-CN"/>
              </w:rPr>
              <w:t>29</w:t>
            </w:r>
          </w:p>
        </w:tc>
        <w:tc>
          <w:tcPr>
            <w:tcW w:w="1247" w:type="pct"/>
            <w:vAlign w:val="center"/>
          </w:tcPr>
          <w:p>
            <w:pPr>
              <w:overflowPunct w:val="0"/>
              <w:autoSpaceDE w:val="0"/>
              <w:autoSpaceDN w:val="0"/>
              <w:adjustRightInd w:val="0"/>
              <w:spacing w:before="20" w:after="20"/>
              <w:jc w:val="center"/>
              <w:textAlignment w:val="baseline"/>
              <w:rPr>
                <w:lang w:val="en-US" w:eastAsia="zh-CN"/>
              </w:rPr>
            </w:pPr>
            <w:r>
              <w:rPr>
                <w:lang w:eastAsia="zh-CN"/>
              </w:rPr>
              <w:t xml:space="preserve">n2&lt;= </w:t>
            </w:r>
            <m:oMath>
              <m:r>
                <m:rPr/>
                <w:rPr>
                  <w:rFonts w:ascii="Cambria Math" w:hAnsi="Cambria Math"/>
                </w:rPr>
                <m:t>α</m:t>
              </m:r>
            </m:oMath>
            <w:r>
              <w:rPr>
                <w:lang w:eastAsia="zh-CN"/>
              </w:rPr>
              <w:t>*</w:t>
            </w:r>
            <w:r>
              <w:rPr>
                <w:rFonts w:hint="eastAsia"/>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200" w:type="pct"/>
            <w:vAlign w:val="center"/>
          </w:tcPr>
          <w:p>
            <w:pPr>
              <w:overflowPunct w:val="0"/>
              <w:autoSpaceDE w:val="0"/>
              <w:autoSpaceDN w:val="0"/>
              <w:adjustRightInd w:val="0"/>
              <w:spacing w:before="20" w:after="20"/>
              <w:jc w:val="center"/>
              <w:textAlignment w:val="baseline"/>
              <w:rPr>
                <w:lang w:eastAsia="zh-CN"/>
              </w:rPr>
            </w:pPr>
            <w:r>
              <w:rPr>
                <w:lang w:eastAsia="zh-CN"/>
              </w:rPr>
              <w:t>p1_1</w:t>
            </w:r>
          </w:p>
          <w:p>
            <w:pPr>
              <w:overflowPunct w:val="0"/>
              <w:autoSpaceDE w:val="0"/>
              <w:autoSpaceDN w:val="0"/>
              <w:adjustRightInd w:val="0"/>
              <w:spacing w:before="20" w:after="20"/>
              <w:jc w:val="center"/>
              <w:textAlignment w:val="baseline"/>
              <w:rPr>
                <w:lang w:val="en-US" w:eastAsia="zh-CN"/>
              </w:rPr>
            </w:pPr>
            <w:r>
              <w:rPr>
                <w:lang w:eastAsia="zh-CN"/>
              </w:rPr>
              <w:t>(sSCell cross-carrier scheduling P(S)Cell</w:t>
            </w:r>
            <w:r>
              <w:rPr>
                <w:rFonts w:hint="eastAsia"/>
                <w:lang w:eastAsia="zh-CN"/>
              </w:rPr>
              <w:t>)</w:t>
            </w:r>
          </w:p>
        </w:tc>
        <w:tc>
          <w:tcPr>
            <w:tcW w:w="1268" w:type="pct"/>
            <w:vAlign w:val="center"/>
          </w:tcPr>
          <w:p>
            <w:pPr>
              <w:overflowPunct w:val="0"/>
              <w:autoSpaceDE w:val="0"/>
              <w:autoSpaceDN w:val="0"/>
              <w:adjustRightInd w:val="0"/>
              <w:spacing w:before="20" w:after="20" w:line="360" w:lineRule="auto"/>
              <w:jc w:val="center"/>
              <w:textAlignment w:val="baseline"/>
              <w:rPr>
                <w:lang w:eastAsia="zh-CN"/>
              </w:rPr>
            </w:pPr>
            <w:r>
              <w:rPr>
                <w:lang w:eastAsia="zh-CN"/>
              </w:rPr>
              <w:t>p1_1 &lt;= 36;</w:t>
            </w:r>
          </w:p>
          <w:p>
            <w:pPr>
              <w:overflowPunct w:val="0"/>
              <w:autoSpaceDE w:val="0"/>
              <w:autoSpaceDN w:val="0"/>
              <w:adjustRightInd w:val="0"/>
              <w:spacing w:before="20" w:after="20" w:line="360" w:lineRule="auto"/>
              <w:jc w:val="center"/>
              <w:textAlignment w:val="baseline"/>
              <w:rPr>
                <w:lang w:val="en-US" w:eastAsia="zh-CN"/>
              </w:rPr>
            </w:pPr>
            <w:r>
              <w:rPr>
                <w:lang w:eastAsia="zh-CN"/>
              </w:rPr>
              <w:t>p1_1</w:t>
            </w:r>
            <w:r>
              <w:rPr>
                <w:rFonts w:hint="eastAsia"/>
                <w:lang w:eastAsia="zh-CN"/>
              </w:rPr>
              <w:t>+p</w:t>
            </w:r>
            <w:r>
              <w:rPr>
                <w:lang w:eastAsia="zh-CN"/>
              </w:rPr>
              <w:t xml:space="preserve">1_2 &lt;= </w:t>
            </w:r>
            <m:oMath>
              <m:r>
                <m:rPr>
                  <m:sty m:val="p"/>
                </m:rPr>
                <w:rPr>
                  <w:rFonts w:ascii="Cambria Math" w:hAnsi="Cambria Math"/>
                </w:rPr>
                <m:t>(1−α)</m:t>
              </m:r>
            </m:oMath>
            <w:r>
              <w:rPr>
                <w:lang w:eastAsia="zh-CN"/>
              </w:rPr>
              <w:t>*</w:t>
            </w:r>
            <w:r>
              <w:rPr>
                <w:rFonts w:hint="eastAsia"/>
                <w:lang w:val="en-US" w:eastAsia="zh-CN"/>
              </w:rPr>
              <w:t>35</w:t>
            </w:r>
          </w:p>
        </w:tc>
        <w:tc>
          <w:tcPr>
            <w:tcW w:w="1283" w:type="pct"/>
            <w:vAlign w:val="center"/>
          </w:tcPr>
          <w:p>
            <w:pPr>
              <w:overflowPunct w:val="0"/>
              <w:autoSpaceDE w:val="0"/>
              <w:autoSpaceDN w:val="0"/>
              <w:adjustRightInd w:val="0"/>
              <w:spacing w:before="20" w:after="20" w:line="360" w:lineRule="auto"/>
              <w:jc w:val="center"/>
              <w:textAlignment w:val="baseline"/>
              <w:rPr>
                <w:lang w:eastAsia="zh-CN"/>
              </w:rPr>
            </w:pPr>
            <w:r>
              <w:rPr>
                <w:lang w:eastAsia="zh-CN"/>
              </w:rPr>
              <w:t>p1_1 &lt;= 36;</w:t>
            </w:r>
          </w:p>
          <w:p>
            <w:pPr>
              <w:overflowPunct w:val="0"/>
              <w:autoSpaceDE w:val="0"/>
              <w:autoSpaceDN w:val="0"/>
              <w:adjustRightInd w:val="0"/>
              <w:spacing w:before="20" w:after="20" w:line="360" w:lineRule="auto"/>
              <w:jc w:val="center"/>
              <w:textAlignment w:val="baseline"/>
              <w:rPr>
                <w:lang w:val="en-US" w:eastAsia="zh-CN"/>
              </w:rPr>
            </w:pPr>
            <w:r>
              <w:rPr>
                <w:lang w:eastAsia="zh-CN"/>
              </w:rPr>
              <w:t>p1_1</w:t>
            </w:r>
            <w:r>
              <w:rPr>
                <w:rFonts w:hint="eastAsia"/>
                <w:lang w:eastAsia="zh-CN"/>
              </w:rPr>
              <w:t>+p</w:t>
            </w:r>
            <w:r>
              <w:rPr>
                <w:lang w:eastAsia="zh-CN"/>
              </w:rPr>
              <w:t xml:space="preserve">1_2 &lt;= </w:t>
            </w:r>
            <m:oMath>
              <m:r>
                <m:rPr>
                  <m:sty m:val="p"/>
                </m:rPr>
                <w:rPr>
                  <w:rFonts w:ascii="Cambria Math" w:hAnsi="Cambria Math"/>
                </w:rPr>
                <m:t>(1−α)</m:t>
              </m:r>
            </m:oMath>
            <w:r>
              <w:rPr>
                <w:lang w:eastAsia="zh-CN"/>
              </w:rPr>
              <w:t>*</w:t>
            </w:r>
            <w:r>
              <w:rPr>
                <w:rFonts w:hint="eastAsia"/>
                <w:lang w:val="en-US" w:eastAsia="zh-CN"/>
              </w:rPr>
              <w:t>29</w:t>
            </w:r>
          </w:p>
        </w:tc>
        <w:tc>
          <w:tcPr>
            <w:tcW w:w="1247" w:type="pct"/>
            <w:vAlign w:val="center"/>
          </w:tcPr>
          <w:p>
            <w:pPr>
              <w:overflowPunct w:val="0"/>
              <w:autoSpaceDE w:val="0"/>
              <w:autoSpaceDN w:val="0"/>
              <w:adjustRightInd w:val="0"/>
              <w:spacing w:before="20" w:after="20" w:line="360" w:lineRule="auto"/>
              <w:jc w:val="center"/>
              <w:textAlignment w:val="baseline"/>
              <w:rPr>
                <w:lang w:eastAsia="zh-CN"/>
              </w:rPr>
            </w:pPr>
            <w:r>
              <w:rPr>
                <w:lang w:eastAsia="zh-CN"/>
              </w:rPr>
              <w:t>p1_1 &lt;= 36;</w:t>
            </w:r>
          </w:p>
          <w:p>
            <w:pPr>
              <w:overflowPunct w:val="0"/>
              <w:autoSpaceDE w:val="0"/>
              <w:autoSpaceDN w:val="0"/>
              <w:adjustRightInd w:val="0"/>
              <w:spacing w:before="20" w:after="20" w:line="360" w:lineRule="auto"/>
              <w:jc w:val="center"/>
              <w:textAlignment w:val="baseline"/>
              <w:rPr>
                <w:lang w:val="en-US" w:eastAsia="zh-CN"/>
              </w:rPr>
            </w:pPr>
            <w:r>
              <w:rPr>
                <w:lang w:eastAsia="zh-CN"/>
              </w:rPr>
              <w:t>p1_1</w:t>
            </w:r>
            <w:r>
              <w:rPr>
                <w:rFonts w:hint="eastAsia"/>
                <w:lang w:eastAsia="zh-CN"/>
              </w:rPr>
              <w:t>+p</w:t>
            </w:r>
            <w:r>
              <w:rPr>
                <w:lang w:eastAsia="zh-CN"/>
              </w:rPr>
              <w:t xml:space="preserve">1_2 &lt;= </w:t>
            </w:r>
            <m:oMath>
              <m:r>
                <m:rPr>
                  <m:sty m:val="p"/>
                </m:rPr>
                <w:rPr>
                  <w:rFonts w:ascii="Cambria Math" w:hAnsi="Cambria Math"/>
                </w:rPr>
                <m:t>(1−α)</m:t>
              </m:r>
            </m:oMath>
            <w:r>
              <w:rPr>
                <w:lang w:eastAsia="zh-CN"/>
              </w:rPr>
              <w:t>*</w:t>
            </w:r>
            <w:r>
              <w:rPr>
                <w:rFonts w:hint="eastAsia"/>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200" w:type="pct"/>
            <w:vAlign w:val="center"/>
          </w:tcPr>
          <w:p>
            <w:pPr>
              <w:overflowPunct w:val="0"/>
              <w:autoSpaceDE w:val="0"/>
              <w:autoSpaceDN w:val="0"/>
              <w:adjustRightInd w:val="0"/>
              <w:spacing w:before="20" w:after="20"/>
              <w:jc w:val="center"/>
              <w:textAlignment w:val="baseline"/>
              <w:rPr>
                <w:lang w:eastAsia="zh-CN"/>
              </w:rPr>
            </w:pPr>
            <w:r>
              <w:rPr>
                <w:lang w:eastAsia="zh-CN"/>
              </w:rPr>
              <w:t>p1_2</w:t>
            </w:r>
          </w:p>
          <w:p>
            <w:pPr>
              <w:overflowPunct w:val="0"/>
              <w:autoSpaceDE w:val="0"/>
              <w:autoSpaceDN w:val="0"/>
              <w:adjustRightInd w:val="0"/>
              <w:spacing w:before="20" w:after="20"/>
              <w:jc w:val="center"/>
              <w:textAlignment w:val="baseline"/>
              <w:rPr>
                <w:lang w:eastAsia="zh-CN"/>
              </w:rPr>
            </w:pPr>
            <w:r>
              <w:rPr>
                <w:lang w:eastAsia="zh-CN"/>
              </w:rPr>
              <w:t>(sSCell cross-carrier scheduling P(S)Cell</w:t>
            </w:r>
            <w:r>
              <w:rPr>
                <w:rFonts w:hint="eastAsia"/>
                <w:lang w:eastAsia="zh-CN"/>
              </w:rPr>
              <w:t>)</w:t>
            </w:r>
          </w:p>
        </w:tc>
        <w:tc>
          <w:tcPr>
            <w:tcW w:w="1268" w:type="pct"/>
            <w:vAlign w:val="center"/>
          </w:tcPr>
          <w:p>
            <w:pPr>
              <w:overflowPunct w:val="0"/>
              <w:autoSpaceDE w:val="0"/>
              <w:autoSpaceDN w:val="0"/>
              <w:adjustRightInd w:val="0"/>
              <w:spacing w:before="20" w:after="20" w:line="360" w:lineRule="auto"/>
              <w:jc w:val="center"/>
              <w:textAlignment w:val="baseline"/>
              <w:rPr>
                <w:lang w:eastAsia="zh-CN"/>
              </w:rPr>
            </w:pPr>
            <w:r>
              <w:rPr>
                <w:lang w:eastAsia="zh-CN"/>
              </w:rPr>
              <w:t>p1_2 &lt;= 36;</w:t>
            </w:r>
          </w:p>
          <w:p>
            <w:pPr>
              <w:overflowPunct w:val="0"/>
              <w:autoSpaceDE w:val="0"/>
              <w:autoSpaceDN w:val="0"/>
              <w:adjustRightInd w:val="0"/>
              <w:spacing w:before="20" w:after="20" w:line="360" w:lineRule="auto"/>
              <w:jc w:val="center"/>
              <w:textAlignment w:val="baseline"/>
              <w:rPr>
                <w:lang w:val="en-US" w:eastAsia="zh-CN"/>
              </w:rPr>
            </w:pPr>
            <w:r>
              <w:rPr>
                <w:lang w:eastAsia="zh-CN"/>
              </w:rPr>
              <w:t>p1_1</w:t>
            </w:r>
            <w:r>
              <w:rPr>
                <w:rFonts w:hint="eastAsia"/>
                <w:lang w:eastAsia="zh-CN"/>
              </w:rPr>
              <w:t>+p</w:t>
            </w:r>
            <w:r>
              <w:rPr>
                <w:lang w:eastAsia="zh-CN"/>
              </w:rPr>
              <w:t xml:space="preserve">1_2 &lt;= </w:t>
            </w:r>
            <m:oMath>
              <m:r>
                <m:rPr>
                  <m:sty m:val="p"/>
                </m:rPr>
                <w:rPr>
                  <w:rFonts w:ascii="Cambria Math" w:hAnsi="Cambria Math"/>
                </w:rPr>
                <m:t>(1−α)</m:t>
              </m:r>
            </m:oMath>
            <w:r>
              <w:rPr>
                <w:lang w:eastAsia="zh-CN"/>
              </w:rPr>
              <w:t>*</w:t>
            </w:r>
            <w:r>
              <w:rPr>
                <w:rFonts w:hint="eastAsia"/>
                <w:lang w:val="en-US" w:eastAsia="zh-CN"/>
              </w:rPr>
              <w:t>35</w:t>
            </w:r>
          </w:p>
        </w:tc>
        <w:tc>
          <w:tcPr>
            <w:tcW w:w="1283" w:type="pct"/>
            <w:vAlign w:val="center"/>
          </w:tcPr>
          <w:p>
            <w:pPr>
              <w:overflowPunct w:val="0"/>
              <w:autoSpaceDE w:val="0"/>
              <w:autoSpaceDN w:val="0"/>
              <w:adjustRightInd w:val="0"/>
              <w:spacing w:before="20" w:after="20" w:line="360" w:lineRule="auto"/>
              <w:jc w:val="center"/>
              <w:textAlignment w:val="baseline"/>
              <w:rPr>
                <w:lang w:eastAsia="zh-CN"/>
              </w:rPr>
            </w:pPr>
            <w:r>
              <w:rPr>
                <w:lang w:eastAsia="zh-CN"/>
              </w:rPr>
              <w:t>p1_2 &lt;= 36;</w:t>
            </w:r>
          </w:p>
          <w:p>
            <w:pPr>
              <w:overflowPunct w:val="0"/>
              <w:autoSpaceDE w:val="0"/>
              <w:autoSpaceDN w:val="0"/>
              <w:adjustRightInd w:val="0"/>
              <w:spacing w:before="20" w:after="20" w:line="360" w:lineRule="auto"/>
              <w:jc w:val="center"/>
              <w:textAlignment w:val="baseline"/>
              <w:rPr>
                <w:lang w:val="en-US" w:eastAsia="zh-CN"/>
              </w:rPr>
            </w:pPr>
            <w:r>
              <w:rPr>
                <w:lang w:eastAsia="zh-CN"/>
              </w:rPr>
              <w:t>p1_1</w:t>
            </w:r>
            <w:r>
              <w:rPr>
                <w:rFonts w:hint="eastAsia"/>
                <w:lang w:eastAsia="zh-CN"/>
              </w:rPr>
              <w:t>+p</w:t>
            </w:r>
            <w:r>
              <w:rPr>
                <w:lang w:eastAsia="zh-CN"/>
              </w:rPr>
              <w:t xml:space="preserve">1_2 &lt;= </w:t>
            </w:r>
            <m:oMath>
              <m:r>
                <m:rPr>
                  <m:sty m:val="p"/>
                </m:rPr>
                <w:rPr>
                  <w:rFonts w:ascii="Cambria Math" w:hAnsi="Cambria Math"/>
                </w:rPr>
                <m:t>(1−α)</m:t>
              </m:r>
            </m:oMath>
            <w:r>
              <w:rPr>
                <w:lang w:eastAsia="zh-CN"/>
              </w:rPr>
              <w:t>*</w:t>
            </w:r>
            <w:r>
              <w:rPr>
                <w:rFonts w:hint="eastAsia"/>
                <w:lang w:val="en-US" w:eastAsia="zh-CN"/>
              </w:rPr>
              <w:t>29</w:t>
            </w:r>
          </w:p>
        </w:tc>
        <w:tc>
          <w:tcPr>
            <w:tcW w:w="1247" w:type="pct"/>
            <w:vAlign w:val="center"/>
          </w:tcPr>
          <w:p>
            <w:pPr>
              <w:overflowPunct w:val="0"/>
              <w:autoSpaceDE w:val="0"/>
              <w:autoSpaceDN w:val="0"/>
              <w:adjustRightInd w:val="0"/>
              <w:spacing w:before="20" w:after="20" w:line="360" w:lineRule="auto"/>
              <w:jc w:val="center"/>
              <w:textAlignment w:val="baseline"/>
              <w:rPr>
                <w:lang w:eastAsia="zh-CN"/>
              </w:rPr>
            </w:pPr>
            <w:r>
              <w:rPr>
                <w:lang w:eastAsia="zh-CN"/>
              </w:rPr>
              <w:t>p1_2 &lt;= 36;</w:t>
            </w:r>
          </w:p>
          <w:p>
            <w:pPr>
              <w:overflowPunct w:val="0"/>
              <w:autoSpaceDE w:val="0"/>
              <w:autoSpaceDN w:val="0"/>
              <w:adjustRightInd w:val="0"/>
              <w:spacing w:before="20" w:after="20" w:line="360" w:lineRule="auto"/>
              <w:jc w:val="center"/>
              <w:textAlignment w:val="baseline"/>
              <w:rPr>
                <w:lang w:val="en-US" w:eastAsia="zh-CN"/>
              </w:rPr>
            </w:pPr>
            <w:r>
              <w:rPr>
                <w:lang w:eastAsia="zh-CN"/>
              </w:rPr>
              <w:t>p1_1</w:t>
            </w:r>
            <w:r>
              <w:rPr>
                <w:rFonts w:hint="eastAsia"/>
                <w:lang w:eastAsia="zh-CN"/>
              </w:rPr>
              <w:t>+p</w:t>
            </w:r>
            <w:r>
              <w:rPr>
                <w:lang w:eastAsia="zh-CN"/>
              </w:rPr>
              <w:t xml:space="preserve">1_2 &lt;= </w:t>
            </w:r>
            <m:oMath>
              <m:r>
                <m:rPr>
                  <m:sty m:val="p"/>
                </m:rPr>
                <w:rPr>
                  <w:rFonts w:ascii="Cambria Math" w:hAnsi="Cambria Math"/>
                </w:rPr>
                <m:t>(1−α)</m:t>
              </m:r>
            </m:oMath>
            <w:r>
              <w:rPr>
                <w:lang w:eastAsia="zh-CN"/>
              </w:rPr>
              <w:t>*</w:t>
            </w:r>
            <w:r>
              <w:rPr>
                <w:rFonts w:hint="eastAsia"/>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trPr>
        <w:tc>
          <w:tcPr>
            <w:tcW w:w="1200" w:type="pct"/>
            <w:vAlign w:val="center"/>
          </w:tcPr>
          <w:p>
            <w:pPr>
              <w:overflowPunct w:val="0"/>
              <w:autoSpaceDE w:val="0"/>
              <w:autoSpaceDN w:val="0"/>
              <w:adjustRightInd w:val="0"/>
              <w:spacing w:before="20" w:after="20"/>
              <w:jc w:val="center"/>
              <w:textAlignment w:val="baseline"/>
              <w:rPr>
                <w:lang w:eastAsia="zh-CN"/>
              </w:rPr>
            </w:pPr>
            <w:r>
              <w:rPr>
                <w:lang w:eastAsia="zh-CN"/>
              </w:rPr>
              <w:t>p2_1</w:t>
            </w:r>
          </w:p>
          <w:p>
            <w:pPr>
              <w:overflowPunct w:val="0"/>
              <w:autoSpaceDE w:val="0"/>
              <w:autoSpaceDN w:val="0"/>
              <w:adjustRightInd w:val="0"/>
              <w:spacing w:before="20" w:after="20"/>
              <w:jc w:val="center"/>
              <w:textAlignment w:val="baseline"/>
              <w:rPr>
                <w:lang w:eastAsia="zh-CN"/>
              </w:rPr>
            </w:pPr>
            <w:r>
              <w:rPr>
                <w:lang w:eastAsia="zh-CN"/>
              </w:rPr>
              <w:t>(sSCell cross-carrier scheduling P(S)Cell</w:t>
            </w:r>
            <w:r>
              <w:rPr>
                <w:rFonts w:hint="eastAsia"/>
                <w:lang w:eastAsia="zh-CN"/>
              </w:rPr>
              <w:t>)</w:t>
            </w:r>
          </w:p>
        </w:tc>
        <w:tc>
          <w:tcPr>
            <w:tcW w:w="1268" w:type="pct"/>
            <w:vAlign w:val="center"/>
          </w:tcPr>
          <w:p>
            <w:pPr>
              <w:overflowPunct w:val="0"/>
              <w:autoSpaceDE w:val="0"/>
              <w:autoSpaceDN w:val="0"/>
              <w:adjustRightInd w:val="0"/>
              <w:spacing w:before="20" w:after="20" w:line="360" w:lineRule="auto"/>
              <w:jc w:val="center"/>
              <w:textAlignment w:val="baseline"/>
              <w:rPr>
                <w:lang w:eastAsia="zh-CN"/>
              </w:rPr>
            </w:pPr>
            <w:r>
              <w:rPr>
                <w:lang w:eastAsia="zh-CN"/>
              </w:rPr>
              <w:t>p2_1 &lt;= 36;</w:t>
            </w:r>
          </w:p>
          <w:p>
            <w:pPr>
              <w:overflowPunct w:val="0"/>
              <w:autoSpaceDE w:val="0"/>
              <w:autoSpaceDN w:val="0"/>
              <w:adjustRightInd w:val="0"/>
              <w:spacing w:before="20" w:after="20" w:line="360" w:lineRule="auto"/>
              <w:jc w:val="center"/>
              <w:textAlignment w:val="baseline"/>
              <w:rPr>
                <w:lang w:val="en-US" w:eastAsia="zh-CN"/>
              </w:rPr>
            </w:pPr>
            <w:r>
              <w:rPr>
                <w:rFonts w:hint="eastAsia"/>
                <w:lang w:eastAsia="zh-CN"/>
              </w:rPr>
              <w:t>p</w:t>
            </w:r>
            <w:r>
              <w:rPr>
                <w:lang w:eastAsia="zh-CN"/>
              </w:rPr>
              <w:t xml:space="preserve">2_1 &lt;= </w:t>
            </w:r>
            <m:oMath>
              <m:r>
                <m:rPr>
                  <m:sty m:val="p"/>
                </m:rPr>
                <w:rPr>
                  <w:rFonts w:ascii="Cambria Math" w:hAnsi="Cambria Math"/>
                </w:rPr>
                <m:t>(1−α)</m:t>
              </m:r>
            </m:oMath>
            <w:r>
              <w:rPr>
                <w:lang w:eastAsia="zh-CN"/>
              </w:rPr>
              <w:t>*</w:t>
            </w:r>
            <w:r>
              <w:rPr>
                <w:rFonts w:hint="eastAsia"/>
                <w:lang w:val="en-US" w:eastAsia="zh-CN"/>
              </w:rPr>
              <w:t>35</w:t>
            </w:r>
          </w:p>
        </w:tc>
        <w:tc>
          <w:tcPr>
            <w:tcW w:w="1283" w:type="pct"/>
            <w:vAlign w:val="center"/>
          </w:tcPr>
          <w:p>
            <w:pPr>
              <w:overflowPunct w:val="0"/>
              <w:autoSpaceDE w:val="0"/>
              <w:autoSpaceDN w:val="0"/>
              <w:adjustRightInd w:val="0"/>
              <w:spacing w:before="20" w:after="20" w:line="360" w:lineRule="auto"/>
              <w:jc w:val="center"/>
              <w:textAlignment w:val="baseline"/>
              <w:rPr>
                <w:lang w:eastAsia="zh-CN"/>
              </w:rPr>
            </w:pPr>
            <w:r>
              <w:rPr>
                <w:lang w:eastAsia="zh-CN"/>
              </w:rPr>
              <w:t>p2_1 &lt;= 36;</w:t>
            </w:r>
          </w:p>
          <w:p>
            <w:pPr>
              <w:overflowPunct w:val="0"/>
              <w:autoSpaceDE w:val="0"/>
              <w:autoSpaceDN w:val="0"/>
              <w:adjustRightInd w:val="0"/>
              <w:spacing w:before="20" w:after="20" w:line="360" w:lineRule="auto"/>
              <w:jc w:val="center"/>
              <w:textAlignment w:val="baseline"/>
              <w:rPr>
                <w:lang w:val="en-US" w:eastAsia="zh-CN"/>
              </w:rPr>
            </w:pPr>
            <w:r>
              <w:rPr>
                <w:rFonts w:hint="eastAsia"/>
                <w:lang w:eastAsia="zh-CN"/>
              </w:rPr>
              <w:t>p</w:t>
            </w:r>
            <w:r>
              <w:rPr>
                <w:lang w:eastAsia="zh-CN"/>
              </w:rPr>
              <w:t xml:space="preserve">2_1 &lt;= </w:t>
            </w:r>
            <m:oMath>
              <m:r>
                <m:rPr>
                  <m:sty m:val="p"/>
                </m:rPr>
                <w:rPr>
                  <w:rFonts w:ascii="Cambria Math" w:hAnsi="Cambria Math"/>
                </w:rPr>
                <m:t>(1−α)</m:t>
              </m:r>
            </m:oMath>
            <w:r>
              <w:rPr>
                <w:lang w:eastAsia="zh-CN"/>
              </w:rPr>
              <w:t>*</w:t>
            </w:r>
            <w:r>
              <w:rPr>
                <w:rFonts w:hint="eastAsia"/>
                <w:lang w:val="en-US" w:eastAsia="zh-CN"/>
              </w:rPr>
              <w:t>29</w:t>
            </w:r>
          </w:p>
        </w:tc>
        <w:tc>
          <w:tcPr>
            <w:tcW w:w="1247" w:type="pct"/>
            <w:vAlign w:val="center"/>
          </w:tcPr>
          <w:p>
            <w:pPr>
              <w:overflowPunct w:val="0"/>
              <w:autoSpaceDE w:val="0"/>
              <w:autoSpaceDN w:val="0"/>
              <w:adjustRightInd w:val="0"/>
              <w:spacing w:before="20" w:after="20" w:line="360" w:lineRule="auto"/>
              <w:jc w:val="center"/>
              <w:textAlignment w:val="baseline"/>
              <w:rPr>
                <w:lang w:eastAsia="zh-CN"/>
              </w:rPr>
            </w:pPr>
            <w:r>
              <w:rPr>
                <w:lang w:eastAsia="zh-CN"/>
              </w:rPr>
              <w:t>p2_1 &lt;= 36;</w:t>
            </w:r>
          </w:p>
          <w:p>
            <w:pPr>
              <w:overflowPunct w:val="0"/>
              <w:autoSpaceDE w:val="0"/>
              <w:autoSpaceDN w:val="0"/>
              <w:adjustRightInd w:val="0"/>
              <w:spacing w:before="20" w:after="20" w:line="360" w:lineRule="auto"/>
              <w:jc w:val="center"/>
              <w:textAlignment w:val="baseline"/>
              <w:rPr>
                <w:lang w:val="en-US" w:eastAsia="zh-CN"/>
              </w:rPr>
            </w:pPr>
            <w:r>
              <w:rPr>
                <w:rFonts w:hint="eastAsia"/>
                <w:lang w:eastAsia="zh-CN"/>
              </w:rPr>
              <w:t>p</w:t>
            </w:r>
            <w:r>
              <w:rPr>
                <w:lang w:eastAsia="zh-CN"/>
              </w:rPr>
              <w:t xml:space="preserve">2_1 &lt;= </w:t>
            </w:r>
            <m:oMath>
              <m:r>
                <m:rPr>
                  <m:sty m:val="p"/>
                </m:rPr>
                <w:rPr>
                  <w:rFonts w:ascii="Cambria Math" w:hAnsi="Cambria Math"/>
                </w:rPr>
                <m:t>(1−α)</m:t>
              </m:r>
            </m:oMath>
            <w:r>
              <w:rPr>
                <w:lang w:eastAsia="zh-CN"/>
              </w:rPr>
              <w:t>*</w:t>
            </w:r>
            <w:r>
              <w:rPr>
                <w:rFonts w:hint="eastAsia"/>
                <w:lang w:val="en-US" w:eastAsia="zh-CN"/>
              </w:rPr>
              <w:t>17</w:t>
            </w:r>
          </w:p>
        </w:tc>
      </w:tr>
    </w:tbl>
    <w:p>
      <w:pPr>
        <w:jc w:val="both"/>
        <w:rPr>
          <w:lang w:val="en-US" w:eastAsia="zh-CN"/>
        </w:rPr>
      </w:pPr>
    </w:p>
    <w:p>
      <w:pPr>
        <w:jc w:val="both"/>
        <w:rPr>
          <w:lang w:val="en-US" w:eastAsia="zh-CN"/>
        </w:rPr>
      </w:pPr>
      <w:r>
        <w:rPr>
          <w:lang w:val="en-US" w:eastAsia="zh-CN"/>
        </w:rPr>
        <w:t>In</w:t>
      </w:r>
      <w:r>
        <w:rPr>
          <w:rFonts w:hint="eastAsia"/>
          <w:lang w:eastAsia="zh-CN"/>
        </w:rPr>
        <w:t xml:space="preserve"> Rel-16</w:t>
      </w:r>
      <w:r>
        <w:rPr>
          <w:rFonts w:hint="eastAsia"/>
          <w:lang w:val="en-US" w:eastAsia="zh-CN"/>
        </w:rPr>
        <w:t xml:space="preserve"> specification, the total number of BD for serving cells with </w:t>
      </w:r>
      <w:r>
        <w:rPr>
          <w:lang w:val="en-US" w:eastAsia="zh-CN"/>
        </w:rPr>
        <w:t>μ</w:t>
      </w:r>
      <w:r>
        <w:rPr>
          <w:rFonts w:hint="eastAsia"/>
          <w:lang w:val="en-US" w:eastAsia="zh-CN"/>
        </w:rPr>
        <w:t xml:space="preserve"> and </w:t>
      </w:r>
      <w:r>
        <w:rPr>
          <w:lang w:val="en-US" w:eastAsia="zh-CN"/>
        </w:rPr>
        <w:t>μ</w:t>
      </w:r>
      <w:r>
        <w:rPr>
          <w:rFonts w:hint="eastAsia"/>
          <w:lang w:val="en-US" w:eastAsia="zh-CN"/>
        </w:rPr>
        <w:t xml:space="preserve">1 is </w:t>
      </w:r>
      <m:oMath>
        <m:sSubSup>
          <m:sSubSupPr>
            <m:ctrlPr>
              <w:rPr>
                <w:rFonts w:ascii="Cambria Math" w:hAnsi="Cambria Math"/>
                <w:i/>
              </w:rPr>
            </m:ctrlPr>
          </m:sSubSupPr>
          <m:e>
            <m:r>
              <m:rPr/>
              <w:rPr>
                <w:rFonts w:ascii="Cambria Math" w:hAnsi="Cambria Math"/>
              </w:rPr>
              <m:t>M</m:t>
            </m:r>
            <m:ctrlPr>
              <w:rPr>
                <w:rFonts w:ascii="Cambria Math" w:hAnsi="Cambria Math"/>
                <w:i/>
              </w:rPr>
            </m:ctrlPr>
          </m:e>
          <m:sub>
            <m:r>
              <m:rPr>
                <m:nor/>
                <m:sty m:val="p"/>
              </m:rPr>
              <w:rPr>
                <w:rFonts w:ascii="Cambria Math" w:hAnsi="Cambria Math"/>
                <w:b w:val="0"/>
                <w:i w:val="0"/>
              </w:rPr>
              <m:t>PDCCH</m:t>
            </m:r>
            <m:ctrlPr>
              <w:rPr>
                <w:rFonts w:ascii="Cambria Math" w:hAnsi="Cambria Math"/>
              </w:rPr>
            </m:ctrlPr>
          </m:sub>
          <m:sup>
            <m:r>
              <m:rPr>
                <m:nor/>
                <m:sty m:val="p"/>
              </m:rPr>
              <w:rPr>
                <w:rFonts w:ascii="Cambria Math" w:hAnsi="Cambria Math"/>
                <w:b w:val="0"/>
                <w:i w:val="0"/>
              </w:rPr>
              <m:t>total,slot,</m:t>
            </m:r>
            <m:r>
              <m:rPr/>
              <w:rPr>
                <w:rFonts w:ascii="Cambria Math" w:hAnsi="Cambria Math"/>
              </w:rPr>
              <m:t>μ</m:t>
            </m:r>
            <m:ctrlPr>
              <w:rPr>
                <w:rFonts w:ascii="Cambria Math" w:hAnsi="Cambria Math"/>
              </w:rPr>
            </m:ctrlPr>
          </m:sup>
        </m:sSubSup>
        <m:r>
          <m:rPr>
            <m:sty m:val="p"/>
          </m:rPr>
          <w:rPr>
            <w:rFonts w:ascii="Cambria Math" w:hAnsi="Cambria Math"/>
            <w:lang w:val="en-US" w:eastAsia="zh-CN"/>
          </w:rPr>
          <m:t>=</m:t>
        </m:r>
        <m:d>
          <m:dPr>
            <m:begChr m:val="⌊"/>
            <m:endChr m:val="⌋"/>
            <m:ctrlPr>
              <w:rPr>
                <w:rFonts w:ascii="Cambria Math" w:hAnsi="Cambria Math"/>
                <w:lang w:val="en-US" w:eastAsia="zh-CN"/>
              </w:rPr>
            </m:ctrlPr>
          </m:dPr>
          <m:e>
            <m:r>
              <m:rPr>
                <m:sty m:val="p"/>
              </m:rPr>
              <w:rPr>
                <w:rFonts w:ascii="Cambria Math" w:hAnsi="Cambria Math"/>
                <w:lang w:val="en-US" w:eastAsia="zh-CN"/>
              </w:rPr>
              <m:t>4</m:t>
            </m:r>
            <m:r>
              <m:rPr>
                <m:sty m:val="p"/>
              </m:rPr>
              <w:rPr>
                <w:rFonts w:ascii="Cambria Math" w:hAnsi="Cambria Math"/>
                <w:lang w:val="en-US"/>
              </w:rPr>
              <m:t>∗</m:t>
            </m:r>
            <m:r>
              <m:rPr>
                <m:sty m:val="p"/>
              </m:rPr>
              <w:rPr>
                <w:rFonts w:ascii="Cambria Math" w:hAnsi="Cambria Math"/>
                <w:lang w:val="en-US" w:eastAsia="zh-CN"/>
              </w:rPr>
              <m:t>44</m:t>
            </m:r>
            <m:r>
              <m:rPr>
                <m:sty m:val="p"/>
              </m:rPr>
              <w:rPr>
                <w:rFonts w:ascii="Cambria Math" w:hAnsi="Cambria Math"/>
                <w:lang w:val="en-US"/>
              </w:rPr>
              <m:t>∗</m:t>
            </m:r>
            <m:r>
              <m:rPr>
                <m:sty m:val="p"/>
              </m:rPr>
              <w:rPr>
                <w:rFonts w:ascii="Cambria Math" w:hAnsi="Cambria Math"/>
                <w:lang w:val="en-US" w:eastAsia="zh-CN"/>
              </w:rPr>
              <m:t>1/5</m:t>
            </m:r>
            <m:ctrlPr>
              <w:rPr>
                <w:rFonts w:ascii="Cambria Math" w:hAnsi="Cambria Math"/>
                <w:lang w:val="en-US" w:eastAsia="zh-CN"/>
              </w:rPr>
            </m:ctrlPr>
          </m:e>
        </m:d>
        <m:r>
          <m:rPr>
            <m:sty m:val="p"/>
          </m:rPr>
          <w:rPr>
            <w:rFonts w:ascii="Cambria Math" w:hAnsi="Cambria Math"/>
            <w:lang w:val="en-US" w:eastAsia="zh-CN"/>
          </w:rPr>
          <m:t>=35</m:t>
        </m:r>
      </m:oMath>
      <w:r>
        <w:rPr>
          <w:rFonts w:hint="eastAsia" w:hAnsi="Cambria Math"/>
          <w:lang w:val="en-US" w:eastAsia="zh-CN"/>
        </w:rPr>
        <w:t xml:space="preserve">; </w:t>
      </w:r>
      <m:oMath>
        <m:sSubSup>
          <m:sSubSupPr>
            <m:ctrlPr>
              <w:rPr>
                <w:rFonts w:ascii="Cambria Math" w:hAnsi="Cambria Math"/>
                <w:i/>
              </w:rPr>
            </m:ctrlPr>
          </m:sSubSupPr>
          <m:e>
            <m:r>
              <m:rPr/>
              <w:rPr>
                <w:rFonts w:ascii="Cambria Math" w:hAnsi="Cambria Math"/>
              </w:rPr>
              <m:t>M</m:t>
            </m:r>
            <m:ctrlPr>
              <w:rPr>
                <w:rFonts w:ascii="Cambria Math" w:hAnsi="Cambria Math"/>
                <w:i/>
              </w:rPr>
            </m:ctrlPr>
          </m:e>
          <m:sub>
            <m:r>
              <m:rPr>
                <m:nor/>
                <m:sty m:val="p"/>
              </m:rPr>
              <w:rPr>
                <w:b w:val="0"/>
                <w:i w:val="0"/>
              </w:rPr>
              <m:t>PDCCH</m:t>
            </m:r>
            <m:ctrlPr>
              <w:rPr>
                <w:rFonts w:ascii="Cambria Math" w:hAnsi="Cambria Math"/>
              </w:rPr>
            </m:ctrlPr>
          </m:sub>
          <m:sup>
            <m:r>
              <m:rPr>
                <m:nor/>
                <m:sty m:val="p"/>
              </m:rPr>
              <w:rPr>
                <w:b w:val="0"/>
                <w:i w:val="0"/>
              </w:rPr>
              <m:t>total,slot,</m:t>
            </m:r>
            <m:r>
              <m:rPr/>
              <w:rPr>
                <w:rFonts w:ascii="Cambria Math" w:hAnsi="Cambria Math"/>
              </w:rPr>
              <m:t>μ</m:t>
            </m:r>
            <m:r>
              <m:rPr/>
              <w:rPr>
                <w:rFonts w:ascii="Cambria Math" w:hAnsi="Cambria Math"/>
                <w:lang w:val="en-US" w:eastAsia="zh-CN"/>
              </w:rPr>
              <m:t>1</m:t>
            </m:r>
            <m:ctrlPr>
              <w:rPr>
                <w:rFonts w:ascii="Cambria Math" w:hAnsi="Cambria Math"/>
              </w:rPr>
            </m:ctrlPr>
          </m:sup>
        </m:sSubSup>
        <m:r>
          <m:rPr>
            <m:sty m:val="p"/>
          </m:rPr>
          <w:rPr>
            <w:rFonts w:ascii="Cambria Math" w:hAnsi="Cambria Math"/>
            <w:lang w:val="en-US" w:eastAsia="zh-CN"/>
          </w:rPr>
          <m:t>=</m:t>
        </m:r>
        <m:d>
          <m:dPr>
            <m:begChr m:val="⌊"/>
            <m:endChr m:val="⌋"/>
            <m:ctrlPr>
              <w:rPr>
                <w:rFonts w:ascii="Cambria Math" w:hAnsi="Cambria Math"/>
                <w:lang w:val="en-US" w:eastAsia="zh-CN"/>
              </w:rPr>
            </m:ctrlPr>
          </m:dPr>
          <m:e>
            <m:r>
              <m:rPr>
                <m:sty m:val="p"/>
              </m:rPr>
              <w:rPr>
                <w:rFonts w:ascii="Cambria Math" w:hAnsi="Cambria Math"/>
                <w:lang w:val="en-US" w:eastAsia="zh-CN"/>
              </w:rPr>
              <m:t>4</m:t>
            </m:r>
            <m:r>
              <m:rPr>
                <m:sty m:val="p"/>
              </m:rPr>
              <w:rPr>
                <w:rFonts w:ascii="Cambria Math" w:hAnsi="Cambria Math"/>
                <w:lang w:val="en-US"/>
              </w:rPr>
              <m:t>∗</m:t>
            </m:r>
            <m:r>
              <m:rPr>
                <m:sty m:val="p"/>
              </m:rPr>
              <w:rPr>
                <w:rFonts w:ascii="Cambria Math" w:hAnsi="Cambria Math"/>
                <w:lang w:val="en-US" w:eastAsia="zh-CN"/>
              </w:rPr>
              <m:t>36</m:t>
            </m:r>
            <m:r>
              <m:rPr>
                <m:sty m:val="p"/>
              </m:rPr>
              <w:rPr>
                <w:rFonts w:ascii="Cambria Math" w:hAnsi="Cambria Math"/>
                <w:lang w:val="en-US"/>
              </w:rPr>
              <m:t>∗</m:t>
            </m:r>
            <m:r>
              <m:rPr>
                <m:sty m:val="p"/>
              </m:rPr>
              <w:rPr>
                <w:rFonts w:ascii="Cambria Math" w:hAnsi="Cambria Math"/>
                <w:lang w:val="en-US" w:eastAsia="zh-CN"/>
              </w:rPr>
              <m:t>4/5</m:t>
            </m:r>
            <m:ctrlPr>
              <w:rPr>
                <w:rFonts w:ascii="Cambria Math" w:hAnsi="Cambria Math"/>
                <w:lang w:val="en-US" w:eastAsia="zh-CN"/>
              </w:rPr>
            </m:ctrlPr>
          </m:e>
        </m:d>
        <m:r>
          <m:rPr>
            <m:sty m:val="p"/>
          </m:rPr>
          <w:rPr>
            <w:rFonts w:ascii="Cambria Math" w:hAnsi="Cambria Math"/>
            <w:lang w:val="en-US" w:eastAsia="zh-CN"/>
          </w:rPr>
          <m:t>=115</m:t>
        </m:r>
      </m:oMath>
      <w:r>
        <w:rPr>
          <w:rFonts w:hint="eastAsia" w:hAnsi="Cambria Math"/>
          <w:lang w:val="en-US" w:eastAsia="zh-CN"/>
        </w:rPr>
        <w:t xml:space="preserve">. </w:t>
      </w:r>
      <w:r>
        <w:rPr>
          <w:rFonts w:hint="eastAsia"/>
          <w:lang w:val="en-US" w:eastAsia="zh-CN"/>
        </w:rPr>
        <w:t>According to the results in Table 1, it can be observed that the total BD number is aligned with that in Rel-16</w:t>
      </w:r>
      <w:r>
        <w:rPr>
          <w:lang w:val="en-US" w:eastAsia="zh-CN"/>
        </w:rPr>
        <w:t xml:space="preserve"> in case of </w:t>
      </w:r>
      <w:r>
        <w:rPr>
          <w:rFonts w:hint="eastAsia"/>
          <w:lang w:val="en-US" w:eastAsia="zh-CN"/>
        </w:rPr>
        <w:t xml:space="preserve">s1=1 and s2=0, but </w:t>
      </w:r>
      <w:r>
        <w:rPr>
          <w:lang w:val="en-US" w:eastAsia="zh-CN"/>
        </w:rPr>
        <w:t xml:space="preserve">other </w:t>
      </w:r>
      <w:r>
        <w:rPr>
          <w:rFonts w:hint="eastAsia"/>
          <w:lang w:val="en-US" w:eastAsia="zh-CN"/>
        </w:rPr>
        <w:t>scaling factor values</w:t>
      </w:r>
      <w:r>
        <w:rPr>
          <w:lang w:val="en-US" w:eastAsia="zh-CN"/>
        </w:rPr>
        <w:t xml:space="preserve"> will cause the </w:t>
      </w:r>
      <w:r>
        <w:rPr>
          <w:rFonts w:hint="eastAsia"/>
          <w:lang w:val="en-US" w:eastAsia="zh-CN"/>
        </w:rPr>
        <w:t xml:space="preserve">total BD </w:t>
      </w:r>
      <w:r>
        <w:rPr>
          <w:lang w:val="en-US" w:eastAsia="zh-CN"/>
        </w:rPr>
        <w:t>number beyond the</w:t>
      </w:r>
      <w:r>
        <w:rPr>
          <w:rFonts w:hint="eastAsia"/>
          <w:lang w:val="en-US" w:eastAsia="zh-CN"/>
        </w:rPr>
        <w:t xml:space="preserve"> </w:t>
      </w:r>
      <w:r>
        <w:rPr>
          <w:lang w:val="en-US" w:eastAsia="zh-CN"/>
        </w:rPr>
        <w:t xml:space="preserve">capability in </w:t>
      </w:r>
      <w:r>
        <w:rPr>
          <w:rFonts w:hint="eastAsia"/>
          <w:lang w:val="en-US" w:eastAsia="zh-CN"/>
        </w:rPr>
        <w:t xml:space="preserve">current specification. </w:t>
      </w:r>
    </w:p>
    <w:p>
      <w:pPr>
        <w:jc w:val="both"/>
        <w:rPr>
          <w:rFonts w:hAnsi="Cambria Math"/>
          <w:lang w:val="en-US" w:eastAsia="zh-CN"/>
        </w:rPr>
      </w:pPr>
      <w:r>
        <w:rPr>
          <w:lang w:val="en-US" w:eastAsia="zh-CN"/>
        </w:rPr>
        <w:t>In addition, f</w:t>
      </w:r>
      <w:r>
        <w:rPr>
          <w:rFonts w:hint="eastAsia"/>
          <w:lang w:val="en-US" w:eastAsia="zh-CN"/>
        </w:rPr>
        <w:t xml:space="preserve">or the BD limits on P(S)Cell and sSCell in the above example, combinations of s1=1, s2=1 and s1=0.5, s2=0.5 </w:t>
      </w:r>
      <w:r>
        <w:rPr>
          <w:lang w:val="en-US" w:eastAsia="zh-CN"/>
        </w:rPr>
        <w:t>will cause</w:t>
      </w:r>
      <w:r>
        <w:rPr>
          <w:rFonts w:hint="eastAsia"/>
          <w:lang w:val="en-US" w:eastAsia="zh-CN"/>
        </w:rPr>
        <w:t xml:space="preserve"> unnecessary restriction to PDCCH monitoring for both P(S)Cell self-scheduling and sSCell cross-carrier scheduling to P(S)Cell</w:t>
      </w:r>
      <w:r>
        <w:rPr>
          <w:lang w:val="en-US" w:eastAsia="zh-CN"/>
        </w:rPr>
        <w:t xml:space="preserve"> because the sum of n1, p1_1 and p1_2 or the sum of n2 and p2_1 is smaller than </w:t>
      </w:r>
      <w:r>
        <w:rPr>
          <w:rFonts w:hint="eastAsia"/>
          <w:lang w:val="en-US" w:eastAsia="zh-CN"/>
        </w:rPr>
        <w:t xml:space="preserve">that in </w:t>
      </w:r>
      <w:r>
        <w:rPr>
          <w:lang w:val="en-US" w:eastAsia="zh-CN"/>
        </w:rPr>
        <w:t>the s1=1, s2=0 case.</w:t>
      </w:r>
      <w:r>
        <w:rPr>
          <w:rFonts w:hint="eastAsia" w:hAnsi="Cambria Math"/>
          <w:lang w:val="en-US" w:eastAsia="zh-CN"/>
        </w:rPr>
        <w:t xml:space="preserve"> </w:t>
      </w:r>
      <w:r>
        <w:rPr>
          <w:rFonts w:hint="eastAsia"/>
          <w:lang w:val="en-US" w:eastAsia="zh-CN"/>
        </w:rPr>
        <w:t xml:space="preserve">By </w:t>
      </w:r>
      <w:r>
        <w:rPr>
          <w:lang w:val="en-US" w:eastAsia="zh-CN"/>
        </w:rPr>
        <w:t>contrast</w:t>
      </w:r>
      <w:r>
        <w:rPr>
          <w:rFonts w:hint="eastAsia"/>
          <w:lang w:val="en-US" w:eastAsia="zh-CN"/>
        </w:rPr>
        <w:t>, it is obvious that s1=1 and s2=0 can provide more scheduling opportunities and will</w:t>
      </w:r>
      <w:r>
        <w:rPr>
          <w:lang w:val="en-US" w:eastAsia="zh-CN"/>
        </w:rPr>
        <w:t xml:space="preserve"> not exceed Rel-16 UE capability</w:t>
      </w:r>
      <w:r>
        <w:rPr>
          <w:rFonts w:hint="eastAsia"/>
          <w:lang w:val="en-US" w:eastAsia="zh-CN"/>
        </w:rPr>
        <w:t xml:space="preserve">. </w:t>
      </w:r>
    </w:p>
    <w:p>
      <w:pPr>
        <w:jc w:val="both"/>
        <w:rPr>
          <w:b/>
          <w:lang w:eastAsia="zh-CN"/>
        </w:rPr>
      </w:pPr>
      <w:r>
        <w:rPr>
          <w:rFonts w:hint="eastAsia"/>
          <w:b/>
          <w:bCs/>
          <w:lang w:eastAsia="zh-CN"/>
        </w:rPr>
        <w:t>P</w:t>
      </w:r>
      <w:r>
        <w:rPr>
          <w:b/>
          <w:bCs/>
          <w:lang w:eastAsia="zh-CN"/>
        </w:rPr>
        <w:t xml:space="preserve">roposal 1. For BD/CCE limit handling </w:t>
      </w:r>
      <w:r>
        <w:rPr>
          <w:rFonts w:hint="eastAsia"/>
          <w:b/>
          <w:bCs/>
          <w:lang w:val="en-US" w:eastAsia="zh-CN"/>
        </w:rPr>
        <w:t xml:space="preserve">based on </w:t>
      </w:r>
      <w:r>
        <w:rPr>
          <w:b/>
          <w:bCs/>
          <w:lang w:eastAsia="zh-CN"/>
        </w:rPr>
        <w:t xml:space="preserve">option </w:t>
      </w:r>
      <w:r>
        <w:rPr>
          <w:rFonts w:hint="eastAsia"/>
          <w:b/>
          <w:bCs/>
          <w:lang w:val="en-US" w:eastAsia="zh-CN"/>
        </w:rPr>
        <w:t xml:space="preserve">A, Type B </w:t>
      </w:r>
      <w:r>
        <w:rPr>
          <w:rFonts w:cs="Times"/>
          <w:b/>
          <w:bCs/>
          <w:szCs w:val="22"/>
          <w:lang w:eastAsia="en-US"/>
        </w:rPr>
        <w:t xml:space="preserve">UE is not required to monitor more than </w:t>
      </w:r>
      <m:oMath>
        <m:func>
          <m:funcPr>
            <m:ctrlPr>
              <w:rPr>
                <w:rFonts w:ascii="Cambria Math" w:hAnsi="Cambria Math" w:cs="Times"/>
                <w:b/>
                <w:bCs/>
                <w:szCs w:val="22"/>
                <w:lang w:eastAsia="en-US"/>
              </w:rPr>
            </m:ctrlPr>
          </m:funcPr>
          <m:fName>
            <m:r>
              <m:rPr>
                <m:sty m:val="b"/>
              </m:rPr>
              <w:rPr>
                <w:rFonts w:ascii="Cambria Math" w:hAnsi="Cambria Math" w:cs="Times"/>
                <w:szCs w:val="22"/>
                <w:lang w:eastAsia="en-US"/>
              </w:rPr>
              <m:t>min</m:t>
            </m:r>
            <m:ctrlPr>
              <w:rPr>
                <w:rFonts w:ascii="Cambria Math" w:hAnsi="Cambria Math" w:cs="Times"/>
                <w:b/>
                <w:bCs/>
                <w:szCs w:val="22"/>
                <w:lang w:eastAsia="en-US"/>
              </w:rPr>
            </m:ctrlPr>
          </m:fName>
          <m:e>
            <m:d>
              <m:dPr>
                <m:ctrlPr>
                  <w:rPr>
                    <w:rFonts w:ascii="Cambria Math" w:hAnsi="Cambria Math" w:cs="Times"/>
                    <w:b/>
                    <w:bCs/>
                    <w:szCs w:val="22"/>
                    <w:lang w:eastAsia="en-US"/>
                  </w:rPr>
                </m:ctrlPr>
              </m:dPr>
              <m:e>
                <m:sSubSup>
                  <m:sSubSupPr>
                    <m:ctrlPr>
                      <w:rPr>
                        <w:rFonts w:ascii="Cambria Math" w:hAnsi="Cambria Math" w:cs="Times"/>
                        <w:b/>
                        <w:bCs/>
                        <w:szCs w:val="22"/>
                        <w:lang w:eastAsia="en-US"/>
                      </w:rPr>
                    </m:ctrlPr>
                  </m:sSubSupPr>
                  <m:e>
                    <m:r>
                      <m:rPr>
                        <m:sty m:val="b"/>
                      </m:rPr>
                      <w:rPr>
                        <w:rFonts w:ascii="Cambria Math" w:hAnsi="Cambria Math" w:cs="Times"/>
                        <w:szCs w:val="22"/>
                        <w:lang w:eastAsia="en-US"/>
                      </w:rPr>
                      <m:t>M</m:t>
                    </m:r>
                    <m:ctrlPr>
                      <w:rPr>
                        <w:rFonts w:ascii="Cambria Math" w:hAnsi="Cambria Math" w:cs="Times"/>
                        <w:b/>
                        <w:bCs/>
                        <w:szCs w:val="22"/>
                        <w:lang w:eastAsia="en-US"/>
                      </w:rPr>
                    </m:ctrlPr>
                  </m:e>
                  <m:sub>
                    <m:r>
                      <m:rPr>
                        <m:nor/>
                        <m:sty m:val="b"/>
                      </m:rPr>
                      <w:rPr>
                        <w:rFonts w:ascii="Cambria Math" w:hAnsi="Cambria Math" w:cs="Times"/>
                        <w:b/>
                        <w:bCs/>
                        <w:szCs w:val="22"/>
                        <w:lang w:eastAsia="en-US"/>
                      </w:rPr>
                      <m:t>PDCCH</m:t>
                    </m:r>
                    <m:ctrlPr>
                      <w:rPr>
                        <w:rFonts w:ascii="Cambria Math" w:hAnsi="Cambria Math" w:cs="Times"/>
                        <w:b/>
                        <w:bCs/>
                        <w:szCs w:val="22"/>
                        <w:lang w:eastAsia="en-US"/>
                      </w:rPr>
                    </m:ctrlPr>
                  </m:sub>
                  <m:sup>
                    <m:r>
                      <m:rPr>
                        <m:nor/>
                        <m:sty m:val="b"/>
                      </m:rPr>
                      <w:rPr>
                        <w:rFonts w:ascii="Cambria Math" w:hAnsi="Cambria Math" w:cs="Times"/>
                        <w:b/>
                        <w:bCs/>
                        <w:szCs w:val="22"/>
                        <w:lang w:eastAsia="en-US"/>
                      </w:rPr>
                      <m:t>max,slot,μ1</m:t>
                    </m:r>
                    <m:ctrlPr>
                      <w:rPr>
                        <w:rFonts w:ascii="Cambria Math" w:hAnsi="Cambria Math" w:cs="Times"/>
                        <w:b/>
                        <w:bCs/>
                        <w:szCs w:val="22"/>
                        <w:lang w:eastAsia="en-US"/>
                      </w:rPr>
                    </m:ctrlPr>
                  </m:sup>
                </m:sSubSup>
                <m:r>
                  <m:rPr>
                    <m:sty m:val="b"/>
                  </m:rPr>
                  <w:rPr>
                    <w:rFonts w:ascii="Cambria Math" w:hAnsi="Cambria Math" w:cs="Times"/>
                    <w:szCs w:val="22"/>
                    <w:lang w:eastAsia="en-US"/>
                  </w:rPr>
                  <m:t>,</m:t>
                </m:r>
                <m:sSubSup>
                  <m:sSubSupPr>
                    <m:ctrlPr>
                      <w:rPr>
                        <w:rFonts w:ascii="Cambria Math" w:hAnsi="Cambria Math" w:cs="Times"/>
                        <w:b/>
                        <w:bCs/>
                        <w:szCs w:val="22"/>
                        <w:lang w:eastAsia="en-US"/>
                      </w:rPr>
                    </m:ctrlPr>
                  </m:sSubSupPr>
                  <m:e>
                    <m:r>
                      <m:rPr>
                        <m:sty m:val="b"/>
                      </m:rPr>
                      <w:rPr>
                        <w:rFonts w:ascii="Cambria Math" w:hAnsi="Cambria Math" w:cs="Times"/>
                        <w:szCs w:val="22"/>
                        <w:lang w:eastAsia="en-US"/>
                      </w:rPr>
                      <m:t>M</m:t>
                    </m:r>
                    <m:ctrlPr>
                      <w:rPr>
                        <w:rFonts w:ascii="Cambria Math" w:hAnsi="Cambria Math" w:cs="Times"/>
                        <w:b/>
                        <w:bCs/>
                        <w:szCs w:val="22"/>
                        <w:lang w:eastAsia="en-US"/>
                      </w:rPr>
                    </m:ctrlPr>
                  </m:e>
                  <m:sub>
                    <m:r>
                      <m:rPr>
                        <m:nor/>
                        <m:sty m:val="b"/>
                      </m:rPr>
                      <w:rPr>
                        <w:rFonts w:ascii="Cambria Math" w:hAnsi="Cambria Math" w:cs="Times"/>
                        <w:b/>
                        <w:bCs/>
                        <w:szCs w:val="22"/>
                        <w:lang w:eastAsia="en-US"/>
                      </w:rPr>
                      <m:t>PDCCH</m:t>
                    </m:r>
                    <m:ctrlPr>
                      <w:rPr>
                        <w:rFonts w:ascii="Cambria Math" w:hAnsi="Cambria Math" w:cs="Times"/>
                        <w:b/>
                        <w:bCs/>
                        <w:szCs w:val="22"/>
                        <w:lang w:eastAsia="en-US"/>
                      </w:rPr>
                    </m:ctrlPr>
                  </m:sub>
                  <m:sup>
                    <m:r>
                      <m:rPr>
                        <m:nor/>
                        <m:sty m:val="b"/>
                      </m:rPr>
                      <w:rPr>
                        <w:rFonts w:ascii="Cambria Math" w:hAnsi="Cambria Math" w:cs="Times"/>
                        <w:b/>
                        <w:bCs/>
                        <w:szCs w:val="22"/>
                        <w:lang w:eastAsia="en-US"/>
                      </w:rPr>
                      <m:t>total,slot,μ1</m:t>
                    </m:r>
                    <m:ctrlPr>
                      <w:rPr>
                        <w:rFonts w:ascii="Cambria Math" w:hAnsi="Cambria Math" w:cs="Times"/>
                        <w:b/>
                        <w:bCs/>
                        <w:szCs w:val="22"/>
                        <w:lang w:eastAsia="en-US"/>
                      </w:rPr>
                    </m:ctrlPr>
                  </m:sup>
                </m:sSubSup>
                <m:ctrlPr>
                  <w:rPr>
                    <w:rFonts w:ascii="Cambria Math" w:hAnsi="Cambria Math" w:cs="Times"/>
                    <w:b/>
                    <w:bCs/>
                    <w:szCs w:val="22"/>
                    <w:lang w:eastAsia="en-US"/>
                  </w:rPr>
                </m:ctrlPr>
              </m:e>
            </m:d>
            <m:ctrlPr>
              <w:rPr>
                <w:rFonts w:ascii="Cambria Math" w:hAnsi="Cambria Math" w:cs="Times"/>
                <w:b/>
                <w:bCs/>
                <w:szCs w:val="22"/>
                <w:lang w:eastAsia="en-US"/>
              </w:rPr>
            </m:ctrlPr>
          </m:e>
        </m:func>
      </m:oMath>
      <w:r>
        <w:rPr>
          <w:rFonts w:cs="Times"/>
          <w:b/>
          <w:bCs/>
          <w:szCs w:val="22"/>
          <w:lang w:eastAsia="en-US"/>
        </w:rPr>
        <w:t>PDCCH BD candidates per sSCell slot</w:t>
      </w:r>
      <w:r>
        <w:rPr>
          <w:rFonts w:hint="eastAsia" w:cs="Times"/>
          <w:b/>
          <w:bCs/>
          <w:szCs w:val="22"/>
          <w:lang w:eastAsia="zh-CN"/>
        </w:rPr>
        <w:t>.</w:t>
      </w:r>
      <w:r>
        <w:rPr>
          <w:rFonts w:cs="Times"/>
          <w:b/>
          <w:bCs/>
          <w:szCs w:val="22"/>
          <w:lang w:eastAsia="zh-CN"/>
        </w:rPr>
        <w:t xml:space="preserve"> When determining </w:t>
      </w:r>
      <m:oMath>
        <m:sSubSup>
          <m:sSubSupPr>
            <m:ctrlPr>
              <w:rPr>
                <w:rFonts w:ascii="Cambria Math" w:hAnsi="Cambria Math"/>
                <w:b/>
              </w:rPr>
            </m:ctrlPr>
          </m:sSubSupPr>
          <m:e>
            <m:r>
              <m:rPr>
                <m:sty m:val="bi"/>
              </m:rPr>
              <w:rPr>
                <w:rFonts w:ascii="Cambria Math" w:hAnsi="Cambria Math"/>
              </w:rPr>
              <m:t>M</m:t>
            </m:r>
            <m:ctrlPr>
              <w:rPr>
                <w:rFonts w:ascii="Cambria Math" w:hAnsi="Cambria Math"/>
                <w:b/>
              </w:rPr>
            </m:ctrlPr>
          </m:e>
          <m:sub>
            <m:r>
              <m:rPr>
                <m:nor/>
                <m:sty m:val="b"/>
              </m:rPr>
              <w:rPr>
                <w:b/>
              </w:rPr>
              <m:t>PDCCH</m:t>
            </m:r>
            <m:ctrlPr>
              <w:rPr>
                <w:rFonts w:ascii="Cambria Math" w:hAnsi="Cambria Math"/>
                <w:b/>
              </w:rPr>
            </m:ctrlPr>
          </m:sub>
          <m:sup>
            <m:r>
              <m:rPr>
                <m:nor/>
                <m:sty m:val="b"/>
              </m:rPr>
              <w:rPr>
                <w:b/>
              </w:rPr>
              <m:t>total,slot,</m:t>
            </m:r>
            <m:r>
              <m:rPr>
                <m:sty m:val="bi"/>
              </m:rPr>
              <w:rPr>
                <w:rFonts w:ascii="Cambria Math" w:hAnsi="Cambria Math"/>
              </w:rPr>
              <m:t>μ</m:t>
            </m:r>
            <m:ctrlPr>
              <w:rPr>
                <w:rFonts w:ascii="Cambria Math" w:hAnsi="Cambria Math"/>
                <w:b/>
              </w:rPr>
            </m:ctrlPr>
          </m:sup>
        </m:sSubSup>
      </m:oMath>
      <w:r>
        <w:rPr>
          <w:b/>
        </w:rPr>
        <w:t xml:space="preserve">and </w:t>
      </w:r>
      <m:oMath>
        <m:sSubSup>
          <m:sSubSupPr>
            <m:ctrlPr>
              <w:rPr>
                <w:rFonts w:ascii="Cambria Math" w:hAnsi="Cambria Math"/>
                <w:b/>
              </w:rPr>
            </m:ctrlPr>
          </m:sSubSupPr>
          <m:e>
            <m:r>
              <m:rPr>
                <m:sty m:val="bi"/>
              </m:rPr>
              <w:rPr>
                <w:rFonts w:ascii="Cambria Math" w:hAnsi="Cambria Math"/>
              </w:rPr>
              <m:t>M</m:t>
            </m:r>
            <m:ctrlPr>
              <w:rPr>
                <w:rFonts w:ascii="Cambria Math" w:hAnsi="Cambria Math"/>
                <w:b/>
              </w:rPr>
            </m:ctrlPr>
          </m:e>
          <m:sub>
            <m:r>
              <m:rPr>
                <m:nor/>
                <m:sty m:val="b"/>
              </m:rPr>
              <w:rPr>
                <w:b/>
              </w:rPr>
              <m:t>PDCCH</m:t>
            </m:r>
            <m:ctrlPr>
              <w:rPr>
                <w:rFonts w:ascii="Cambria Math" w:hAnsi="Cambria Math"/>
                <w:b/>
              </w:rPr>
            </m:ctrlPr>
          </m:sub>
          <m:sup>
            <m:r>
              <m:rPr>
                <m:nor/>
                <m:sty m:val="b"/>
              </m:rPr>
              <w:rPr>
                <w:b/>
              </w:rPr>
              <m:t>total,slot,</m:t>
            </m:r>
            <m:r>
              <m:rPr>
                <m:sty m:val="bi"/>
              </m:rPr>
              <w:rPr>
                <w:rFonts w:ascii="Cambria Math" w:hAnsi="Cambria Math"/>
              </w:rPr>
              <m:t>μ</m:t>
            </m:r>
            <m:r>
              <m:rPr>
                <m:sty m:val="b"/>
              </m:rPr>
              <w:rPr>
                <w:rFonts w:ascii="Cambria Math" w:hAnsi="Cambria Math"/>
              </w:rPr>
              <m:t>1</m:t>
            </m:r>
            <m:ctrlPr>
              <w:rPr>
                <w:rFonts w:ascii="Cambria Math" w:hAnsi="Cambria Math"/>
                <w:b/>
              </w:rPr>
            </m:ctrlPr>
          </m:sup>
        </m:sSubSup>
      </m:oMath>
      <w:r>
        <w:rPr>
          <w:rFonts w:hint="eastAsia"/>
          <w:b/>
          <w:lang w:eastAsia="zh-CN"/>
        </w:rPr>
        <w:t>,</w:t>
      </w:r>
      <w:r>
        <w:rPr>
          <w:b/>
          <w:lang w:eastAsia="zh-CN"/>
        </w:rPr>
        <w:t xml:space="preserve"> other s1 and s2 excluding s1=1 and s2=0 are not supported.</w:t>
      </w:r>
    </w:p>
    <w:p>
      <w:pPr>
        <w:outlineLvl w:val="2"/>
        <w:rPr>
          <w:b/>
          <w:bCs/>
          <w:sz w:val="21"/>
          <w:u w:val="single"/>
          <w:lang w:eastAsia="zh-CN"/>
        </w:rPr>
      </w:pPr>
      <w:r>
        <w:rPr>
          <w:rFonts w:hint="eastAsia"/>
          <w:b/>
          <w:bCs/>
          <w:sz w:val="21"/>
          <w:u w:val="single"/>
          <w:lang w:val="en-US" w:eastAsia="zh-CN"/>
        </w:rPr>
        <w:t>2.1.2</w:t>
      </w:r>
      <w:r>
        <w:rPr>
          <w:b/>
          <w:bCs/>
          <w:sz w:val="21"/>
          <w:u w:val="single"/>
          <w:lang w:val="en-US" w:eastAsia="zh-CN"/>
        </w:rPr>
        <w:t xml:space="preserve"> Type</w:t>
      </w:r>
      <w:r>
        <w:rPr>
          <w:rFonts w:hint="eastAsia"/>
          <w:b/>
          <w:bCs/>
          <w:sz w:val="21"/>
          <w:u w:val="single"/>
          <w:lang w:val="en-US" w:eastAsia="zh-CN"/>
        </w:rPr>
        <w:t>-</w:t>
      </w:r>
      <w:r>
        <w:rPr>
          <w:b/>
          <w:bCs/>
          <w:sz w:val="21"/>
          <w:u w:val="single"/>
          <w:lang w:val="en-US" w:eastAsia="zh-CN"/>
        </w:rPr>
        <w:t>0/0A/1/2</w:t>
      </w:r>
      <w:r>
        <w:rPr>
          <w:rFonts w:hint="eastAsia"/>
          <w:b/>
          <w:bCs/>
          <w:sz w:val="21"/>
          <w:u w:val="single"/>
          <w:lang w:val="en-US" w:eastAsia="zh-CN"/>
        </w:rPr>
        <w:t>-</w:t>
      </w:r>
      <w:r>
        <w:rPr>
          <w:b/>
          <w:bCs/>
          <w:sz w:val="21"/>
          <w:u w:val="single"/>
          <w:lang w:val="en-US" w:eastAsia="zh-CN"/>
        </w:rPr>
        <w:t>CSS handling</w:t>
      </w:r>
      <w:r>
        <w:rPr>
          <w:rFonts w:hint="eastAsia"/>
          <w:b/>
          <w:bCs/>
          <w:sz w:val="21"/>
          <w:u w:val="single"/>
          <w:lang w:val="en-US" w:eastAsia="zh-CN"/>
        </w:rPr>
        <w:t xml:space="preserve"> and BD/CCE limits</w:t>
      </w:r>
      <w:r>
        <w:rPr>
          <w:b/>
          <w:bCs/>
          <w:sz w:val="21"/>
          <w:u w:val="single"/>
          <w:lang w:val="en-US" w:eastAsia="zh-CN"/>
        </w:rPr>
        <w:t xml:space="preserve"> for Type A UE</w:t>
      </w:r>
    </w:p>
    <w:p>
      <w:pPr>
        <w:jc w:val="both"/>
        <w:rPr>
          <w:lang w:eastAsia="zh-CN"/>
        </w:rPr>
      </w:pPr>
      <w:r>
        <w:rPr>
          <w:rFonts w:hint="eastAsia"/>
          <w:lang w:val="en-US" w:eastAsia="zh-CN"/>
        </w:rPr>
        <w:t>In RAN1#106b-e meeting, one remaining issue is the restriction on Type-0/0A/1/2-CSS sets configurations for Type A UE. T</w:t>
      </w:r>
      <w:r>
        <w:rPr>
          <w:rFonts w:hint="eastAsia"/>
          <w:lang w:eastAsia="zh-CN"/>
        </w:rPr>
        <w:t>he following proposal in FL summary [2] is used for further discuss</w:t>
      </w:r>
      <w:r>
        <w:rPr>
          <w:rFonts w:hint="eastAsia"/>
          <w:lang w:val="en-US" w:eastAsia="zh-CN"/>
        </w:rPr>
        <w:t>ion</w:t>
      </w:r>
      <w:r>
        <w:rPr>
          <w:rFonts w:hint="eastAsia"/>
          <w:lang w:eastAsia="zh-CN"/>
        </w:rPr>
        <w:t xml:space="preserve"> in this meeting.</w:t>
      </w:r>
    </w:p>
    <w:p>
      <w:pPr>
        <w:keepNext/>
        <w:keepLines/>
        <w:overflowPunct w:val="0"/>
        <w:autoSpaceDE w:val="0"/>
        <w:autoSpaceDN w:val="0"/>
        <w:adjustRightInd w:val="0"/>
        <w:spacing w:before="40" w:after="0" w:line="360" w:lineRule="auto"/>
        <w:textAlignment w:val="baseline"/>
        <w:rPr>
          <w:b/>
          <w:szCs w:val="24"/>
          <w:u w:val="single"/>
          <w:lang w:val="en-US" w:eastAsia="zh-CN"/>
        </w:rPr>
      </w:pPr>
      <w:r>
        <w:rPr>
          <w:b/>
          <w:szCs w:val="24"/>
          <w:u w:val="single"/>
          <w:lang w:val="en-US" w:eastAsia="zh-CN"/>
        </w:rPr>
        <w:t>Proposal 2v2-1</w:t>
      </w:r>
    </w:p>
    <w:p>
      <w:pPr>
        <w:numPr>
          <w:ilvl w:val="0"/>
          <w:numId w:val="7"/>
        </w:numPr>
        <w:spacing w:after="160" w:line="259" w:lineRule="auto"/>
        <w:contextualSpacing/>
        <w:rPr>
          <w:lang w:eastAsia="en-US"/>
        </w:rPr>
      </w:pPr>
      <w:r>
        <w:rPr>
          <w:lang w:eastAsia="en-US"/>
        </w:rPr>
        <w:t>Down-select from following approaches for PDCCH monitoring and BD limit handling for Type A UE</w:t>
      </w:r>
    </w:p>
    <w:p>
      <w:pPr>
        <w:numPr>
          <w:ilvl w:val="1"/>
          <w:numId w:val="7"/>
        </w:numPr>
        <w:spacing w:after="160" w:line="259" w:lineRule="auto"/>
        <w:contextualSpacing/>
        <w:rPr>
          <w:lang w:eastAsia="en-US"/>
        </w:rPr>
      </w:pPr>
      <w:r>
        <w:rPr>
          <w:lang w:eastAsia="en-US"/>
        </w:rPr>
        <w:t>Possible Approach 1</w:t>
      </w:r>
    </w:p>
    <w:p>
      <w:pPr>
        <w:numPr>
          <w:ilvl w:val="2"/>
          <w:numId w:val="7"/>
        </w:numPr>
        <w:spacing w:after="160" w:line="259" w:lineRule="auto"/>
        <w:contextualSpacing/>
        <w:rPr>
          <w:strike/>
          <w:lang w:eastAsia="en-US"/>
        </w:rPr>
      </w:pPr>
      <w:r>
        <w:rPr>
          <w:strike/>
          <w:lang w:eastAsia="en-US"/>
        </w:rPr>
        <w:t>All UEs (supporting cross-carrier scheduling from SCell to Pcell) can simultaneously monitor ‘USS sets (for P(S)Cell scheduling) on sSCell’ and ‘Type 0/0A/1/2/CSS sets on P(S)Cell at least for broadcast DCI formats’</w:t>
      </w:r>
    </w:p>
    <w:p>
      <w:pPr>
        <w:numPr>
          <w:ilvl w:val="2"/>
          <w:numId w:val="7"/>
        </w:numPr>
        <w:spacing w:after="160" w:line="259" w:lineRule="auto"/>
        <w:contextualSpacing/>
        <w:rPr>
          <w:color w:val="C55911"/>
          <w:lang w:eastAsia="en-US"/>
        </w:rPr>
      </w:pPr>
      <w:r>
        <w:rPr>
          <w:lang w:eastAsia="en-US"/>
        </w:rPr>
        <w:t xml:space="preserve">BD/CCE limits for Type B UEs are applicable for all UEs </w:t>
      </w:r>
      <w:r>
        <w:rPr>
          <w:color w:val="C55911"/>
          <w:lang w:eastAsia="en-US"/>
        </w:rPr>
        <w:t>supporting cross-carrier scheduling from sSCell to P(S)Cell</w:t>
      </w:r>
    </w:p>
    <w:p>
      <w:pPr>
        <w:numPr>
          <w:ilvl w:val="2"/>
          <w:numId w:val="7"/>
        </w:numPr>
        <w:spacing w:after="160" w:line="259" w:lineRule="auto"/>
        <w:contextualSpacing/>
        <w:rPr>
          <w:color w:val="C55911"/>
          <w:lang w:eastAsia="en-US"/>
        </w:rPr>
      </w:pPr>
      <w:r>
        <w:rPr>
          <w:color w:val="C55911"/>
          <w:lang w:eastAsia="en-US"/>
        </w:rPr>
        <w:t>Additional simplifications to PDCCH monitoring can be discussed during UE capabilities discussions including the following</w:t>
      </w:r>
    </w:p>
    <w:p>
      <w:pPr>
        <w:numPr>
          <w:ilvl w:val="3"/>
          <w:numId w:val="7"/>
        </w:numPr>
        <w:spacing w:after="160" w:line="259" w:lineRule="auto"/>
        <w:contextualSpacing/>
        <w:rPr>
          <w:color w:val="C55911"/>
          <w:lang w:eastAsia="en-US"/>
        </w:rPr>
      </w:pPr>
      <w:r>
        <w:rPr>
          <w:color w:val="C55911"/>
          <w:lang w:eastAsia="en-US"/>
        </w:rPr>
        <w:t>Type A UE as per RAN1#105-e agreement and</w:t>
      </w:r>
    </w:p>
    <w:p>
      <w:pPr>
        <w:numPr>
          <w:ilvl w:val="4"/>
          <w:numId w:val="7"/>
        </w:numPr>
        <w:spacing w:after="160" w:line="259" w:lineRule="auto"/>
        <w:contextualSpacing/>
        <w:rPr>
          <w:color w:val="C55911"/>
          <w:lang w:eastAsia="en-US"/>
        </w:rPr>
      </w:pPr>
      <w:r>
        <w:rPr>
          <w:color w:val="C55911"/>
          <w:lang w:eastAsia="en-US"/>
        </w:rPr>
        <w:t xml:space="preserve">simultaneous monitoring of ‘USS sets (for P(S)Cell scheduling) on sSCell’ and ‘Type 0/0A/1/2/CSS sets on P(S)Cell’ </w:t>
      </w:r>
    </w:p>
    <w:p>
      <w:pPr>
        <w:numPr>
          <w:ilvl w:val="3"/>
          <w:numId w:val="7"/>
        </w:numPr>
        <w:spacing w:after="160" w:line="259" w:lineRule="auto"/>
        <w:contextualSpacing/>
        <w:rPr>
          <w:color w:val="C55911"/>
          <w:lang w:eastAsia="en-US"/>
        </w:rPr>
      </w:pPr>
      <w:r>
        <w:rPr>
          <w:color w:val="C55911"/>
          <w:lang w:eastAsia="en-US"/>
        </w:rPr>
        <w:t>Type A UE as per RAN1#105-e agreement and</w:t>
      </w:r>
    </w:p>
    <w:p>
      <w:pPr>
        <w:numPr>
          <w:ilvl w:val="4"/>
          <w:numId w:val="7"/>
        </w:numPr>
        <w:spacing w:after="160" w:line="259" w:lineRule="auto"/>
        <w:contextualSpacing/>
        <w:rPr>
          <w:color w:val="C55911"/>
          <w:lang w:eastAsia="en-US"/>
        </w:rPr>
      </w:pPr>
      <w:r>
        <w:rPr>
          <w:color w:val="C55911"/>
          <w:lang w:eastAsia="en-US"/>
        </w:rPr>
        <w:t xml:space="preserve">no simultaneous monitoring between ‘USS sets (for P(S)Cell scheduling) on sSCell’ and ‘Type 0/0A/1/2/CSS sets on P(S)Cell for DCI formats with CRC scrambled by C-RNTI/MCS-C-RNTI/CS-RNTI’ </w:t>
      </w:r>
    </w:p>
    <w:p>
      <w:pPr>
        <w:numPr>
          <w:ilvl w:val="4"/>
          <w:numId w:val="7"/>
        </w:numPr>
        <w:spacing w:after="160" w:line="259" w:lineRule="auto"/>
        <w:contextualSpacing/>
        <w:rPr>
          <w:color w:val="C55911"/>
          <w:lang w:eastAsia="en-US"/>
        </w:rPr>
      </w:pPr>
      <w:r>
        <w:rPr>
          <w:color w:val="C55911"/>
          <w:lang w:eastAsia="en-US"/>
        </w:rPr>
        <w:t>simultaneous monitoring of ‘USS sets (for P(S)Cell scheduling) on sSCell’ and ‘Type 0/0A/1/2/CSS sets on P(S)Cell for DCI formats with CRC not scrambled by C-RNTI/MCS-C-RNTI/CS-RNTI’</w:t>
      </w:r>
    </w:p>
    <w:p>
      <w:pPr>
        <w:numPr>
          <w:ilvl w:val="2"/>
          <w:numId w:val="7"/>
        </w:numPr>
        <w:spacing w:after="160" w:line="259" w:lineRule="auto"/>
        <w:contextualSpacing/>
        <w:rPr>
          <w:strike/>
          <w:lang w:eastAsia="en-US"/>
        </w:rPr>
      </w:pPr>
      <w:r>
        <w:rPr>
          <w:strike/>
          <w:lang w:eastAsia="en-US"/>
        </w:rPr>
        <w:t>Separate UE capability/incapability is introduced to indicate support/no support of simultaneous monitoring of ‘USS sets (for P(S)Cell scheduling) on sSCell’ and ‘Type 0/0A/1/2/CSS sets on P(S)Cell for unicast DCI formats’</w:t>
      </w:r>
    </w:p>
    <w:p>
      <w:pPr>
        <w:numPr>
          <w:ilvl w:val="1"/>
          <w:numId w:val="7"/>
        </w:numPr>
        <w:spacing w:after="160" w:line="259" w:lineRule="auto"/>
        <w:contextualSpacing/>
        <w:rPr>
          <w:lang w:eastAsia="en-US"/>
        </w:rPr>
      </w:pPr>
      <w:r>
        <w:rPr>
          <w:lang w:eastAsia="en-US"/>
        </w:rPr>
        <w:t xml:space="preserve">Possible Approach 2 </w:t>
      </w:r>
    </w:p>
    <w:p>
      <w:pPr>
        <w:numPr>
          <w:ilvl w:val="2"/>
          <w:numId w:val="7"/>
        </w:numPr>
        <w:spacing w:after="160" w:line="259" w:lineRule="auto"/>
        <w:contextualSpacing/>
        <w:rPr>
          <w:lang w:eastAsia="en-US"/>
        </w:rPr>
      </w:pPr>
      <w:r>
        <w:rPr>
          <w:lang w:eastAsia="en-US"/>
        </w:rPr>
        <w:t>All UEs (supporting cross-carrier scheduling from SCell to Pcell) can be configured with Type 0/0A/1/2/CSS sets on P(S)Cell that overlap with sSCell USS sets (for P(S)Cell scheduling)</w:t>
      </w:r>
    </w:p>
    <w:p>
      <w:pPr>
        <w:numPr>
          <w:ilvl w:val="2"/>
          <w:numId w:val="7"/>
        </w:numPr>
        <w:spacing w:after="160" w:line="259" w:lineRule="auto"/>
        <w:contextualSpacing/>
        <w:rPr>
          <w:lang w:eastAsia="en-US"/>
        </w:rPr>
      </w:pPr>
      <w:r>
        <w:rPr>
          <w:lang w:eastAsia="en-US"/>
        </w:rPr>
        <w:t>Type A UEs drop the USS set(s) on sSCell (for P(S)Cell scheduling) that overlap in same [symbol/slot] as Type 0/0A/1/2/CSS sets on P(S)Cell</w:t>
      </w:r>
    </w:p>
    <w:p>
      <w:pPr>
        <w:numPr>
          <w:ilvl w:val="3"/>
          <w:numId w:val="7"/>
        </w:numPr>
        <w:spacing w:after="160" w:line="259" w:lineRule="auto"/>
        <w:contextualSpacing/>
        <w:rPr>
          <w:lang w:eastAsia="en-US"/>
        </w:rPr>
      </w:pPr>
      <w:r>
        <w:rPr>
          <w:lang w:eastAsia="en-US"/>
        </w:rPr>
        <w:t>Separate UE capability is introduced for the Type A UEs</w:t>
      </w:r>
    </w:p>
    <w:p>
      <w:pPr>
        <w:numPr>
          <w:ilvl w:val="2"/>
          <w:numId w:val="7"/>
        </w:numPr>
        <w:spacing w:after="160" w:line="259" w:lineRule="auto"/>
        <w:contextualSpacing/>
        <w:rPr>
          <w:lang w:eastAsia="en-US"/>
        </w:rPr>
      </w:pPr>
      <w:r>
        <w:rPr>
          <w:lang w:eastAsia="en-US"/>
        </w:rPr>
        <w:t>BD/CCE limit for Type A UE is based on one of the following approaches</w:t>
      </w:r>
    </w:p>
    <w:p>
      <w:pPr>
        <w:numPr>
          <w:ilvl w:val="3"/>
          <w:numId w:val="7"/>
        </w:numPr>
        <w:spacing w:after="160" w:line="259" w:lineRule="auto"/>
        <w:contextualSpacing/>
        <w:rPr>
          <w:lang w:eastAsia="en-US"/>
        </w:rPr>
      </w:pPr>
      <w:r>
        <w:rPr>
          <w:lang w:eastAsia="en-US"/>
        </w:rPr>
        <w:t>Option B (discussed earlier for Type B UEs)</w:t>
      </w:r>
    </w:p>
    <w:p>
      <w:pPr>
        <w:numPr>
          <w:ilvl w:val="3"/>
          <w:numId w:val="7"/>
        </w:numPr>
        <w:spacing w:after="160" w:line="259" w:lineRule="auto"/>
        <w:contextualSpacing/>
        <w:rPr>
          <w:lang w:eastAsia="en-US"/>
        </w:rPr>
      </w:pPr>
      <w:r>
        <w:rPr>
          <w:lang w:eastAsia="en-US"/>
        </w:rPr>
        <w:t>Option D</w:t>
      </w:r>
    </w:p>
    <w:p>
      <w:pPr>
        <w:numPr>
          <w:ilvl w:val="4"/>
          <w:numId w:val="7"/>
        </w:numPr>
        <w:spacing w:after="160" w:line="259" w:lineRule="auto"/>
        <w:contextualSpacing/>
        <w:rPr>
          <w:lang w:eastAsia="en-US"/>
        </w:rPr>
      </w:pPr>
      <w:r>
        <w:rPr>
          <w:rFonts w:eastAsia="Times New Roman"/>
        </w:rPr>
        <w:t xml:space="preserve">In a slot, if the PDCCH candidates are only configured on P(S)Cell, the BD/CCE limit on this slot is determined </w:t>
      </w:r>
      <w:r>
        <w:rPr>
          <w:rFonts w:eastAsia="MS Mincho"/>
        </w:rPr>
        <w:t>based on the P(S)Cell configurations</w:t>
      </w:r>
    </w:p>
    <w:p>
      <w:pPr>
        <w:numPr>
          <w:ilvl w:val="4"/>
          <w:numId w:val="7"/>
        </w:numPr>
        <w:spacing w:after="160" w:line="259" w:lineRule="auto"/>
        <w:contextualSpacing/>
        <w:rPr>
          <w:lang w:eastAsia="en-US"/>
        </w:rPr>
      </w:pPr>
      <w:r>
        <w:rPr>
          <w:rFonts w:eastAsia="Times New Roman"/>
        </w:rPr>
        <w:t xml:space="preserve">In a slot, if the PDCCH candidates are configured only on sSCell, the BD/CCE limit on this slot is determined </w:t>
      </w:r>
      <w:r>
        <w:rPr>
          <w:rFonts w:eastAsia="MS Mincho"/>
        </w:rPr>
        <w:t>based on the sSCell configurations</w:t>
      </w:r>
    </w:p>
    <w:p>
      <w:pPr>
        <w:numPr>
          <w:ilvl w:val="4"/>
          <w:numId w:val="7"/>
        </w:numPr>
        <w:spacing w:after="160" w:line="259" w:lineRule="auto"/>
        <w:contextualSpacing/>
        <w:rPr>
          <w:lang w:eastAsia="en-US"/>
        </w:rPr>
      </w:pPr>
      <w:r>
        <w:rPr>
          <w:rFonts w:eastAsia="Times New Roman"/>
        </w:rPr>
        <w:t>The limit of Rel-16 UE capability is applied without further restrictions</w:t>
      </w:r>
    </w:p>
    <w:p>
      <w:pPr>
        <w:numPr>
          <w:ilvl w:val="3"/>
          <w:numId w:val="7"/>
        </w:numPr>
        <w:spacing w:after="160" w:line="259" w:lineRule="auto"/>
        <w:contextualSpacing/>
        <w:rPr>
          <w:lang w:eastAsia="en-US"/>
        </w:rPr>
      </w:pPr>
      <w:r>
        <w:rPr>
          <w:rFonts w:eastAsia="Times New Roman"/>
        </w:rPr>
        <w:t>Option E</w:t>
      </w:r>
    </w:p>
    <w:p>
      <w:pPr>
        <w:numPr>
          <w:ilvl w:val="4"/>
          <w:numId w:val="7"/>
        </w:numPr>
        <w:spacing w:after="160" w:line="259" w:lineRule="auto"/>
        <w:contextualSpacing/>
        <w:rPr>
          <w:lang w:eastAsia="en-US"/>
        </w:rPr>
      </w:pPr>
      <w:r>
        <w:rPr>
          <w:iCs/>
          <w:lang w:eastAsia="ko-KR"/>
        </w:rPr>
        <w:t xml:space="preserve">No per-slot change in </w:t>
      </w:r>
      <m:oMath>
        <m:sSubSup>
          <m:sSubSupPr>
            <m:ctrlPr>
              <w:rPr>
                <w:rFonts w:ascii="Cambria Math" w:hAnsi="Cambria Math" w:eastAsia="MS PGothic"/>
                <w:iCs/>
              </w:rPr>
            </m:ctrlPr>
          </m:sSubSupPr>
          <m:e>
            <m:r>
              <m:rPr>
                <m:sty m:val="p"/>
              </m:rPr>
              <w:rPr>
                <w:rFonts w:ascii="Cambria Math" w:hAnsi="Cambria Math"/>
              </w:rPr>
              <m:t>M</m:t>
            </m:r>
            <m:ctrlPr>
              <w:rPr>
                <w:rFonts w:ascii="Cambria Math" w:hAnsi="Cambria Math" w:eastAsia="MS PGothic"/>
                <w:iCs/>
              </w:rPr>
            </m:ctrlPr>
          </m:e>
          <m:sub>
            <m:r>
              <m:rPr>
                <m:sty m:val="p"/>
              </m:rPr>
              <w:rPr>
                <w:rFonts w:ascii="Cambria Math" w:hAnsi="Cambria Math"/>
              </w:rPr>
              <m:t>PDCCH</m:t>
            </m:r>
            <m:ctrlPr>
              <w:rPr>
                <w:rFonts w:ascii="Cambria Math" w:hAnsi="Cambria Math" w:eastAsia="MS PGothic"/>
                <w:iCs/>
              </w:rPr>
            </m:ctrlPr>
          </m:sub>
          <m:sup>
            <m:r>
              <m:rPr>
                <m:sty m:val="p"/>
              </m:rPr>
              <w:rPr>
                <w:rFonts w:ascii="Cambria Math" w:hAnsi="Cambria Math"/>
              </w:rPr>
              <m:t>total,slot,μ</m:t>
            </m:r>
            <m:ctrlPr>
              <w:rPr>
                <w:rFonts w:ascii="Cambria Math" w:hAnsi="Cambria Math" w:eastAsia="MS PGothic"/>
                <w:iCs/>
              </w:rPr>
            </m:ctrlPr>
          </m:sup>
        </m:sSubSup>
        <m:r>
          <m:rPr>
            <m:sty m:val="p"/>
          </m:rPr>
          <w:rPr>
            <w:rFonts w:ascii="Cambria Math" w:hAnsi="Cambria Math"/>
          </w:rPr>
          <m:t>/</m:t>
        </m:r>
        <m:sSubSup>
          <m:sSubSupPr>
            <m:ctrlPr>
              <w:rPr>
                <w:rFonts w:ascii="Cambria Math" w:hAnsi="Cambria Math" w:eastAsia="MS PGothic"/>
                <w:iCs/>
              </w:rPr>
            </m:ctrlPr>
          </m:sSubSupPr>
          <m:e>
            <m:r>
              <m:rPr>
                <m:sty m:val="p"/>
              </m:rPr>
              <w:rPr>
                <w:rFonts w:ascii="Cambria Math" w:hAnsi="Cambria Math"/>
              </w:rPr>
              <m:t>C</m:t>
            </m:r>
            <m:ctrlPr>
              <w:rPr>
                <w:rFonts w:ascii="Cambria Math" w:hAnsi="Cambria Math" w:eastAsia="MS PGothic"/>
                <w:iCs/>
              </w:rPr>
            </m:ctrlPr>
          </m:e>
          <m:sub>
            <m:r>
              <m:rPr>
                <m:sty m:val="p"/>
              </m:rPr>
              <w:rPr>
                <w:rFonts w:ascii="Cambria Math" w:hAnsi="Cambria Math"/>
              </w:rPr>
              <m:t>PDCCH</m:t>
            </m:r>
            <m:ctrlPr>
              <w:rPr>
                <w:rFonts w:ascii="Cambria Math" w:hAnsi="Cambria Math" w:eastAsia="MS PGothic"/>
                <w:iCs/>
              </w:rPr>
            </m:ctrlPr>
          </m:sub>
          <m:sup>
            <m:r>
              <m:rPr>
                <m:sty m:val="p"/>
              </m:rPr>
              <w:rPr>
                <w:rFonts w:ascii="Cambria Math" w:hAnsi="Cambria Math"/>
              </w:rPr>
              <m:t>total,slot,μ</m:t>
            </m:r>
            <m:ctrlPr>
              <w:rPr>
                <w:rFonts w:ascii="Cambria Math" w:hAnsi="Cambria Math" w:eastAsia="MS PGothic"/>
                <w:iCs/>
              </w:rPr>
            </m:ctrlPr>
          </m:sup>
        </m:sSubSup>
      </m:oMath>
      <w:r>
        <w:rPr>
          <w:iCs/>
        </w:rPr>
        <w:t xml:space="preserve"> and </w:t>
      </w:r>
      <m:oMath>
        <m:sSubSup>
          <m:sSubSupPr>
            <m:ctrlPr>
              <w:rPr>
                <w:rFonts w:ascii="Cambria Math" w:hAnsi="Cambria Math" w:eastAsia="MS PGothic"/>
                <w:iCs/>
              </w:rPr>
            </m:ctrlPr>
          </m:sSubSupPr>
          <m:e>
            <m:r>
              <m:rPr>
                <m:sty m:val="p"/>
              </m:rPr>
              <w:rPr>
                <w:rFonts w:ascii="Cambria Math" w:hAnsi="Cambria Math"/>
              </w:rPr>
              <m:t>M</m:t>
            </m:r>
            <m:ctrlPr>
              <w:rPr>
                <w:rFonts w:ascii="Cambria Math" w:hAnsi="Cambria Math" w:eastAsia="MS PGothic"/>
                <w:iCs/>
              </w:rPr>
            </m:ctrlPr>
          </m:e>
          <m:sub>
            <m:r>
              <m:rPr>
                <m:sty m:val="p"/>
              </m:rPr>
              <w:rPr>
                <w:rFonts w:ascii="Cambria Math" w:hAnsi="Cambria Math"/>
              </w:rPr>
              <m:t>PDCCH</m:t>
            </m:r>
            <m:ctrlPr>
              <w:rPr>
                <w:rFonts w:ascii="Cambria Math" w:hAnsi="Cambria Math" w:eastAsia="MS PGothic"/>
                <w:iCs/>
              </w:rPr>
            </m:ctrlPr>
          </m:sub>
          <m:sup>
            <m:r>
              <m:rPr>
                <m:sty m:val="p"/>
              </m:rPr>
              <w:rPr>
                <w:rFonts w:ascii="Cambria Math" w:hAnsi="Cambria Math"/>
              </w:rPr>
              <m:t>total,slot,μ1</m:t>
            </m:r>
            <m:ctrlPr>
              <w:rPr>
                <w:rFonts w:ascii="Cambria Math" w:hAnsi="Cambria Math" w:eastAsia="MS PGothic"/>
                <w:iCs/>
              </w:rPr>
            </m:ctrlPr>
          </m:sup>
        </m:sSubSup>
        <m:sSubSup>
          <m:sSubSupPr>
            <m:ctrlPr>
              <w:rPr>
                <w:rFonts w:ascii="Cambria Math" w:hAnsi="Cambria Math" w:eastAsia="MS PGothic"/>
                <w:iCs/>
              </w:rPr>
            </m:ctrlPr>
          </m:sSubSupPr>
          <m:e>
            <m:r>
              <m:rPr>
                <m:sty m:val="p"/>
              </m:rPr>
              <w:rPr>
                <w:rFonts w:ascii="Cambria Math" w:hAnsi="Cambria Math"/>
              </w:rPr>
              <m:t>/C</m:t>
            </m:r>
            <m:ctrlPr>
              <w:rPr>
                <w:rFonts w:ascii="Cambria Math" w:hAnsi="Cambria Math" w:eastAsia="MS PGothic"/>
                <w:iCs/>
              </w:rPr>
            </m:ctrlPr>
          </m:e>
          <m:sub>
            <m:r>
              <m:rPr>
                <m:sty m:val="p"/>
              </m:rPr>
              <w:rPr>
                <w:rFonts w:ascii="Cambria Math" w:hAnsi="Cambria Math"/>
              </w:rPr>
              <m:t>PDCCH</m:t>
            </m:r>
            <m:ctrlPr>
              <w:rPr>
                <w:rFonts w:ascii="Cambria Math" w:hAnsi="Cambria Math" w:eastAsia="MS PGothic"/>
                <w:iCs/>
              </w:rPr>
            </m:ctrlPr>
          </m:sub>
          <m:sup>
            <m:r>
              <m:rPr>
                <m:sty m:val="p"/>
              </m:rPr>
              <w:rPr>
                <w:rFonts w:ascii="Cambria Math" w:hAnsi="Cambria Math"/>
              </w:rPr>
              <m:t>total,slot,μ1</m:t>
            </m:r>
            <m:ctrlPr>
              <w:rPr>
                <w:rFonts w:ascii="Cambria Math" w:hAnsi="Cambria Math" w:eastAsia="MS PGothic"/>
                <w:iCs/>
              </w:rPr>
            </m:ctrlPr>
          </m:sup>
        </m:sSubSup>
      </m:oMath>
    </w:p>
    <w:p>
      <w:pPr>
        <w:jc w:val="both"/>
        <w:rPr>
          <w:b/>
          <w:bCs/>
          <w:lang w:val="en-US" w:eastAsia="zh-CN"/>
        </w:rPr>
      </w:pPr>
    </w:p>
    <w:p>
      <w:pPr>
        <w:jc w:val="both"/>
        <w:rPr>
          <w:rStyle w:val="57"/>
          <w:sz w:val="20"/>
          <w:szCs w:val="20"/>
          <w:highlight w:val="none"/>
          <w:lang w:val="en-US" w:eastAsia="zh-CN"/>
        </w:rPr>
      </w:pPr>
      <w:r>
        <w:rPr>
          <w:rFonts w:hint="eastAsia"/>
          <w:lang w:val="en-US" w:eastAsia="zh-CN"/>
        </w:rPr>
        <w:t xml:space="preserve">First, we analyze the down-selection between Approach 1 and Approach 2. According to the illustration of Type A UE and Type B UE in </w:t>
      </w:r>
      <w:r>
        <w:t>RAN1#105-e</w:t>
      </w:r>
      <w:r>
        <w:rPr>
          <w:rFonts w:hint="eastAsia"/>
          <w:lang w:val="en-US" w:eastAsia="zh-CN"/>
        </w:rPr>
        <w:t xml:space="preserve"> meeting </w:t>
      </w:r>
      <w:r>
        <w:rPr>
          <w:lang w:val="en-US" w:eastAsia="zh-CN"/>
        </w:rPr>
        <w:t>agreement [</w:t>
      </w:r>
      <w:r>
        <w:rPr>
          <w:rFonts w:hint="eastAsia"/>
          <w:lang w:val="en-US" w:eastAsia="zh-CN"/>
        </w:rPr>
        <w:t>3],</w:t>
      </w:r>
      <w:r>
        <w:rPr>
          <w:lang w:val="en-US" w:eastAsia="zh-CN"/>
        </w:rPr>
        <w:t xml:space="preserve"> T</w:t>
      </w:r>
      <w:r>
        <w:rPr>
          <w:rFonts w:hint="eastAsia"/>
          <w:lang w:val="en-US" w:eastAsia="zh-CN"/>
        </w:rPr>
        <w:t>ype</w:t>
      </w:r>
      <w:r>
        <w:rPr>
          <w:lang w:val="en-US" w:eastAsia="zh-CN"/>
        </w:rPr>
        <w:t xml:space="preserve"> A </w:t>
      </w:r>
      <w:r>
        <w:rPr>
          <w:rFonts w:ascii="Times" w:hAnsi="Times" w:eastAsia="Calibri" w:cs="Times"/>
          <w:szCs w:val="22"/>
          <w:lang w:eastAsia="zh-CN"/>
        </w:rPr>
        <w:t>UE does not monitor USS and Type3-CSS set(s) for DCI formats 1_0/0_0 with C-RNTI/CS-RNTI/MCS-C-RNTI on P(S)</w:t>
      </w:r>
      <w:r>
        <w:rPr>
          <w:rFonts w:hint="eastAsia" w:ascii="Times" w:hAnsi="Times" w:eastAsia="Calibri" w:cs="Times"/>
          <w:szCs w:val="22"/>
          <w:lang w:val="en-US" w:eastAsia="zh-CN"/>
        </w:rPr>
        <w:t>C</w:t>
      </w:r>
      <w:r>
        <w:rPr>
          <w:rFonts w:ascii="Times" w:hAnsi="Times" w:eastAsia="Calibri" w:cs="Times"/>
          <w:szCs w:val="22"/>
          <w:lang w:eastAsia="zh-CN"/>
        </w:rPr>
        <w:t>ell</w:t>
      </w:r>
      <w:r>
        <w:rPr>
          <w:rFonts w:hint="eastAsia" w:ascii="Times" w:hAnsi="Times" w:eastAsia="Calibri" w:cs="Times"/>
          <w:szCs w:val="22"/>
          <w:lang w:val="en-US" w:eastAsia="zh-CN"/>
        </w:rPr>
        <w:t xml:space="preserve"> and</w:t>
      </w:r>
      <w:r>
        <w:rPr>
          <w:rFonts w:ascii="Times" w:hAnsi="Times" w:eastAsia="Calibri" w:cs="Times"/>
          <w:szCs w:val="22"/>
          <w:lang w:eastAsia="zh-CN"/>
        </w:rPr>
        <w:t xml:space="preserve"> USS </w:t>
      </w:r>
      <w:r>
        <w:rPr>
          <w:rFonts w:hint="eastAsia" w:ascii="Times" w:hAnsi="Times" w:eastAsia="Calibri" w:cs="Times"/>
          <w:szCs w:val="22"/>
          <w:lang w:val="en-US" w:eastAsia="zh-CN"/>
        </w:rPr>
        <w:t xml:space="preserve">set(s) </w:t>
      </w:r>
      <w:r>
        <w:rPr>
          <w:rFonts w:ascii="Times" w:hAnsi="Times" w:eastAsia="Calibri" w:cs="Times"/>
          <w:szCs w:val="22"/>
          <w:lang w:eastAsia="zh-CN"/>
        </w:rPr>
        <w:t>for scheduling P(S)Cell on sSCell in overlapping [slot/symbol] with the intention t</w:t>
      </w:r>
      <w:r>
        <w:rPr>
          <w:rFonts w:hint="eastAsia" w:ascii="Times" w:hAnsi="Times" w:eastAsia="Calibri" w:cs="Times"/>
          <w:szCs w:val="22"/>
          <w:lang w:val="en-US" w:eastAsia="zh-CN"/>
        </w:rPr>
        <w:t>o</w:t>
      </w:r>
      <w:r>
        <w:rPr>
          <w:rFonts w:ascii="Times" w:hAnsi="Times" w:eastAsia="Calibri" w:cs="Times"/>
          <w:szCs w:val="22"/>
          <w:lang w:eastAsia="zh-CN"/>
        </w:rPr>
        <w:t xml:space="preserve"> reduce the </w:t>
      </w:r>
      <w:r>
        <w:rPr>
          <w:rStyle w:val="57"/>
          <w:rFonts w:hint="eastAsia"/>
          <w:sz w:val="20"/>
          <w:szCs w:val="20"/>
          <w:lang w:val="en-US" w:eastAsia="zh-CN"/>
        </w:rPr>
        <w:t xml:space="preserve">complexity at UE side. </w:t>
      </w:r>
      <w:r>
        <w:rPr>
          <w:lang w:val="en-US" w:eastAsia="zh-CN"/>
        </w:rPr>
        <w:t>As for</w:t>
      </w:r>
      <w:r>
        <w:rPr>
          <w:rFonts w:hint="eastAsia"/>
          <w:lang w:eastAsia="zh-CN"/>
        </w:rPr>
        <w:t xml:space="preserve"> Type-0/0A/1/2-CSS sets</w:t>
      </w:r>
      <w:r>
        <w:rPr>
          <w:lang w:eastAsia="zh-CN"/>
        </w:rPr>
        <w:t xml:space="preserve"> monitoring behaviour,</w:t>
      </w:r>
      <w:r>
        <w:rPr>
          <w:lang w:val="en-US" w:eastAsia="zh-CN"/>
        </w:rPr>
        <w:t xml:space="preserve"> </w:t>
      </w:r>
      <w:r>
        <w:rPr>
          <w:rFonts w:hint="eastAsia"/>
          <w:lang w:val="en-US" w:eastAsia="zh-CN"/>
        </w:rPr>
        <w:t xml:space="preserve">we think it is </w:t>
      </w:r>
      <w:r>
        <w:rPr>
          <w:lang w:val="en-US" w:eastAsia="zh-CN"/>
        </w:rPr>
        <w:t>also</w:t>
      </w:r>
      <w:r>
        <w:rPr>
          <w:rFonts w:hint="eastAsia"/>
          <w:lang w:val="en-US" w:eastAsia="zh-CN"/>
        </w:rPr>
        <w:t xml:space="preserve"> reasonable to clearly distinguish the two types of UE by Possible Approach 2. While Approach 1 allows simultaneous PDCCH monitoring on P(S)Cell and sSCell (for cross-carrier scheduling to P(S)Cell), or just restricts unicast PDCCH monitoring on P(S)Cell, but the</w:t>
      </w:r>
      <w:r>
        <w:rPr>
          <w:lang w:val="en-US" w:eastAsia="zh-CN"/>
        </w:rPr>
        <w:t xml:space="preserve"> PDCCH monitoring behavior of </w:t>
      </w:r>
      <w:r>
        <w:rPr>
          <w:rFonts w:hint="eastAsia"/>
          <w:lang w:eastAsia="zh-CN"/>
        </w:rPr>
        <w:t>Type-0/0A/1/2-CSS sets</w:t>
      </w:r>
      <w:r>
        <w:rPr>
          <w:lang w:eastAsia="zh-CN"/>
        </w:rPr>
        <w:t xml:space="preserve"> with SI-RNTI/P-RNTI/RA-RNTI is not included in it.</w:t>
      </w:r>
      <w:r>
        <w:rPr>
          <w:rFonts w:hint="eastAsia"/>
          <w:lang w:val="en-US" w:eastAsia="zh-CN"/>
        </w:rPr>
        <w:t xml:space="preserve"> </w:t>
      </w:r>
      <w:r>
        <w:rPr>
          <w:highlight w:val="none"/>
          <w:lang w:val="en-US" w:eastAsia="zh-CN"/>
        </w:rPr>
        <w:t xml:space="preserve">Besides, it is allowed to configure </w:t>
      </w:r>
      <w:r>
        <w:rPr>
          <w:highlight w:val="none"/>
          <w:lang w:eastAsia="zh-CN"/>
        </w:rPr>
        <w:t>Type-0/0A/1/2-CSS sets</w:t>
      </w:r>
      <w:r>
        <w:rPr>
          <w:highlight w:val="none"/>
          <w:lang w:val="en-US" w:eastAsia="zh-CN"/>
        </w:rPr>
        <w:t xml:space="preserve"> on P(S)Cell and USS sets on sSCell in overlapping </w:t>
      </w:r>
      <w:r>
        <w:rPr>
          <w:highlight w:val="none"/>
          <w:lang w:eastAsia="zh-CN"/>
        </w:rPr>
        <w:t>[symbol/slot]</w:t>
      </w:r>
      <w:r>
        <w:rPr>
          <w:highlight w:val="none"/>
          <w:lang w:val="en-US" w:eastAsia="zh-CN"/>
        </w:rPr>
        <w:t xml:space="preserve"> in Approach 2,</w:t>
      </w:r>
      <w:r>
        <w:rPr>
          <w:rStyle w:val="57"/>
          <w:sz w:val="20"/>
          <w:szCs w:val="20"/>
          <w:highlight w:val="none"/>
          <w:lang w:val="en-US" w:eastAsia="zh-CN"/>
        </w:rPr>
        <w:t xml:space="preserve"> but Type A UE does not need to monitor PDCCH of USS sets for scheduling P(S)Cell on sSCell, which avoids blind decoding on both P(S)Cell and sSCell simultaneously and has no impact on NW scheduling. Considering Type-0/0A/1/2-CSS on P(S)Cell are usually used to scheduling cell-specific information, it is acceptable to maintain decoding DCI formats on Type-0/0A/1/2-CSS on P(S)Cell by dropping overlapped USS sets on sSCell. </w:t>
      </w:r>
      <w:r>
        <w:rPr>
          <w:rFonts w:hint="eastAsia"/>
          <w:highlight w:val="none"/>
          <w:lang w:val="en-US" w:eastAsia="zh-CN"/>
        </w:rPr>
        <w:t>Therefore, we support</w:t>
      </w:r>
      <w:r>
        <w:rPr>
          <w:highlight w:val="none"/>
          <w:lang w:val="en-US" w:eastAsia="zh-CN"/>
        </w:rPr>
        <w:t xml:space="preserve"> A</w:t>
      </w:r>
      <w:r>
        <w:rPr>
          <w:rFonts w:hint="eastAsia"/>
          <w:highlight w:val="none"/>
          <w:lang w:val="en-US" w:eastAsia="zh-CN"/>
        </w:rPr>
        <w:t>p</w:t>
      </w:r>
      <w:r>
        <w:rPr>
          <w:highlight w:val="none"/>
          <w:lang w:val="en-US" w:eastAsia="zh-CN"/>
        </w:rPr>
        <w:t xml:space="preserve">proach 2 behavior that </w:t>
      </w:r>
      <w:r>
        <w:rPr>
          <w:rFonts w:hint="eastAsia"/>
          <w:highlight w:val="none"/>
          <w:lang w:val="en-US" w:eastAsia="zh-CN"/>
        </w:rPr>
        <w:t>Type A UE d</w:t>
      </w:r>
      <w:r>
        <w:rPr>
          <w:highlight w:val="none"/>
          <w:lang w:eastAsia="en-US"/>
        </w:rPr>
        <w:t>rop</w:t>
      </w:r>
      <w:r>
        <w:rPr>
          <w:highlight w:val="none"/>
          <w:lang w:val="en-US" w:eastAsia="zh-CN"/>
        </w:rPr>
        <w:t>s</w:t>
      </w:r>
      <w:r>
        <w:rPr>
          <w:highlight w:val="none"/>
          <w:lang w:eastAsia="en-US"/>
        </w:rPr>
        <w:t xml:space="preserve"> the USS set(s) on sSCell (for P(S)Cell scheduling) that overlap in same [symbol/slot] as Type 0/0A/1/2/CSS sets on P(S)Cell</w:t>
      </w:r>
      <w:r>
        <w:rPr>
          <w:rFonts w:hint="eastAsia"/>
          <w:highlight w:val="none"/>
          <w:lang w:val="en-US" w:eastAsia="zh-CN"/>
        </w:rPr>
        <w:t xml:space="preserve">. </w:t>
      </w:r>
    </w:p>
    <w:p>
      <w:pPr>
        <w:jc w:val="both"/>
        <w:rPr>
          <w:rStyle w:val="57"/>
          <w:sz w:val="20"/>
          <w:szCs w:val="20"/>
          <w:lang w:val="en-US" w:eastAsia="zh-CN"/>
        </w:rPr>
      </w:pPr>
      <w:r>
        <w:rPr>
          <w:rStyle w:val="57"/>
          <w:rFonts w:hint="eastAsia"/>
          <w:sz w:val="20"/>
          <w:szCs w:val="20"/>
          <w:lang w:val="en-US" w:eastAsia="zh-CN"/>
        </w:rPr>
        <w:t>Next, we further discuss the BD/CCE limit handling for Type A UE. For the options of BD/CCE limit handling given in Approach 2</w:t>
      </w:r>
      <w:r>
        <w:rPr>
          <w:rStyle w:val="57"/>
          <w:rFonts w:hint="eastAsia"/>
          <w:sz w:val="20"/>
          <w:szCs w:val="20"/>
          <w:highlight w:val="none"/>
          <w:lang w:val="en-US" w:eastAsia="zh-CN"/>
        </w:rPr>
        <w:t xml:space="preserve">, </w:t>
      </w:r>
      <w:r>
        <w:rPr>
          <w:rStyle w:val="57"/>
          <w:rFonts w:hint="eastAsia"/>
          <w:sz w:val="20"/>
          <w:szCs w:val="20"/>
          <w:highlight w:val="none"/>
          <w:lang w:val="en-US" w:eastAsia="zh-CN"/>
        </w:rPr>
        <w:t xml:space="preserve">since PDCCH monitoring </w:t>
      </w:r>
      <w:r>
        <w:rPr>
          <w:rStyle w:val="57"/>
          <w:rFonts w:hint="eastAsia"/>
          <w:sz w:val="20"/>
          <w:szCs w:val="20"/>
          <w:highlight w:val="none"/>
          <w:lang w:val="en-US" w:eastAsia="zh-CN"/>
        </w:rPr>
        <w:t xml:space="preserve">in </w:t>
      </w:r>
      <w:r>
        <w:rPr>
          <w:rStyle w:val="57"/>
          <w:rFonts w:hint="eastAsia"/>
          <w:sz w:val="20"/>
          <w:szCs w:val="20"/>
          <w:highlight w:val="none"/>
          <w:lang w:val="en-US" w:eastAsia="zh-CN"/>
        </w:rPr>
        <w:t>Approach 2 will only occur on one cell (P(S)Cell or sSCell) within each slot,</w:t>
      </w:r>
      <w:r>
        <w:rPr>
          <w:rStyle w:val="57"/>
          <w:rFonts w:hint="eastAsia"/>
          <w:sz w:val="20"/>
          <w:szCs w:val="20"/>
          <w:highlight w:val="none"/>
          <w:lang w:val="en-US" w:eastAsia="zh-CN"/>
        </w:rPr>
        <w:t xml:space="preserve"> there is no need to consider distribution of BD/CCE budget across different cells, therefore we think Option B is </w:t>
      </w:r>
      <w:r>
        <w:rPr>
          <w:rStyle w:val="57"/>
          <w:rFonts w:hint="eastAsia"/>
          <w:sz w:val="20"/>
          <w:szCs w:val="20"/>
          <w:lang w:val="en-US" w:eastAsia="zh-CN"/>
        </w:rPr>
        <w:t xml:space="preserve">unnecessary. </w:t>
      </w:r>
      <w:r>
        <w:rPr>
          <w:rFonts w:hint="eastAsia"/>
          <w:lang w:val="en-US" w:eastAsia="zh-CN"/>
        </w:rPr>
        <w:t>Option D determines BD/CCE limit on a slot from the respective of scheduling cell configuration, it may cause dynamic change from slot to slot when SCS configuration of P(S)Cell and sSCell are different, which should be avoided. W</w:t>
      </w:r>
      <w:r>
        <w:rPr>
          <w:rStyle w:val="57"/>
          <w:rFonts w:hint="eastAsia"/>
          <w:sz w:val="20"/>
          <w:szCs w:val="20"/>
          <w:lang w:val="en-US" w:eastAsia="zh-CN"/>
        </w:rPr>
        <w:t xml:space="preserve">e are fine with Option E that </w:t>
      </w:r>
      <m:oMath>
        <m:sSubSup>
          <m:sSubSupPr>
            <m:ctrlPr>
              <w:rPr>
                <w:rFonts w:ascii="Cambria Math" w:hAnsi="Cambria Math" w:eastAsia="MS PGothic"/>
                <w:iCs/>
              </w:rPr>
            </m:ctrlPr>
          </m:sSubSupPr>
          <m:e>
            <m:r>
              <m:rPr/>
              <w:rPr>
                <w:rFonts w:ascii="Cambria Math" w:hAnsi="Cambria Math"/>
              </w:rPr>
              <m:t>M</m:t>
            </m:r>
            <m:ctrlPr>
              <w:rPr>
                <w:rFonts w:ascii="Cambria Math" w:hAnsi="Cambria Math" w:eastAsia="MS PGothic"/>
                <w:iCs/>
              </w:rPr>
            </m:ctrlPr>
          </m:e>
          <m:sub>
            <m:r>
              <m:rPr>
                <m:sty m:val="p"/>
              </m:rPr>
              <w:rPr>
                <w:rFonts w:ascii="Cambria Math" w:hAnsi="Cambria Math"/>
              </w:rPr>
              <m:t>PDCCH</m:t>
            </m:r>
            <m:ctrlPr>
              <w:rPr>
                <w:rFonts w:ascii="Cambria Math" w:hAnsi="Cambria Math" w:eastAsia="MS PGothic"/>
                <w:iCs/>
              </w:rPr>
            </m:ctrlPr>
          </m:sub>
          <m:sup>
            <m:r>
              <m:rPr>
                <m:sty m:val="p"/>
              </m:rPr>
              <w:rPr>
                <w:rFonts w:ascii="Cambria Math" w:hAnsi="Cambria Math"/>
              </w:rPr>
              <m:t>total,slot,μ</m:t>
            </m:r>
            <m:ctrlPr>
              <w:rPr>
                <w:rFonts w:ascii="Cambria Math" w:hAnsi="Cambria Math" w:eastAsia="MS PGothic"/>
                <w:iCs/>
              </w:rPr>
            </m:ctrlPr>
          </m:sup>
        </m:sSubSup>
      </m:oMath>
      <w:r>
        <w:rPr>
          <w:i/>
          <w:iCs/>
        </w:rPr>
        <w:t xml:space="preserve"> </w:t>
      </w:r>
      <w:r>
        <w:t xml:space="preserve">and </w:t>
      </w:r>
      <m:oMath>
        <m:sSubSup>
          <m:sSubSupPr>
            <m:ctrlPr>
              <w:rPr>
                <w:rFonts w:ascii="Cambria Math" w:hAnsi="Cambria Math" w:eastAsia="MS PGothic"/>
                <w:iCs/>
              </w:rPr>
            </m:ctrlPr>
          </m:sSubSupPr>
          <m:e>
            <m:r>
              <m:rPr/>
              <w:rPr>
                <w:rFonts w:ascii="Cambria Math" w:hAnsi="Cambria Math"/>
              </w:rPr>
              <m:t>M</m:t>
            </m:r>
            <m:ctrlPr>
              <w:rPr>
                <w:rFonts w:ascii="Cambria Math" w:hAnsi="Cambria Math" w:eastAsia="MS PGothic"/>
                <w:iCs/>
              </w:rPr>
            </m:ctrlPr>
          </m:e>
          <m:sub>
            <m:r>
              <m:rPr>
                <m:sty m:val="p"/>
              </m:rPr>
              <w:rPr>
                <w:rFonts w:ascii="Cambria Math" w:hAnsi="Cambria Math"/>
              </w:rPr>
              <m:t>PDCCH</m:t>
            </m:r>
            <m:ctrlPr>
              <w:rPr>
                <w:rFonts w:ascii="Cambria Math" w:hAnsi="Cambria Math" w:eastAsia="MS PGothic"/>
                <w:iCs/>
              </w:rPr>
            </m:ctrlPr>
          </m:sub>
          <m:sup>
            <m:r>
              <m:rPr>
                <m:sty m:val="p"/>
              </m:rPr>
              <w:rPr>
                <w:rFonts w:ascii="Cambria Math" w:hAnsi="Cambria Math"/>
              </w:rPr>
              <m:t>total,slot,μ1</m:t>
            </m:r>
            <m:ctrlPr>
              <w:rPr>
                <w:rFonts w:ascii="Cambria Math" w:hAnsi="Cambria Math" w:eastAsia="MS PGothic"/>
                <w:iCs/>
              </w:rPr>
            </m:ctrlPr>
          </m:sup>
        </m:sSubSup>
      </m:oMath>
      <w:r>
        <w:t xml:space="preserve"> do not need to vary per slot</w:t>
      </w:r>
      <w:r>
        <w:rPr>
          <w:rFonts w:hint="eastAsia"/>
          <w:lang w:val="en-US" w:eastAsia="zh-CN"/>
        </w:rPr>
        <w:t>. UE may indicate respective maximum number of BD/CCE that corresponds to P(S)Cell (for self-scheduling) and sSCell (for cross-carrier scheduling P(S)Cell), and the limit of Rel-16 UE capability is applied without further restrictions.</w:t>
      </w:r>
    </w:p>
    <w:p>
      <w:pPr>
        <w:jc w:val="both"/>
        <w:rPr>
          <w:b/>
          <w:bCs/>
          <w:lang w:val="en-US" w:eastAsia="zh-CN"/>
        </w:rPr>
      </w:pPr>
      <w:r>
        <w:rPr>
          <w:rFonts w:hint="eastAsia"/>
          <w:b/>
          <w:bCs/>
          <w:lang w:val="en-US" w:eastAsia="zh-CN"/>
        </w:rPr>
        <w:t xml:space="preserve">Proposal 2. </w:t>
      </w:r>
      <w:r>
        <w:rPr>
          <w:b/>
          <w:bCs/>
          <w:lang w:val="en-US" w:eastAsia="zh-CN"/>
        </w:rPr>
        <w:t>S</w:t>
      </w:r>
      <w:r>
        <w:rPr>
          <w:rFonts w:hint="eastAsia"/>
          <w:b/>
          <w:bCs/>
          <w:lang w:val="en-US" w:eastAsia="zh-CN"/>
        </w:rPr>
        <w:t>upport</w:t>
      </w:r>
      <w:r>
        <w:rPr>
          <w:b/>
          <w:bCs/>
          <w:lang w:val="en-US" w:eastAsia="zh-CN"/>
        </w:rPr>
        <w:t xml:space="preserve"> </w:t>
      </w:r>
      <w:r>
        <w:rPr>
          <w:rFonts w:hint="eastAsia"/>
          <w:b/>
          <w:bCs/>
          <w:lang w:val="en-US" w:eastAsia="zh-CN"/>
        </w:rPr>
        <w:t>A</w:t>
      </w:r>
      <w:r>
        <w:rPr>
          <w:b/>
          <w:bCs/>
          <w:lang w:val="en-US" w:eastAsia="zh-CN"/>
        </w:rPr>
        <w:t>pproach 2 for PDCCH monitoring and BD</w:t>
      </w:r>
      <w:r>
        <w:rPr>
          <w:rFonts w:hint="eastAsia"/>
          <w:b/>
          <w:bCs/>
          <w:lang w:val="en-US" w:eastAsia="zh-CN"/>
        </w:rPr>
        <w:t>/CCE</w:t>
      </w:r>
      <w:r>
        <w:rPr>
          <w:b/>
          <w:bCs/>
          <w:lang w:val="en-US" w:eastAsia="zh-CN"/>
        </w:rPr>
        <w:t xml:space="preserve"> limit handling for Type A UE </w:t>
      </w:r>
      <w:r>
        <w:rPr>
          <w:rFonts w:hint="eastAsia"/>
          <w:b/>
          <w:bCs/>
          <w:lang w:val="en-US" w:eastAsia="zh-CN"/>
        </w:rPr>
        <w:t>with</w:t>
      </w:r>
      <w:r>
        <w:rPr>
          <w:b/>
          <w:bCs/>
          <w:lang w:val="en-US" w:eastAsia="zh-CN"/>
        </w:rPr>
        <w:t xml:space="preserve"> O</w:t>
      </w:r>
      <w:r>
        <w:rPr>
          <w:rFonts w:hint="eastAsia"/>
          <w:b/>
          <w:bCs/>
          <w:lang w:val="en-US" w:eastAsia="zh-CN"/>
        </w:rPr>
        <w:t>ption</w:t>
      </w:r>
      <w:r>
        <w:rPr>
          <w:b/>
          <w:bCs/>
          <w:lang w:val="en-US" w:eastAsia="zh-CN"/>
        </w:rPr>
        <w:t xml:space="preserve"> E.</w:t>
      </w:r>
    </w:p>
    <w:p>
      <w:pPr>
        <w:pStyle w:val="134"/>
        <w:numPr>
          <w:ilvl w:val="0"/>
          <w:numId w:val="8"/>
        </w:numPr>
        <w:ind w:leftChars="0"/>
        <w:jc w:val="both"/>
        <w:rPr>
          <w:b/>
          <w:bCs/>
          <w:lang w:val="en-US" w:eastAsia="zh-CN"/>
        </w:rPr>
      </w:pPr>
      <w:r>
        <w:rPr>
          <w:b/>
          <w:bCs/>
          <w:lang w:val="en-US" w:eastAsia="zh-CN"/>
        </w:rPr>
        <w:t xml:space="preserve">All UEs (supporting cross-carrier scheduling from </w:t>
      </w:r>
      <w:r>
        <w:rPr>
          <w:rFonts w:hint="eastAsia"/>
          <w:b/>
          <w:bCs/>
          <w:lang w:val="en-US" w:eastAsia="zh-CN"/>
        </w:rPr>
        <w:t>s</w:t>
      </w:r>
      <w:r>
        <w:rPr>
          <w:b/>
          <w:bCs/>
          <w:lang w:val="en-US" w:eastAsia="zh-CN"/>
        </w:rPr>
        <w:t>SCell to PCell) can be configured with Type</w:t>
      </w:r>
      <w:r>
        <w:rPr>
          <w:rFonts w:hint="eastAsia"/>
          <w:b/>
          <w:bCs/>
          <w:lang w:val="en-US" w:eastAsia="zh-CN"/>
        </w:rPr>
        <w:t>-</w:t>
      </w:r>
      <w:r>
        <w:rPr>
          <w:b/>
          <w:bCs/>
          <w:lang w:val="en-US" w:eastAsia="zh-CN"/>
        </w:rPr>
        <w:t>0/0A/1/2</w:t>
      </w:r>
      <w:r>
        <w:rPr>
          <w:rFonts w:hint="eastAsia"/>
          <w:b/>
          <w:bCs/>
          <w:lang w:val="en-US" w:eastAsia="zh-CN"/>
        </w:rPr>
        <w:t>-</w:t>
      </w:r>
      <w:r>
        <w:rPr>
          <w:b/>
          <w:bCs/>
          <w:lang w:val="en-US" w:eastAsia="zh-CN"/>
        </w:rPr>
        <w:t>CSS sets on P(S)Cell that overlap with sSCell USS sets (for P(S)Cell scheduling)</w:t>
      </w:r>
    </w:p>
    <w:p>
      <w:pPr>
        <w:pStyle w:val="134"/>
        <w:numPr>
          <w:ilvl w:val="0"/>
          <w:numId w:val="8"/>
        </w:numPr>
        <w:ind w:leftChars="0"/>
        <w:jc w:val="both"/>
        <w:rPr>
          <w:b/>
          <w:bCs/>
          <w:lang w:val="en-US" w:eastAsia="zh-CN"/>
        </w:rPr>
      </w:pPr>
      <w:r>
        <w:rPr>
          <w:b/>
          <w:bCs/>
          <w:lang w:val="en-US" w:eastAsia="zh-CN"/>
        </w:rPr>
        <w:t>Type A UE drops the USS set(s) on sSCell (for P(S)Cell scheduling) that overlap in same [symbol/slot] as Type</w:t>
      </w:r>
      <w:r>
        <w:rPr>
          <w:rFonts w:hint="eastAsia"/>
          <w:b/>
          <w:bCs/>
          <w:lang w:val="en-US" w:eastAsia="zh-CN"/>
        </w:rPr>
        <w:t>-</w:t>
      </w:r>
      <w:r>
        <w:rPr>
          <w:b/>
          <w:bCs/>
          <w:lang w:val="en-US" w:eastAsia="zh-CN"/>
        </w:rPr>
        <w:t>0/0A/1/2</w:t>
      </w:r>
      <w:r>
        <w:rPr>
          <w:rFonts w:hint="eastAsia"/>
          <w:b/>
          <w:bCs/>
          <w:lang w:val="en-US" w:eastAsia="zh-CN"/>
        </w:rPr>
        <w:t>-</w:t>
      </w:r>
      <w:r>
        <w:rPr>
          <w:b/>
          <w:bCs/>
          <w:lang w:val="en-US" w:eastAsia="zh-CN"/>
        </w:rPr>
        <w:t xml:space="preserve">CSS sets on P(S)Cell. </w:t>
      </w:r>
    </w:p>
    <w:p>
      <w:pPr>
        <w:pStyle w:val="134"/>
        <w:numPr>
          <w:ilvl w:val="0"/>
          <w:numId w:val="8"/>
        </w:numPr>
        <w:ind w:leftChars="0"/>
        <w:jc w:val="both"/>
        <w:rPr>
          <w:b/>
          <w:bCs/>
          <w:lang w:val="en-US" w:eastAsia="zh-CN"/>
        </w:rPr>
      </w:pPr>
      <w:r>
        <w:rPr>
          <w:b/>
          <w:bCs/>
          <w:lang w:val="en-US" w:eastAsia="zh-CN"/>
        </w:rPr>
        <w:t xml:space="preserve">BD/CCE limit handling for Type A UE are based on Rel-16 without per-slot change </w:t>
      </w:r>
      <w:r>
        <w:rPr>
          <w:b/>
          <w:bCs/>
          <w:iCs/>
          <w:lang w:eastAsia="ko-KR"/>
        </w:rPr>
        <w:t xml:space="preserve">in </w:t>
      </w:r>
      <m:oMath>
        <m:sSubSup>
          <m:sSubSupPr>
            <m:ctrlPr>
              <w:rPr>
                <w:rFonts w:ascii="Cambria Math" w:hAnsi="Cambria Math" w:eastAsia="MS PGothic"/>
                <w:b/>
                <w:bCs/>
                <w:iCs/>
              </w:rPr>
            </m:ctrlPr>
          </m:sSubSupPr>
          <m:e>
            <m:r>
              <m:rPr>
                <m:sty m:val="b"/>
              </m:rPr>
              <w:rPr>
                <w:rFonts w:ascii="Cambria Math" w:hAnsi="Cambria Math"/>
              </w:rPr>
              <m:t>M</m:t>
            </m:r>
            <m:ctrlPr>
              <w:rPr>
                <w:rFonts w:ascii="Cambria Math" w:hAnsi="Cambria Math" w:eastAsia="MS PGothic"/>
                <w:b/>
                <w:bCs/>
                <w:iCs/>
              </w:rPr>
            </m:ctrlPr>
          </m:e>
          <m:sub>
            <m:r>
              <m:rPr>
                <m:sty m:val="b"/>
              </m:rPr>
              <w:rPr>
                <w:rFonts w:ascii="Cambria Math" w:hAnsi="Cambria Math"/>
              </w:rPr>
              <m:t>PDCCH</m:t>
            </m:r>
            <m:ctrlPr>
              <w:rPr>
                <w:rFonts w:ascii="Cambria Math" w:hAnsi="Cambria Math" w:eastAsia="MS PGothic"/>
                <w:b/>
                <w:bCs/>
                <w:iCs/>
              </w:rPr>
            </m:ctrlPr>
          </m:sub>
          <m:sup>
            <m:r>
              <m:rPr>
                <m:sty m:val="b"/>
              </m:rPr>
              <w:rPr>
                <w:rFonts w:ascii="Cambria Math" w:hAnsi="Cambria Math"/>
              </w:rPr>
              <m:t>total,slot,μ</m:t>
            </m:r>
            <m:ctrlPr>
              <w:rPr>
                <w:rFonts w:ascii="Cambria Math" w:hAnsi="Cambria Math" w:eastAsia="MS PGothic"/>
                <w:b/>
                <w:bCs/>
                <w:iCs/>
              </w:rPr>
            </m:ctrlPr>
          </m:sup>
        </m:sSubSup>
        <m:r>
          <m:rPr>
            <m:sty m:val="b"/>
          </m:rPr>
          <w:rPr>
            <w:rFonts w:ascii="Cambria Math" w:hAnsi="Cambria Math"/>
          </w:rPr>
          <m:t>/</m:t>
        </m:r>
        <m:sSubSup>
          <m:sSubSupPr>
            <m:ctrlPr>
              <w:rPr>
                <w:rFonts w:ascii="Cambria Math" w:hAnsi="Cambria Math" w:eastAsia="MS PGothic"/>
                <w:b/>
                <w:bCs/>
                <w:iCs/>
              </w:rPr>
            </m:ctrlPr>
          </m:sSubSupPr>
          <m:e>
            <m:r>
              <m:rPr>
                <m:sty m:val="b"/>
              </m:rPr>
              <w:rPr>
                <w:rFonts w:ascii="Cambria Math" w:hAnsi="Cambria Math"/>
              </w:rPr>
              <m:t>C</m:t>
            </m:r>
            <m:ctrlPr>
              <w:rPr>
                <w:rFonts w:ascii="Cambria Math" w:hAnsi="Cambria Math" w:eastAsia="MS PGothic"/>
                <w:b/>
                <w:bCs/>
                <w:iCs/>
              </w:rPr>
            </m:ctrlPr>
          </m:e>
          <m:sub>
            <m:r>
              <m:rPr>
                <m:sty m:val="b"/>
              </m:rPr>
              <w:rPr>
                <w:rFonts w:ascii="Cambria Math" w:hAnsi="Cambria Math"/>
              </w:rPr>
              <m:t>PDCCH</m:t>
            </m:r>
            <m:ctrlPr>
              <w:rPr>
                <w:rFonts w:ascii="Cambria Math" w:hAnsi="Cambria Math" w:eastAsia="MS PGothic"/>
                <w:b/>
                <w:bCs/>
                <w:iCs/>
              </w:rPr>
            </m:ctrlPr>
          </m:sub>
          <m:sup>
            <m:r>
              <m:rPr>
                <m:sty m:val="b"/>
              </m:rPr>
              <w:rPr>
                <w:rFonts w:ascii="Cambria Math" w:hAnsi="Cambria Math"/>
              </w:rPr>
              <m:t>total,slot,μ</m:t>
            </m:r>
            <m:ctrlPr>
              <w:rPr>
                <w:rFonts w:ascii="Cambria Math" w:hAnsi="Cambria Math" w:eastAsia="MS PGothic"/>
                <w:b/>
                <w:bCs/>
                <w:iCs/>
              </w:rPr>
            </m:ctrlPr>
          </m:sup>
        </m:sSubSup>
      </m:oMath>
      <w:r>
        <w:rPr>
          <w:b/>
          <w:bCs/>
          <w:iCs/>
        </w:rPr>
        <w:t xml:space="preserve"> and </w:t>
      </w:r>
      <m:oMath>
        <m:sSubSup>
          <m:sSubSupPr>
            <m:ctrlPr>
              <w:rPr>
                <w:rFonts w:ascii="Cambria Math" w:hAnsi="Cambria Math" w:eastAsia="MS PGothic"/>
                <w:b/>
                <w:bCs/>
                <w:iCs/>
              </w:rPr>
            </m:ctrlPr>
          </m:sSubSupPr>
          <m:e>
            <m:r>
              <m:rPr>
                <m:sty m:val="b"/>
              </m:rPr>
              <w:rPr>
                <w:rFonts w:ascii="Cambria Math" w:hAnsi="Cambria Math"/>
              </w:rPr>
              <m:t>M</m:t>
            </m:r>
            <m:ctrlPr>
              <w:rPr>
                <w:rFonts w:ascii="Cambria Math" w:hAnsi="Cambria Math" w:eastAsia="MS PGothic"/>
                <w:b/>
                <w:bCs/>
                <w:iCs/>
              </w:rPr>
            </m:ctrlPr>
          </m:e>
          <m:sub>
            <m:r>
              <m:rPr>
                <m:sty m:val="b"/>
              </m:rPr>
              <w:rPr>
                <w:rFonts w:ascii="Cambria Math" w:hAnsi="Cambria Math"/>
              </w:rPr>
              <m:t>PDCCH</m:t>
            </m:r>
            <m:ctrlPr>
              <w:rPr>
                <w:rFonts w:ascii="Cambria Math" w:hAnsi="Cambria Math" w:eastAsia="MS PGothic"/>
                <w:b/>
                <w:bCs/>
                <w:iCs/>
              </w:rPr>
            </m:ctrlPr>
          </m:sub>
          <m:sup>
            <m:r>
              <m:rPr>
                <m:sty m:val="b"/>
              </m:rPr>
              <w:rPr>
                <w:rFonts w:ascii="Cambria Math" w:hAnsi="Cambria Math"/>
              </w:rPr>
              <m:t>total,slot,μ1</m:t>
            </m:r>
            <m:ctrlPr>
              <w:rPr>
                <w:rFonts w:ascii="Cambria Math" w:hAnsi="Cambria Math" w:eastAsia="MS PGothic"/>
                <w:b/>
                <w:bCs/>
                <w:iCs/>
              </w:rPr>
            </m:ctrlPr>
          </m:sup>
        </m:sSubSup>
        <m:sSubSup>
          <m:sSubSupPr>
            <m:ctrlPr>
              <w:rPr>
                <w:rFonts w:ascii="Cambria Math" w:hAnsi="Cambria Math" w:eastAsia="MS PGothic"/>
                <w:b/>
                <w:bCs/>
                <w:iCs/>
              </w:rPr>
            </m:ctrlPr>
          </m:sSubSupPr>
          <m:e>
            <m:r>
              <m:rPr>
                <m:sty m:val="b"/>
              </m:rPr>
              <w:rPr>
                <w:rFonts w:ascii="Cambria Math" w:hAnsi="Cambria Math"/>
              </w:rPr>
              <m:t>/C</m:t>
            </m:r>
            <m:ctrlPr>
              <w:rPr>
                <w:rFonts w:ascii="Cambria Math" w:hAnsi="Cambria Math" w:eastAsia="MS PGothic"/>
                <w:b/>
                <w:bCs/>
                <w:iCs/>
              </w:rPr>
            </m:ctrlPr>
          </m:e>
          <m:sub>
            <m:r>
              <m:rPr>
                <m:sty m:val="b"/>
              </m:rPr>
              <w:rPr>
                <w:rFonts w:ascii="Cambria Math" w:hAnsi="Cambria Math"/>
              </w:rPr>
              <m:t>PDCCH</m:t>
            </m:r>
            <m:ctrlPr>
              <w:rPr>
                <w:rFonts w:ascii="Cambria Math" w:hAnsi="Cambria Math" w:eastAsia="MS PGothic"/>
                <w:b/>
                <w:bCs/>
                <w:iCs/>
              </w:rPr>
            </m:ctrlPr>
          </m:sub>
          <m:sup>
            <m:r>
              <m:rPr>
                <m:sty m:val="b"/>
              </m:rPr>
              <w:rPr>
                <w:rFonts w:ascii="Cambria Math" w:hAnsi="Cambria Math"/>
              </w:rPr>
              <m:t>total,slot,μ1</m:t>
            </m:r>
            <m:ctrlPr>
              <w:rPr>
                <w:rFonts w:ascii="Cambria Math" w:hAnsi="Cambria Math" w:eastAsia="MS PGothic"/>
                <w:b/>
                <w:bCs/>
                <w:iCs/>
              </w:rPr>
            </m:ctrlPr>
          </m:sup>
        </m:sSubSup>
      </m:oMath>
      <w:r>
        <w:rPr>
          <w:b/>
          <w:bCs/>
          <w:lang w:val="en-US" w:eastAsia="zh-CN"/>
        </w:rPr>
        <w:t>.</w:t>
      </w:r>
    </w:p>
    <w:p>
      <w:pPr>
        <w:pStyle w:val="134"/>
        <w:numPr>
          <w:numId w:val="0"/>
        </w:numPr>
        <w:ind w:leftChars="0"/>
        <w:jc w:val="both"/>
        <w:rPr>
          <w:b/>
          <w:bCs/>
          <w:lang w:val="en-US" w:eastAsia="zh-CN"/>
        </w:rPr>
      </w:pPr>
      <w:bookmarkStart w:id="7" w:name="_GoBack"/>
      <w:bookmarkEnd w:id="7"/>
    </w:p>
    <w:p>
      <w:pPr>
        <w:outlineLvl w:val="2"/>
        <w:rPr>
          <w:b/>
          <w:bCs/>
          <w:sz w:val="21"/>
          <w:u w:val="single"/>
          <w:lang w:eastAsia="zh-CN"/>
        </w:rPr>
      </w:pPr>
      <w:r>
        <w:rPr>
          <w:rFonts w:hint="eastAsia"/>
          <w:b/>
          <w:bCs/>
          <w:sz w:val="21"/>
          <w:u w:val="single"/>
          <w:lang w:val="en-US" w:eastAsia="zh-CN"/>
        </w:rPr>
        <w:t>2.1.3</w:t>
      </w:r>
      <w:r>
        <w:rPr>
          <w:b/>
          <w:bCs/>
          <w:sz w:val="21"/>
          <w:u w:val="single"/>
          <w:lang w:val="en-US" w:eastAsia="zh-CN"/>
        </w:rPr>
        <w:t xml:space="preserve"> Other DCI monitoring behavior</w:t>
      </w:r>
    </w:p>
    <w:p>
      <w:pPr>
        <w:pStyle w:val="30"/>
        <w:rPr>
          <w:b/>
          <w:bCs/>
          <w:i/>
          <w:iCs/>
          <w:u w:val="single"/>
          <w:lang w:eastAsia="zh-CN"/>
        </w:rPr>
      </w:pPr>
      <w:r>
        <w:rPr>
          <w:rFonts w:hint="eastAsia"/>
          <w:b/>
          <w:bCs/>
          <w:i/>
          <w:iCs/>
          <w:u w:val="single"/>
          <w:lang w:eastAsia="zh-CN"/>
        </w:rPr>
        <w:t>D</w:t>
      </w:r>
      <w:r>
        <w:rPr>
          <w:b/>
          <w:bCs/>
          <w:i/>
          <w:iCs/>
          <w:u w:val="single"/>
          <w:lang w:eastAsia="zh-CN"/>
        </w:rPr>
        <w:t>CI format 2_5</w:t>
      </w:r>
    </w:p>
    <w:p>
      <w:pPr>
        <w:jc w:val="both"/>
        <w:rPr>
          <w:lang w:eastAsia="zh-CN"/>
        </w:rPr>
      </w:pPr>
      <w:r>
        <w:rPr>
          <w:rFonts w:hint="eastAsia"/>
          <w:lang w:eastAsia="zh-CN"/>
        </w:rPr>
        <w:t>I</w:t>
      </w:r>
      <w:r>
        <w:rPr>
          <w:lang w:eastAsia="zh-CN"/>
        </w:rPr>
        <w:t>n R</w:t>
      </w:r>
      <w:r>
        <w:rPr>
          <w:rFonts w:hint="eastAsia"/>
          <w:lang w:eastAsia="zh-CN"/>
        </w:rPr>
        <w:t>el</w:t>
      </w:r>
      <w:r>
        <w:rPr>
          <w:lang w:eastAsia="zh-CN"/>
        </w:rPr>
        <w:t>-16, DCI format 2_5 can be monitored PCell/PSCell or SCell, we think this rule can be reused in Rel-17 CCS.</w:t>
      </w:r>
    </w:p>
    <w:p>
      <w:pPr>
        <w:jc w:val="both"/>
        <w:rPr>
          <w:b/>
          <w:bCs/>
          <w:lang w:eastAsia="zh-CN"/>
        </w:rPr>
      </w:pPr>
      <w:r>
        <w:rPr>
          <w:b/>
          <w:bCs/>
          <w:lang w:eastAsia="zh-CN"/>
        </w:rPr>
        <w:t xml:space="preserve">Proposal </w:t>
      </w:r>
      <w:r>
        <w:rPr>
          <w:rFonts w:hint="eastAsia"/>
          <w:b/>
          <w:bCs/>
          <w:lang w:val="en-US" w:eastAsia="zh-CN"/>
        </w:rPr>
        <w:t>3</w:t>
      </w:r>
      <w:r>
        <w:rPr>
          <w:b/>
          <w:bCs/>
          <w:lang w:eastAsia="zh-CN"/>
        </w:rPr>
        <w:t xml:space="preserve">. DCI format 2_5 can be monitored on PCell/PSCell or SCell as Rel-16. </w:t>
      </w:r>
    </w:p>
    <w:p>
      <w:pPr>
        <w:pStyle w:val="3"/>
        <w:ind w:left="0" w:firstLine="0"/>
        <w:jc w:val="both"/>
        <w:rPr>
          <w:b w:val="0"/>
          <w:bCs w:val="0"/>
          <w:lang w:val="en-US" w:eastAsia="zh-CN"/>
        </w:rPr>
      </w:pPr>
      <w:r>
        <w:rPr>
          <w:rFonts w:hint="eastAsia" w:ascii="Times New Roman" w:hAnsi="Times New Roman"/>
          <w:lang w:eastAsia="zh-CN"/>
        </w:rPr>
        <w:t>2</w:t>
      </w:r>
      <w:r>
        <w:rPr>
          <w:rFonts w:ascii="Times New Roman" w:hAnsi="Times New Roman"/>
          <w:lang w:eastAsia="zh-CN"/>
        </w:rPr>
        <w:t xml:space="preserve">.2 CCS </w:t>
      </w:r>
      <w:r>
        <w:rPr>
          <w:rFonts w:hint="eastAsia" w:ascii="Times New Roman" w:hAnsi="Times New Roman"/>
          <w:lang w:val="en-US" w:eastAsia="zh-CN"/>
        </w:rPr>
        <w:t xml:space="preserve">application scenario and </w:t>
      </w:r>
      <w:r>
        <w:rPr>
          <w:rFonts w:ascii="Times New Roman" w:hAnsi="Times New Roman"/>
          <w:lang w:eastAsia="zh-CN"/>
        </w:rPr>
        <w:t>configuration</w:t>
      </w:r>
    </w:p>
    <w:p>
      <w:pPr>
        <w:jc w:val="both"/>
        <w:rPr>
          <w:b/>
          <w:bCs/>
          <w:lang w:eastAsia="zh-CN"/>
        </w:rPr>
      </w:pPr>
      <w:r>
        <w:rPr>
          <w:lang w:val="en-US" w:eastAsia="zh-CN"/>
        </w:rPr>
        <w:t>In this section, we will discuss</w:t>
      </w:r>
      <w:r>
        <w:rPr>
          <w:lang w:eastAsia="zh-CN"/>
        </w:rPr>
        <w:t xml:space="preserve"> </w:t>
      </w:r>
      <w:r>
        <w:rPr>
          <w:rFonts w:hint="eastAsia"/>
          <w:lang w:val="en-US" w:eastAsia="zh-CN"/>
        </w:rPr>
        <w:t xml:space="preserve">application scenario and </w:t>
      </w:r>
      <w:r>
        <w:rPr>
          <w:lang w:eastAsia="zh-CN"/>
        </w:rPr>
        <w:t xml:space="preserve">search space </w:t>
      </w:r>
      <w:r>
        <w:rPr>
          <w:rFonts w:hint="eastAsia"/>
          <w:lang w:val="en-US" w:eastAsia="zh-CN"/>
        </w:rPr>
        <w:t xml:space="preserve">set(s) </w:t>
      </w:r>
      <w:r>
        <w:rPr>
          <w:lang w:eastAsia="zh-CN"/>
        </w:rPr>
        <w:t>configuration</w:t>
      </w:r>
      <w:r>
        <w:rPr>
          <w:rFonts w:hint="eastAsia"/>
          <w:lang w:val="en-US" w:eastAsia="zh-CN"/>
        </w:rPr>
        <w:t xml:space="preserve"> for cross-carrier scheduling</w:t>
      </w:r>
      <w:r>
        <w:rPr>
          <w:lang w:eastAsia="zh-CN"/>
        </w:rPr>
        <w:t xml:space="preserve"> </w:t>
      </w:r>
      <w:r>
        <w:rPr>
          <w:rFonts w:hint="eastAsia"/>
          <w:lang w:val="en-US" w:eastAsia="zh-CN"/>
        </w:rPr>
        <w:t xml:space="preserve">from </w:t>
      </w:r>
      <w:r>
        <w:rPr>
          <w:lang w:eastAsia="zh-CN"/>
        </w:rPr>
        <w:t>sSCell</w:t>
      </w:r>
      <w:r>
        <w:rPr>
          <w:rFonts w:hint="eastAsia"/>
          <w:lang w:val="en-US" w:eastAsia="zh-CN"/>
        </w:rPr>
        <w:t xml:space="preserve"> to P(S)Cell</w:t>
      </w:r>
      <w:r>
        <w:rPr>
          <w:lang w:val="en-US" w:eastAsia="zh-CN"/>
        </w:rPr>
        <w:t xml:space="preserve"> especially considering the case when sSCell is deactivated or dormant</w:t>
      </w:r>
      <w:r>
        <w:rPr>
          <w:rFonts w:hint="eastAsia"/>
          <w:lang w:val="en-US" w:eastAsia="zh-CN"/>
        </w:rPr>
        <w:t>.</w:t>
      </w:r>
      <w:r>
        <w:rPr>
          <w:lang w:val="en-US" w:eastAsia="zh-CN"/>
        </w:rPr>
        <w:t xml:space="preserve"> </w:t>
      </w:r>
    </w:p>
    <w:p>
      <w:pPr>
        <w:pStyle w:val="30"/>
        <w:jc w:val="both"/>
        <w:rPr>
          <w:rFonts w:eastAsiaTheme="minorEastAsia"/>
          <w:lang w:eastAsia="zh-CN"/>
        </w:rPr>
      </w:pPr>
      <w:r>
        <w:rPr>
          <w:rFonts w:hint="eastAsia"/>
          <w:lang w:eastAsia="zh-CN"/>
        </w:rPr>
        <w:t>I</w:t>
      </w:r>
      <w:r>
        <w:rPr>
          <w:lang w:eastAsia="zh-CN"/>
        </w:rPr>
        <w:t xml:space="preserve">f sSCell is deactivated </w:t>
      </w:r>
      <w:r>
        <w:rPr>
          <w:lang w:val="en-US" w:eastAsia="zh-CN"/>
        </w:rPr>
        <w:t>or dormant</w:t>
      </w:r>
      <w:r>
        <w:rPr>
          <w:lang w:eastAsia="zh-CN"/>
        </w:rPr>
        <w:t>, there is no motivation and possibility of offloading PDCCH monitoring on sSCell and both Type A and Type B</w:t>
      </w:r>
      <w:r>
        <w:rPr>
          <w:rFonts w:eastAsiaTheme="minorEastAsia"/>
          <w:lang w:eastAsia="zh-CN"/>
        </w:rPr>
        <w:t xml:space="preserve"> UE should fallback to Rel-16 CA behaviour. But one thing should be considered</w:t>
      </w:r>
      <w:r>
        <w:rPr>
          <w:rFonts w:hint="eastAsia" w:eastAsiaTheme="minorEastAsia"/>
          <w:lang w:val="en-US" w:eastAsia="zh-CN"/>
        </w:rPr>
        <w:t xml:space="preserve"> is</w:t>
      </w:r>
      <w:r>
        <w:rPr>
          <w:rFonts w:eastAsiaTheme="minorEastAsia"/>
          <w:lang w:eastAsia="zh-CN"/>
        </w:rPr>
        <w:t xml:space="preserve"> which USS set(s) are monitored in this “fallback” behaviour when sSCell is deactivated/dormant. There are three </w:t>
      </w:r>
      <w:r>
        <w:rPr>
          <w:rFonts w:hint="eastAsia" w:eastAsiaTheme="minorEastAsia"/>
          <w:lang w:val="en-US" w:eastAsia="zh-CN"/>
        </w:rPr>
        <w:t xml:space="preserve">possible </w:t>
      </w:r>
      <w:r>
        <w:rPr>
          <w:rFonts w:eastAsiaTheme="minorEastAsia"/>
          <w:lang w:eastAsia="zh-CN"/>
        </w:rPr>
        <w:t xml:space="preserve">ways with the following analysis. </w:t>
      </w:r>
    </w:p>
    <w:p>
      <w:pPr>
        <w:pStyle w:val="30"/>
        <w:numPr>
          <w:ilvl w:val="0"/>
          <w:numId w:val="9"/>
        </w:numPr>
        <w:jc w:val="both"/>
        <w:rPr>
          <w:rFonts w:eastAsiaTheme="minorEastAsia"/>
          <w:lang w:eastAsia="zh-CN"/>
        </w:rPr>
      </w:pPr>
      <w:r>
        <w:rPr>
          <w:rFonts w:eastAsiaTheme="minorEastAsia"/>
          <w:lang w:eastAsia="zh-CN"/>
        </w:rPr>
        <w:t xml:space="preserve">The first solution is only the self-scheduling USS sets configured on P(S)Cell can </w:t>
      </w:r>
      <w:r>
        <w:rPr>
          <w:rFonts w:hint="eastAsia" w:eastAsiaTheme="minorEastAsia"/>
          <w:lang w:val="en-US" w:eastAsia="zh-CN"/>
        </w:rPr>
        <w:t>continue to be</w:t>
      </w:r>
      <w:r>
        <w:rPr>
          <w:rFonts w:eastAsiaTheme="minorEastAsia"/>
          <w:lang w:eastAsia="zh-CN"/>
        </w:rPr>
        <w:t xml:space="preserve"> monitored</w:t>
      </w:r>
      <w:r>
        <w:rPr>
          <w:rFonts w:hint="eastAsia" w:eastAsiaTheme="minorEastAsia"/>
          <w:lang w:val="en-US" w:eastAsia="zh-CN"/>
        </w:rPr>
        <w:t xml:space="preserve"> for </w:t>
      </w:r>
      <w:r>
        <w:rPr>
          <w:rFonts w:eastAsiaTheme="minorEastAsia"/>
          <w:lang w:val="en-US" w:eastAsia="zh-CN"/>
        </w:rPr>
        <w:t>“</w:t>
      </w:r>
      <w:r>
        <w:rPr>
          <w:rFonts w:hint="eastAsia" w:eastAsiaTheme="minorEastAsia"/>
          <w:lang w:val="en-US" w:eastAsia="zh-CN"/>
        </w:rPr>
        <w:t>fallback</w:t>
      </w:r>
      <w:r>
        <w:rPr>
          <w:rFonts w:eastAsiaTheme="minorEastAsia"/>
          <w:lang w:val="en-US" w:eastAsia="zh-CN"/>
        </w:rPr>
        <w:t>”</w:t>
      </w:r>
      <w:r>
        <w:rPr>
          <w:rFonts w:hint="eastAsia" w:eastAsiaTheme="minorEastAsia"/>
          <w:lang w:val="en-US" w:eastAsia="zh-CN"/>
        </w:rPr>
        <w:t xml:space="preserve"> PDCCH monitoring as shown in Figure 2-a</w:t>
      </w:r>
      <w:r>
        <w:rPr>
          <w:rFonts w:eastAsiaTheme="minorEastAsia"/>
          <w:lang w:eastAsia="zh-CN"/>
        </w:rPr>
        <w:t>,</w:t>
      </w:r>
      <w:r>
        <w:rPr>
          <w:rFonts w:hint="eastAsia" w:eastAsiaTheme="minorEastAsia"/>
          <w:lang w:val="en-US" w:eastAsia="zh-CN"/>
        </w:rPr>
        <w:t xml:space="preserve"> and search space parameters including </w:t>
      </w:r>
      <w:r>
        <w:rPr>
          <w:rFonts w:hint="eastAsia" w:eastAsiaTheme="minorEastAsia"/>
          <w:i/>
          <w:iCs/>
          <w:lang w:val="en-US" w:eastAsia="zh-CN"/>
        </w:rPr>
        <w:t>nrofcandidates</w:t>
      </w:r>
      <w:r>
        <w:rPr>
          <w:rFonts w:hint="eastAsia" w:eastAsiaTheme="minorEastAsia"/>
          <w:lang w:val="en-US" w:eastAsia="zh-CN"/>
        </w:rPr>
        <w:t xml:space="preserve"> and </w:t>
      </w:r>
      <w:r>
        <w:rPr>
          <w:rFonts w:hint="eastAsia" w:eastAsiaTheme="minorEastAsia"/>
          <w:i/>
          <w:iCs/>
          <w:lang w:val="en-US" w:eastAsia="zh-CN"/>
        </w:rPr>
        <w:t>monitoringSlotPeriodicityAndOffset</w:t>
      </w:r>
      <w:r>
        <w:rPr>
          <w:rFonts w:hint="eastAsia" w:eastAsiaTheme="minorEastAsia"/>
          <w:lang w:val="en-US" w:eastAsia="zh-CN"/>
        </w:rPr>
        <w:t xml:space="preserve">, </w:t>
      </w:r>
      <w:r>
        <w:rPr>
          <w:rFonts w:hint="eastAsia" w:eastAsiaTheme="minorEastAsia"/>
          <w:i/>
          <w:iCs/>
          <w:lang w:val="en-US" w:eastAsia="zh-CN"/>
        </w:rPr>
        <w:t>duration</w:t>
      </w:r>
      <w:r>
        <w:rPr>
          <w:rFonts w:hint="eastAsia" w:eastAsiaTheme="minorEastAsia"/>
          <w:lang w:val="en-US" w:eastAsia="zh-CN"/>
        </w:rPr>
        <w:t xml:space="preserve">, </w:t>
      </w:r>
      <w:r>
        <w:rPr>
          <w:rFonts w:hint="eastAsia" w:eastAsiaTheme="minorEastAsia"/>
          <w:i/>
          <w:iCs/>
          <w:lang w:val="en-US" w:eastAsia="zh-CN"/>
        </w:rPr>
        <w:t xml:space="preserve">monitoringSymbolsWithinSlot </w:t>
      </w:r>
      <w:r>
        <w:rPr>
          <w:rFonts w:hint="eastAsia" w:eastAsiaTheme="minorEastAsia"/>
          <w:lang w:val="en-US" w:eastAsia="zh-CN"/>
        </w:rPr>
        <w:t>configured in P(S)Cell are available for PDCCH monitoring,</w:t>
      </w:r>
      <w:r>
        <w:rPr>
          <w:rFonts w:hint="eastAsia" w:eastAsiaTheme="minorEastAsia"/>
          <w:i/>
          <w:iCs/>
          <w:lang w:val="en-US" w:eastAsia="zh-CN"/>
        </w:rPr>
        <w:t xml:space="preserve"> </w:t>
      </w:r>
      <w:r>
        <w:rPr>
          <w:rFonts w:eastAsiaTheme="minorEastAsia"/>
          <w:lang w:eastAsia="zh-CN"/>
        </w:rPr>
        <w:t>but this solution will cause the restricted scheduling opportunity since only partial USS sets can be used.</w:t>
      </w:r>
      <w:r>
        <w:rPr>
          <w:rFonts w:hint="eastAsia" w:eastAsiaTheme="minorEastAsia"/>
          <w:lang w:val="en-US" w:eastAsia="zh-CN"/>
        </w:rPr>
        <w:t xml:space="preserve"> </w:t>
      </w:r>
    </w:p>
    <w:p>
      <w:pPr>
        <w:pStyle w:val="30"/>
        <w:numPr>
          <w:ilvl w:val="0"/>
          <w:numId w:val="9"/>
        </w:numPr>
        <w:jc w:val="both"/>
        <w:rPr>
          <w:rFonts w:eastAsiaTheme="minorEastAsia"/>
          <w:lang w:eastAsia="zh-CN"/>
        </w:rPr>
      </w:pPr>
      <w:r>
        <w:rPr>
          <w:rFonts w:eastAsiaTheme="minorEastAsia"/>
          <w:lang w:eastAsia="zh-CN"/>
        </w:rPr>
        <w:t xml:space="preserve">The second solution is gNB reconfiguring the P(S)Cell’s cross-carrier </w:t>
      </w:r>
      <w:r>
        <w:rPr>
          <w:rFonts w:hint="eastAsia" w:eastAsiaTheme="minorEastAsia"/>
          <w:lang w:val="en-US" w:eastAsia="zh-CN"/>
        </w:rPr>
        <w:t xml:space="preserve">scheduling </w:t>
      </w:r>
      <w:r>
        <w:rPr>
          <w:rFonts w:eastAsiaTheme="minorEastAsia"/>
          <w:lang w:eastAsia="zh-CN"/>
        </w:rPr>
        <w:t xml:space="preserve">configuration and the USS sets </w:t>
      </w:r>
      <w:r>
        <w:rPr>
          <w:rFonts w:hint="eastAsia" w:eastAsiaTheme="minorEastAsia"/>
          <w:lang w:val="en-US" w:eastAsia="zh-CN"/>
        </w:rPr>
        <w:t>as shown in Figure 2-</w:t>
      </w:r>
      <w:r>
        <w:rPr>
          <w:rFonts w:eastAsiaTheme="minorEastAsia"/>
          <w:lang w:val="en-US" w:eastAsia="zh-CN"/>
        </w:rPr>
        <w:t>b</w:t>
      </w:r>
      <w:r>
        <w:rPr>
          <w:rFonts w:eastAsiaTheme="minorEastAsia"/>
          <w:lang w:eastAsia="zh-CN"/>
        </w:rPr>
        <w:t xml:space="preserve">, but this will cause the service interruption especially considering the longer delay of RRC signalling compared with sSCell activation/deactivation MAC-CE or L1 sSCell dormant signalling. </w:t>
      </w:r>
    </w:p>
    <w:p>
      <w:pPr>
        <w:pStyle w:val="30"/>
        <w:numPr>
          <w:ilvl w:val="0"/>
          <w:numId w:val="9"/>
        </w:numPr>
        <w:ind w:left="420" w:hanging="420"/>
        <w:jc w:val="both"/>
        <w:rPr>
          <w:rFonts w:eastAsiaTheme="minorEastAsia"/>
          <w:lang w:eastAsia="zh-CN"/>
        </w:rPr>
      </w:pPr>
      <w:r>
        <w:rPr>
          <w:rFonts w:eastAsiaTheme="minorEastAsia"/>
          <w:lang w:eastAsia="zh-CN"/>
        </w:rPr>
        <w:t xml:space="preserve">The third solution is </w:t>
      </w:r>
      <w:r>
        <w:rPr>
          <w:rFonts w:eastAsiaTheme="minorEastAsia"/>
          <w:lang w:val="en-GB" w:eastAsia="zh-CN"/>
        </w:rPr>
        <w:t>except for the self-scheduling USS sets on P(S)Cell when CCS is enabled, additional USS set</w:t>
      </w:r>
      <w:r>
        <w:rPr>
          <w:rFonts w:hint="eastAsia" w:eastAsiaTheme="minorEastAsia"/>
          <w:lang w:val="en-US" w:eastAsia="zh-CN"/>
        </w:rPr>
        <w:t>(</w:t>
      </w:r>
      <w:r>
        <w:rPr>
          <w:rFonts w:eastAsiaTheme="minorEastAsia"/>
          <w:lang w:val="en-GB" w:eastAsia="zh-CN"/>
        </w:rPr>
        <w:t>s</w:t>
      </w:r>
      <w:r>
        <w:rPr>
          <w:rFonts w:hint="eastAsia" w:eastAsiaTheme="minorEastAsia"/>
          <w:lang w:val="en-US" w:eastAsia="zh-CN"/>
        </w:rPr>
        <w:t>)</w:t>
      </w:r>
      <w:r>
        <w:rPr>
          <w:rFonts w:eastAsiaTheme="minorEastAsia"/>
          <w:lang w:val="en-GB" w:eastAsia="zh-CN"/>
        </w:rPr>
        <w:t xml:space="preserve"> can also be pre-configured on P(S)Cell</w:t>
      </w:r>
      <w:r>
        <w:rPr>
          <w:rFonts w:hint="eastAsia" w:eastAsiaTheme="minorEastAsia"/>
          <w:lang w:val="en-US" w:eastAsia="zh-CN"/>
        </w:rPr>
        <w:t xml:space="preserve"> as </w:t>
      </w:r>
      <w:r>
        <w:rPr>
          <w:rFonts w:eastAsiaTheme="minorEastAsia"/>
          <w:lang w:val="en-US" w:eastAsia="zh-CN"/>
        </w:rPr>
        <w:t xml:space="preserve">USS#3 </w:t>
      </w:r>
      <w:r>
        <w:rPr>
          <w:rFonts w:hint="eastAsia" w:eastAsiaTheme="minorEastAsia"/>
          <w:lang w:val="en-US" w:eastAsia="zh-CN"/>
        </w:rPr>
        <w:t>shown in Figure 2-</w:t>
      </w:r>
      <w:r>
        <w:rPr>
          <w:rFonts w:eastAsiaTheme="minorEastAsia"/>
          <w:lang w:val="en-US" w:eastAsia="zh-CN"/>
        </w:rPr>
        <w:t>c</w:t>
      </w:r>
      <w:r>
        <w:rPr>
          <w:rFonts w:eastAsiaTheme="minorEastAsia"/>
          <w:lang w:val="en-GB" w:eastAsia="zh-CN"/>
        </w:rPr>
        <w:t xml:space="preserve">, which </w:t>
      </w:r>
      <w:r>
        <w:rPr>
          <w:rFonts w:hint="eastAsia" w:eastAsiaTheme="minorEastAsia"/>
          <w:lang w:val="en-US" w:eastAsia="zh-CN"/>
        </w:rPr>
        <w:t>can be</w:t>
      </w:r>
      <w:r>
        <w:rPr>
          <w:rFonts w:eastAsiaTheme="minorEastAsia"/>
          <w:lang w:val="en-GB" w:eastAsia="zh-CN"/>
        </w:rPr>
        <w:t xml:space="preserve"> monitored </w:t>
      </w:r>
      <w:r>
        <w:rPr>
          <w:rFonts w:eastAsiaTheme="minorEastAsia"/>
          <w:lang w:eastAsia="zh-CN"/>
        </w:rPr>
        <w:t>on P(S)Cell</w:t>
      </w:r>
      <w:r>
        <w:rPr>
          <w:rFonts w:eastAsiaTheme="minorEastAsia"/>
          <w:lang w:val="en-GB" w:eastAsia="zh-CN"/>
        </w:rPr>
        <w:t xml:space="preserve"> once sSCell becomes deactivated</w:t>
      </w:r>
      <w:r>
        <w:rPr>
          <w:rFonts w:eastAsiaTheme="minorEastAsia"/>
          <w:lang w:val="en-GB" w:eastAsia="zh-CN"/>
        </w:rPr>
        <w:t xml:space="preserve"> or dormant</w:t>
      </w:r>
      <w:r>
        <w:rPr>
          <w:rFonts w:hint="eastAsia" w:eastAsiaTheme="minorEastAsia"/>
          <w:lang w:val="en-US" w:eastAsia="zh-CN"/>
        </w:rPr>
        <w:t xml:space="preserve">. </w:t>
      </w:r>
      <w:r>
        <w:rPr>
          <w:rFonts w:eastAsiaTheme="minorEastAsia"/>
          <w:lang w:val="en-US" w:eastAsia="zh-CN"/>
        </w:rPr>
        <w:t xml:space="preserve">The additional USS sets cannot be monitored </w:t>
      </w:r>
      <w:r>
        <w:rPr>
          <w:rFonts w:eastAsiaTheme="minorEastAsia"/>
          <w:lang w:eastAsia="zh-CN"/>
        </w:rPr>
        <w:t xml:space="preserve">on P(S)Cell </w:t>
      </w:r>
      <w:r>
        <w:rPr>
          <w:rFonts w:eastAsiaTheme="minorEastAsia"/>
          <w:lang w:val="en-US" w:eastAsia="zh-CN"/>
        </w:rPr>
        <w:t>when sSCell is activated but can be monitored on sSCell as CCS USS sets</w:t>
      </w:r>
      <w:r>
        <w:rPr>
          <w:rFonts w:eastAsiaTheme="minorEastAsia"/>
          <w:lang w:val="en-GB" w:eastAsia="zh-CN"/>
        </w:rPr>
        <w:t xml:space="preserve">. </w:t>
      </w:r>
      <w:r>
        <w:rPr>
          <w:rFonts w:eastAsiaTheme="minorEastAsia"/>
          <w:lang w:eastAsia="zh-CN"/>
        </w:rPr>
        <w:t>A</w:t>
      </w:r>
      <w:r>
        <w:rPr>
          <w:rFonts w:eastAsiaTheme="minorEastAsia"/>
          <w:lang w:val="en-US" w:eastAsia="zh-CN"/>
        </w:rPr>
        <w:t>ccording</w:t>
      </w:r>
      <w:r>
        <w:rPr>
          <w:rFonts w:hint="eastAsia" w:eastAsiaTheme="minorEastAsia"/>
          <w:lang w:val="en-US" w:eastAsia="zh-CN"/>
        </w:rPr>
        <w:t xml:space="preserve"> to the conclusion of RAN1#106b-e meeting</w:t>
      </w:r>
      <w:r>
        <w:rPr>
          <w:rFonts w:eastAsiaTheme="minorEastAsia"/>
          <w:lang w:val="en-US" w:eastAsia="zh-CN"/>
        </w:rPr>
        <w:t>,</w:t>
      </w:r>
      <w:r>
        <w:rPr>
          <w:rFonts w:hint="eastAsia" w:eastAsiaTheme="minorEastAsia"/>
          <w:lang w:val="en-US" w:eastAsia="zh-CN"/>
        </w:rPr>
        <w:t xml:space="preserve"> Rel</w:t>
      </w:r>
      <w:r>
        <w:rPr>
          <w:rFonts w:eastAsiaTheme="minorEastAsia"/>
          <w:lang w:val="en-US" w:eastAsia="zh-CN"/>
        </w:rPr>
        <w:t>-</w:t>
      </w:r>
      <w:r>
        <w:rPr>
          <w:rFonts w:hint="eastAsia" w:eastAsiaTheme="minorEastAsia"/>
          <w:lang w:val="en-US" w:eastAsia="zh-CN"/>
        </w:rPr>
        <w:t>16 SS linking approach is reused for CCS</w:t>
      </w:r>
      <w:r>
        <w:rPr>
          <w:rFonts w:eastAsiaTheme="minorEastAsia"/>
          <w:lang w:val="en-US" w:eastAsia="zh-CN"/>
        </w:rPr>
        <w:t xml:space="preserve"> USS set(s)</w:t>
      </w:r>
      <w:r>
        <w:rPr>
          <w:rFonts w:hint="eastAsia" w:eastAsiaTheme="minorEastAsia"/>
          <w:lang w:val="en-US" w:eastAsia="zh-CN"/>
        </w:rPr>
        <w:t xml:space="preserve"> from sSCell to P(S)Cell</w:t>
      </w:r>
      <w:r>
        <w:rPr>
          <w:rFonts w:eastAsiaTheme="minorEastAsia"/>
          <w:lang w:val="en-US" w:eastAsia="zh-CN"/>
        </w:rPr>
        <w:t xml:space="preserve">, but for USS#3, since it can be monitored on P(S)Cell </w:t>
      </w:r>
      <w:r>
        <w:rPr>
          <w:rFonts w:hint="eastAsia" w:eastAsiaTheme="minorEastAsia"/>
          <w:lang w:val="en-US" w:eastAsia="zh-CN"/>
        </w:rPr>
        <w:t>or</w:t>
      </w:r>
      <w:r>
        <w:rPr>
          <w:rFonts w:eastAsiaTheme="minorEastAsia"/>
          <w:lang w:val="en-US" w:eastAsia="zh-CN"/>
        </w:rPr>
        <w:t xml:space="preserve"> sSCell according to the condition whether CCS is disabled/enabled, </w:t>
      </w:r>
      <w:r>
        <w:rPr>
          <w:rFonts w:hint="eastAsia" w:eastAsiaTheme="minorEastAsia"/>
          <w:lang w:val="en-US" w:eastAsia="zh-CN"/>
        </w:rPr>
        <w:t xml:space="preserve">complete parameters including </w:t>
      </w:r>
      <w:r>
        <w:rPr>
          <w:rFonts w:eastAsiaTheme="minorEastAsia"/>
          <w:i/>
          <w:iCs/>
          <w:lang w:val="en-US" w:eastAsia="zh-CN"/>
        </w:rPr>
        <w:t>nrofcandidates</w:t>
      </w:r>
      <w:r>
        <w:rPr>
          <w:rFonts w:hint="eastAsia" w:eastAsiaTheme="minorEastAsia"/>
          <w:lang w:val="en-US" w:eastAsia="zh-CN"/>
        </w:rPr>
        <w:t xml:space="preserve"> and </w:t>
      </w:r>
      <w:r>
        <w:rPr>
          <w:rFonts w:eastAsiaTheme="minorEastAsia"/>
          <w:i/>
          <w:iCs/>
          <w:lang w:val="en-US" w:eastAsia="zh-CN"/>
        </w:rPr>
        <w:t>monitoringSlotPeriodicityAndOffset</w:t>
      </w:r>
      <w:r>
        <w:rPr>
          <w:rFonts w:hint="eastAsia" w:eastAsiaTheme="minorEastAsia"/>
          <w:lang w:val="en-US" w:eastAsia="zh-CN"/>
        </w:rPr>
        <w:t xml:space="preserve">, </w:t>
      </w:r>
      <w:r>
        <w:rPr>
          <w:rFonts w:eastAsiaTheme="minorEastAsia"/>
          <w:i/>
          <w:iCs/>
          <w:lang w:val="en-US" w:eastAsia="zh-CN"/>
        </w:rPr>
        <w:t>duration</w:t>
      </w:r>
      <w:r>
        <w:rPr>
          <w:rFonts w:hint="eastAsia" w:eastAsiaTheme="minorEastAsia"/>
          <w:lang w:val="en-US" w:eastAsia="zh-CN"/>
        </w:rPr>
        <w:t xml:space="preserve">, </w:t>
      </w:r>
      <w:r>
        <w:rPr>
          <w:rFonts w:eastAsiaTheme="minorEastAsia"/>
          <w:i/>
          <w:iCs/>
          <w:lang w:val="en-US" w:eastAsia="zh-CN"/>
        </w:rPr>
        <w:t>monitoringSymbolsWithinSlot</w:t>
      </w:r>
      <w:r>
        <w:rPr>
          <w:rFonts w:hint="eastAsia" w:eastAsiaTheme="minorEastAsia"/>
          <w:lang w:val="en-US" w:eastAsia="zh-CN"/>
        </w:rPr>
        <w:t xml:space="preserve"> under IE </w:t>
      </w:r>
      <w:r>
        <w:rPr>
          <w:rFonts w:hint="eastAsia" w:eastAsiaTheme="minorEastAsia"/>
          <w:i/>
          <w:iCs/>
          <w:lang w:val="en-US" w:eastAsia="zh-CN"/>
        </w:rPr>
        <w:t>SearchSpace</w:t>
      </w:r>
      <w:r>
        <w:rPr>
          <w:rFonts w:hint="eastAsia" w:eastAsiaTheme="minorEastAsia"/>
          <w:lang w:val="en-US" w:eastAsia="zh-CN"/>
        </w:rPr>
        <w:t xml:space="preserve"> can be configured for the linked SS set in P(S)Cell, and parameters other than </w:t>
      </w:r>
      <w:r>
        <w:rPr>
          <w:rFonts w:hint="eastAsia" w:eastAsiaTheme="minorEastAsia"/>
          <w:i/>
          <w:iCs/>
          <w:lang w:val="en-US" w:eastAsia="zh-CN"/>
        </w:rPr>
        <w:t xml:space="preserve">nrofcandidates </w:t>
      </w:r>
      <w:r>
        <w:rPr>
          <w:rFonts w:hint="eastAsia" w:eastAsiaTheme="minorEastAsia"/>
          <w:lang w:val="en-US" w:eastAsia="zh-CN"/>
        </w:rPr>
        <w:t xml:space="preserve">can only become </w:t>
      </w:r>
      <w:r>
        <w:rPr>
          <w:rFonts w:eastAsiaTheme="minorEastAsia"/>
          <w:lang w:val="en-US" w:eastAsia="zh-CN"/>
        </w:rPr>
        <w:t>enable</w:t>
      </w:r>
      <w:r>
        <w:rPr>
          <w:rFonts w:hint="eastAsia" w:eastAsiaTheme="minorEastAsia"/>
          <w:lang w:val="en-US" w:eastAsia="zh-CN"/>
        </w:rPr>
        <w:t xml:space="preserve">d when CCS from sSCell to P(S)Cell is disabled. </w:t>
      </w:r>
      <w:r>
        <w:rPr>
          <w:rFonts w:eastAsiaTheme="minorEastAsia"/>
          <w:lang w:eastAsia="zh-CN"/>
        </w:rPr>
        <w:t>This solution can avoid unnecessary RRC reconfiguration and limited scheduling opportunities since all USS sets can be monitored on P(S)Cell when CCS is disabled.</w:t>
      </w:r>
    </w:p>
    <w:p>
      <w:pPr>
        <w:pStyle w:val="32"/>
        <w:jc w:val="center"/>
      </w:pPr>
      <w:r>
        <w:drawing>
          <wp:inline distT="0" distB="0" distL="114300" distR="114300">
            <wp:extent cx="5039995" cy="1442720"/>
            <wp:effectExtent l="0" t="0" r="8255" b="508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7"/>
                    <a:stretch>
                      <a:fillRect/>
                    </a:stretch>
                  </pic:blipFill>
                  <pic:spPr>
                    <a:xfrm>
                      <a:off x="0" y="0"/>
                      <a:ext cx="5039995" cy="1442720"/>
                    </a:xfrm>
                    <a:prstGeom prst="rect">
                      <a:avLst/>
                    </a:prstGeom>
                    <a:noFill/>
                    <a:ln>
                      <a:noFill/>
                    </a:ln>
                  </pic:spPr>
                </pic:pic>
              </a:graphicData>
            </a:graphic>
          </wp:inline>
        </w:drawing>
      </w:r>
    </w:p>
    <w:p>
      <w:pPr>
        <w:jc w:val="center"/>
        <w:rPr>
          <w:rFonts w:eastAsiaTheme="minorEastAsia"/>
          <w:b/>
          <w:bCs/>
          <w:lang w:eastAsia="zh-CN"/>
        </w:rPr>
      </w:pPr>
      <w:r>
        <w:rPr>
          <w:rFonts w:hint="eastAsia" w:eastAsiaTheme="minorEastAsia"/>
          <w:b/>
          <w:bCs/>
          <w:lang w:val="en-GB" w:eastAsia="zh-CN"/>
        </w:rPr>
        <w:t>2-a</w:t>
      </w:r>
      <w:r>
        <w:rPr>
          <w:rFonts w:eastAsiaTheme="minorEastAsia"/>
          <w:b/>
          <w:bCs/>
          <w:lang w:eastAsia="zh-CN"/>
        </w:rPr>
        <w:t xml:space="preserve">. Illustration of </w:t>
      </w:r>
      <w:r>
        <w:rPr>
          <w:rFonts w:hint="eastAsia" w:eastAsiaTheme="minorEastAsia"/>
          <w:b/>
          <w:bCs/>
          <w:lang w:val="en-GB" w:eastAsia="zh-CN"/>
        </w:rPr>
        <w:t>USS sets configuration for solution 1</w:t>
      </w:r>
    </w:p>
    <w:p>
      <w:pPr>
        <w:jc w:val="center"/>
        <w:rPr>
          <w:rFonts w:eastAsiaTheme="minorEastAsia"/>
          <w:b/>
          <w:bCs/>
          <w:lang w:eastAsia="zh-CN"/>
        </w:rPr>
      </w:pPr>
      <w:r>
        <w:drawing>
          <wp:inline distT="0" distB="0" distL="114300" distR="114300">
            <wp:extent cx="5039995" cy="1552575"/>
            <wp:effectExtent l="0" t="0" r="8255" b="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r:embed="rId8"/>
                    <a:stretch>
                      <a:fillRect/>
                    </a:stretch>
                  </pic:blipFill>
                  <pic:spPr>
                    <a:xfrm>
                      <a:off x="0" y="0"/>
                      <a:ext cx="5039995" cy="1552575"/>
                    </a:xfrm>
                    <a:prstGeom prst="rect">
                      <a:avLst/>
                    </a:prstGeom>
                    <a:noFill/>
                    <a:ln>
                      <a:noFill/>
                    </a:ln>
                  </pic:spPr>
                </pic:pic>
              </a:graphicData>
            </a:graphic>
          </wp:inline>
        </w:drawing>
      </w:r>
    </w:p>
    <w:p>
      <w:pPr>
        <w:jc w:val="center"/>
        <w:rPr>
          <w:rFonts w:eastAsiaTheme="minorEastAsia"/>
          <w:b/>
          <w:bCs/>
          <w:lang w:eastAsia="zh-CN"/>
        </w:rPr>
      </w:pPr>
      <w:r>
        <w:rPr>
          <w:rFonts w:hint="eastAsia" w:eastAsiaTheme="minorEastAsia"/>
          <w:b/>
          <w:bCs/>
          <w:lang w:eastAsia="zh-CN"/>
        </w:rPr>
        <w:t>2-</w:t>
      </w:r>
      <w:r>
        <w:rPr>
          <w:rFonts w:eastAsiaTheme="minorEastAsia"/>
          <w:b/>
          <w:bCs/>
          <w:lang w:eastAsia="zh-CN"/>
        </w:rPr>
        <w:t xml:space="preserve">b. Illustration of </w:t>
      </w:r>
      <w:r>
        <w:rPr>
          <w:rFonts w:hint="eastAsia" w:eastAsiaTheme="minorEastAsia"/>
          <w:b/>
          <w:bCs/>
          <w:lang w:eastAsia="zh-CN"/>
        </w:rPr>
        <w:t xml:space="preserve">USS sets configuration for solution </w:t>
      </w:r>
      <w:r>
        <w:rPr>
          <w:rFonts w:eastAsiaTheme="minorEastAsia"/>
          <w:b/>
          <w:bCs/>
          <w:lang w:eastAsia="zh-CN"/>
        </w:rPr>
        <w:t>2</w:t>
      </w:r>
    </w:p>
    <w:p>
      <w:pPr>
        <w:jc w:val="center"/>
        <w:rPr>
          <w:rFonts w:eastAsiaTheme="minorEastAsia"/>
          <w:b/>
          <w:bCs/>
          <w:lang w:val="en-US" w:eastAsia="zh-CN"/>
        </w:rPr>
      </w:pPr>
      <w:r>
        <w:drawing>
          <wp:inline distT="0" distB="0" distL="114300" distR="114300">
            <wp:extent cx="5039995" cy="1530985"/>
            <wp:effectExtent l="0" t="0" r="8255" b="2540"/>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pic:cNvPicPr>
                  </pic:nvPicPr>
                  <pic:blipFill>
                    <a:blip r:embed="rId9"/>
                    <a:stretch>
                      <a:fillRect/>
                    </a:stretch>
                  </pic:blipFill>
                  <pic:spPr>
                    <a:xfrm>
                      <a:off x="0" y="0"/>
                      <a:ext cx="5039995" cy="1530985"/>
                    </a:xfrm>
                    <a:prstGeom prst="rect">
                      <a:avLst/>
                    </a:prstGeom>
                    <a:noFill/>
                    <a:ln>
                      <a:noFill/>
                    </a:ln>
                  </pic:spPr>
                </pic:pic>
              </a:graphicData>
            </a:graphic>
          </wp:inline>
        </w:drawing>
      </w:r>
    </w:p>
    <w:p>
      <w:pPr>
        <w:jc w:val="center"/>
        <w:rPr>
          <w:rFonts w:eastAsiaTheme="minorEastAsia"/>
          <w:b/>
          <w:bCs/>
          <w:lang w:val="en-US" w:eastAsia="zh-CN"/>
        </w:rPr>
      </w:pPr>
      <w:r>
        <w:rPr>
          <w:rFonts w:hint="eastAsia" w:eastAsiaTheme="minorEastAsia"/>
          <w:b/>
          <w:bCs/>
          <w:lang w:val="en-US" w:eastAsia="zh-CN"/>
        </w:rPr>
        <w:t>2-</w:t>
      </w:r>
      <w:r>
        <w:rPr>
          <w:rFonts w:eastAsiaTheme="minorEastAsia"/>
          <w:b/>
          <w:bCs/>
          <w:lang w:eastAsia="zh-CN"/>
        </w:rPr>
        <w:t xml:space="preserve">c. Illustration of </w:t>
      </w:r>
      <w:r>
        <w:rPr>
          <w:rFonts w:hint="eastAsia" w:eastAsiaTheme="minorEastAsia"/>
          <w:b/>
          <w:bCs/>
          <w:lang w:val="en-US" w:eastAsia="zh-CN"/>
        </w:rPr>
        <w:t>USS sets configuration for solution 3</w:t>
      </w:r>
    </w:p>
    <w:p>
      <w:pPr>
        <w:jc w:val="center"/>
        <w:rPr>
          <w:rFonts w:eastAsiaTheme="minorEastAsia"/>
          <w:b/>
          <w:bCs/>
          <w:lang w:val="en-US" w:eastAsia="zh-CN"/>
        </w:rPr>
      </w:pPr>
      <w:r>
        <w:rPr>
          <w:rFonts w:hint="eastAsia" w:eastAsiaTheme="minorEastAsia"/>
          <w:b/>
          <w:bCs/>
          <w:lang w:eastAsia="zh-CN"/>
        </w:rPr>
        <w:t>F</w:t>
      </w:r>
      <w:r>
        <w:rPr>
          <w:rFonts w:eastAsiaTheme="minorEastAsia"/>
          <w:b/>
          <w:bCs/>
          <w:lang w:eastAsia="zh-CN"/>
        </w:rPr>
        <w:t xml:space="preserve">igure </w:t>
      </w:r>
      <w:r>
        <w:rPr>
          <w:rFonts w:hint="eastAsia" w:eastAsiaTheme="minorEastAsia"/>
          <w:b/>
          <w:bCs/>
          <w:lang w:val="en-US" w:eastAsia="zh-CN"/>
        </w:rPr>
        <w:t>2</w:t>
      </w:r>
      <w:r>
        <w:rPr>
          <w:rFonts w:eastAsiaTheme="minorEastAsia"/>
          <w:b/>
          <w:bCs/>
          <w:lang w:eastAsia="zh-CN"/>
        </w:rPr>
        <w:t xml:space="preserve">. Illustration of </w:t>
      </w:r>
      <w:r>
        <w:rPr>
          <w:rFonts w:hint="eastAsia" w:eastAsiaTheme="minorEastAsia"/>
          <w:b/>
          <w:bCs/>
          <w:lang w:val="en-US" w:eastAsia="zh-CN"/>
        </w:rPr>
        <w:t xml:space="preserve">USS sets configuration </w:t>
      </w:r>
      <w:r>
        <w:rPr>
          <w:rFonts w:eastAsiaTheme="minorEastAsia"/>
          <w:b/>
          <w:bCs/>
          <w:lang w:eastAsia="zh-CN"/>
        </w:rPr>
        <w:t>on P(S)Cell</w:t>
      </w:r>
      <w:r>
        <w:rPr>
          <w:rFonts w:eastAsiaTheme="minorEastAsia"/>
          <w:b/>
          <w:bCs/>
          <w:lang w:eastAsia="zh-CN"/>
        </w:rPr>
        <w:t xml:space="preserve"> </w:t>
      </w:r>
    </w:p>
    <w:p>
      <w:pPr>
        <w:pStyle w:val="30"/>
        <w:numPr>
          <w:ilvl w:val="255"/>
          <w:numId w:val="0"/>
        </w:numPr>
        <w:jc w:val="both"/>
        <w:rPr>
          <w:rFonts w:eastAsiaTheme="minorEastAsia"/>
          <w:b/>
          <w:bCs/>
          <w:lang w:val="en-US" w:eastAsia="zh-CN"/>
        </w:rPr>
      </w:pPr>
      <w:r>
        <w:rPr>
          <w:rFonts w:hint="eastAsia" w:eastAsiaTheme="minorEastAsia"/>
          <w:b/>
          <w:bCs/>
          <w:lang w:eastAsia="zh-CN"/>
        </w:rPr>
        <w:t>Proposal</w:t>
      </w:r>
      <w:r>
        <w:rPr>
          <w:rFonts w:eastAsiaTheme="minorEastAsia"/>
          <w:b/>
          <w:bCs/>
          <w:lang w:eastAsia="zh-CN"/>
        </w:rPr>
        <w:t xml:space="preserve"> 4. For a linkage USS set which </w:t>
      </w:r>
      <w:r>
        <w:rPr>
          <w:rFonts w:hint="eastAsia" w:eastAsiaTheme="minorEastAsia"/>
          <w:b/>
          <w:bCs/>
          <w:lang w:val="en-US" w:eastAsia="zh-CN"/>
        </w:rPr>
        <w:t xml:space="preserve">is </w:t>
      </w:r>
      <w:r>
        <w:rPr>
          <w:rFonts w:eastAsiaTheme="minorEastAsia"/>
          <w:b/>
          <w:bCs/>
          <w:lang w:eastAsia="zh-CN"/>
        </w:rPr>
        <w:t xml:space="preserve">monitored on sSCell (for scheduling P(S)Cell), </w:t>
      </w:r>
      <w:r>
        <w:rPr>
          <w:rFonts w:eastAsiaTheme="minorEastAsia"/>
          <w:b/>
          <w:bCs/>
          <w:i/>
          <w:iCs/>
          <w:lang w:val="en-US" w:eastAsia="zh-CN"/>
        </w:rPr>
        <w:t>monitoringSlotPeriodicityAndOffset</w:t>
      </w:r>
      <w:r>
        <w:rPr>
          <w:rFonts w:hint="eastAsia" w:eastAsiaTheme="minorEastAsia"/>
          <w:b/>
          <w:bCs/>
          <w:lang w:val="en-US" w:eastAsia="zh-CN"/>
        </w:rPr>
        <w:t xml:space="preserve">, </w:t>
      </w:r>
      <w:r>
        <w:rPr>
          <w:rFonts w:eastAsiaTheme="minorEastAsia"/>
          <w:b/>
          <w:bCs/>
          <w:i/>
          <w:iCs/>
          <w:lang w:val="en-US" w:eastAsia="zh-CN"/>
        </w:rPr>
        <w:t>duration</w:t>
      </w:r>
      <w:r>
        <w:rPr>
          <w:rFonts w:hint="eastAsia" w:eastAsiaTheme="minorEastAsia"/>
          <w:b/>
          <w:bCs/>
          <w:lang w:val="en-US" w:eastAsia="zh-CN"/>
        </w:rPr>
        <w:t xml:space="preserve">, </w:t>
      </w:r>
      <w:r>
        <w:rPr>
          <w:rFonts w:eastAsiaTheme="minorEastAsia"/>
          <w:b/>
          <w:bCs/>
          <w:i/>
          <w:iCs/>
          <w:lang w:val="en-US" w:eastAsia="zh-CN"/>
        </w:rPr>
        <w:t xml:space="preserve">monitoringSymbolsWithinSlot </w:t>
      </w:r>
      <w:r>
        <w:rPr>
          <w:rFonts w:eastAsiaTheme="minorEastAsia"/>
          <w:b/>
          <w:bCs/>
          <w:lang w:val="en-US" w:eastAsia="zh-CN"/>
        </w:rPr>
        <w:t xml:space="preserve">can also be configured and </w:t>
      </w:r>
      <w:r>
        <w:rPr>
          <w:rFonts w:hint="eastAsia" w:eastAsiaTheme="minorEastAsia"/>
          <w:b/>
          <w:bCs/>
          <w:lang w:val="en-US" w:eastAsia="zh-CN"/>
        </w:rPr>
        <w:t xml:space="preserve">it </w:t>
      </w:r>
      <w:r>
        <w:rPr>
          <w:rFonts w:eastAsiaTheme="minorEastAsia"/>
          <w:b/>
          <w:bCs/>
          <w:lang w:val="en-US" w:eastAsia="zh-CN"/>
        </w:rPr>
        <w:t>can be monitored on P(S)Cell when sSC</w:t>
      </w:r>
      <w:r>
        <w:rPr>
          <w:rFonts w:hint="eastAsia" w:eastAsiaTheme="minorEastAsia"/>
          <w:b/>
          <w:bCs/>
          <w:lang w:val="en-US" w:eastAsia="zh-CN"/>
        </w:rPr>
        <w:t>ell</w:t>
      </w:r>
      <w:r>
        <w:rPr>
          <w:rFonts w:eastAsiaTheme="minorEastAsia"/>
          <w:b/>
          <w:bCs/>
          <w:lang w:val="en-US" w:eastAsia="zh-CN"/>
        </w:rPr>
        <w:t xml:space="preserve"> is deactivated or dormant.</w:t>
      </w:r>
    </w:p>
    <w:p>
      <w:pPr>
        <w:pStyle w:val="30"/>
        <w:numPr>
          <w:ilvl w:val="0"/>
          <w:numId w:val="10"/>
        </w:numPr>
        <w:ind w:left="420" w:hanging="420"/>
        <w:jc w:val="both"/>
        <w:rPr>
          <w:rFonts w:hint="eastAsia" w:eastAsiaTheme="minorEastAsia"/>
          <w:b/>
          <w:bCs/>
          <w:lang w:eastAsia="zh-CN"/>
        </w:rPr>
      </w:pPr>
      <w:r>
        <w:rPr>
          <w:rFonts w:hint="eastAsia" w:eastAsiaTheme="minorEastAsia"/>
          <w:b/>
          <w:bCs/>
          <w:lang w:eastAsia="zh-CN"/>
        </w:rPr>
        <w:t>W</w:t>
      </w:r>
      <w:r>
        <w:rPr>
          <w:rFonts w:eastAsiaTheme="minorEastAsia"/>
          <w:b/>
          <w:bCs/>
          <w:lang w:eastAsia="zh-CN"/>
        </w:rPr>
        <w:t>hen the linkage USS set is monitored on P(S)Cell, all parameters in search space configuration are applied.</w:t>
      </w:r>
    </w:p>
    <w:p>
      <w:pPr>
        <w:pStyle w:val="30"/>
        <w:numPr>
          <w:ilvl w:val="255"/>
          <w:numId w:val="0"/>
        </w:numPr>
        <w:ind w:left="0" w:firstLine="0"/>
        <w:jc w:val="both"/>
        <w:rPr>
          <w:rFonts w:hint="eastAsia"/>
          <w:lang w:eastAsia="zh-CN"/>
        </w:rPr>
      </w:pPr>
      <w:r>
        <w:rPr>
          <w:rFonts w:eastAsiaTheme="minorEastAsia"/>
          <w:lang w:val="en-GB" w:eastAsia="zh-CN"/>
        </w:rPr>
        <w:t xml:space="preserve">However, since both USS sets for P(S)Cell self-scheduling when CCS is enabled and additional USS sets for fallback self-scheduling monitoring when </w:t>
      </w:r>
      <w:r>
        <w:rPr>
          <w:rFonts w:eastAsiaTheme="minorEastAsia"/>
          <w:lang w:eastAsia="zh-CN"/>
        </w:rPr>
        <w:t xml:space="preserve">sSCell is deactivated/dormant (CCS is disabled) </w:t>
      </w:r>
      <w:r>
        <w:rPr>
          <w:rFonts w:hint="eastAsia" w:eastAsiaTheme="minorEastAsia"/>
          <w:lang w:eastAsia="zh-CN"/>
        </w:rPr>
        <w:t>are</w:t>
      </w:r>
      <w:r>
        <w:rPr>
          <w:rFonts w:eastAsiaTheme="minorEastAsia"/>
          <w:lang w:eastAsia="zh-CN"/>
        </w:rPr>
        <w:t xml:space="preserve"> </w:t>
      </w:r>
      <w:r>
        <w:rPr>
          <w:rFonts w:hint="eastAsia" w:eastAsiaTheme="minorEastAsia"/>
          <w:lang w:eastAsia="zh-CN"/>
        </w:rPr>
        <w:t>configured</w:t>
      </w:r>
      <w:r>
        <w:rPr>
          <w:rFonts w:eastAsiaTheme="minorEastAsia"/>
          <w:lang w:eastAsia="zh-CN"/>
        </w:rPr>
        <w:t xml:space="preserve"> on P(S)Cell</w:t>
      </w:r>
      <w:r>
        <w:rPr>
          <w:rFonts w:eastAsiaTheme="minorEastAsia"/>
          <w:lang w:val="en-GB" w:eastAsia="zh-CN"/>
        </w:rPr>
        <w:t>,</w:t>
      </w:r>
      <w:r>
        <w:rPr>
          <w:rFonts w:eastAsiaTheme="minorEastAsia"/>
          <w:lang w:eastAsia="zh-CN"/>
        </w:rPr>
        <w:t xml:space="preserve"> e.g., USS#1 and USS#3 </w:t>
      </w:r>
      <w:r>
        <w:rPr>
          <w:rFonts w:hint="eastAsia" w:eastAsiaTheme="minorEastAsia"/>
          <w:lang w:eastAsia="zh-CN"/>
        </w:rPr>
        <w:t>in</w:t>
      </w:r>
      <w:r>
        <w:rPr>
          <w:rFonts w:eastAsiaTheme="minorEastAsia"/>
          <w:lang w:eastAsia="zh-CN"/>
        </w:rPr>
        <w:t xml:space="preserve"> Figure 2-c,</w:t>
      </w:r>
      <w:r>
        <w:rPr>
          <w:rFonts w:eastAsiaTheme="minorEastAsia"/>
          <w:lang w:val="en-GB" w:eastAsia="zh-CN"/>
        </w:rPr>
        <w:t xml:space="preserve"> how UE can differentiate these two USS set categor</w:t>
      </w:r>
      <w:r>
        <w:rPr>
          <w:rFonts w:hint="eastAsia" w:eastAsiaTheme="minorEastAsia"/>
          <w:lang w:val="en-US" w:eastAsia="zh-CN"/>
        </w:rPr>
        <w:t>ies</w:t>
      </w:r>
      <w:r>
        <w:rPr>
          <w:rFonts w:eastAsiaTheme="minorEastAsia"/>
          <w:lang w:val="en-GB" w:eastAsia="zh-CN"/>
        </w:rPr>
        <w:t xml:space="preserve">? </w:t>
      </w:r>
      <w:r>
        <w:rPr>
          <w:rFonts w:eastAsiaTheme="minorEastAsia"/>
          <w:lang w:eastAsia="zh-CN"/>
        </w:rPr>
        <w:t>In current NR design, the cross-carrier scheduling framework is configured at serving cell configuration level</w:t>
      </w:r>
      <w:r>
        <w:rPr>
          <w:rFonts w:hint="eastAsia" w:eastAsiaTheme="minorEastAsia"/>
          <w:lang w:val="en-US" w:eastAsia="zh-CN"/>
        </w:rPr>
        <w:t>,</w:t>
      </w:r>
      <w:r>
        <w:rPr>
          <w:rFonts w:eastAsiaTheme="minorEastAsia"/>
          <w:lang w:eastAsia="zh-CN"/>
        </w:rPr>
        <w:t xml:space="preserve"> which is applied for all search space sets</w:t>
      </w:r>
      <w:r>
        <w:rPr>
          <w:rFonts w:eastAsiaTheme="minorEastAsia"/>
          <w:lang w:val="en-GB" w:eastAsia="zh-CN"/>
        </w:rPr>
        <w:t xml:space="preserve">. </w:t>
      </w:r>
      <w:r>
        <w:rPr>
          <w:rFonts w:hint="eastAsia"/>
          <w:lang w:val="en-US" w:eastAsia="zh-CN"/>
        </w:rPr>
        <w:t xml:space="preserve">As these additional USS sets </w:t>
      </w:r>
      <w:r>
        <w:rPr>
          <w:lang w:val="en-US" w:eastAsia="zh-CN"/>
        </w:rPr>
        <w:t xml:space="preserve">can only be monitored </w:t>
      </w:r>
      <w:r>
        <w:rPr>
          <w:rFonts w:hint="eastAsia"/>
          <w:lang w:val="en-US" w:eastAsia="zh-CN"/>
        </w:rPr>
        <w:t>on P(S)Cell when sSCell becomes deactivated</w:t>
      </w:r>
      <w:r>
        <w:rPr>
          <w:lang w:val="en-US" w:eastAsia="zh-CN"/>
        </w:rPr>
        <w:t>/dormant</w:t>
      </w:r>
      <w:r>
        <w:rPr>
          <w:rFonts w:hint="eastAsia"/>
          <w:lang w:val="en-US" w:eastAsia="zh-CN"/>
        </w:rPr>
        <w:t xml:space="preserve">, </w:t>
      </w:r>
      <w:r>
        <w:rPr>
          <w:lang w:eastAsia="zh-CN"/>
        </w:rPr>
        <w:t>the current cross-carrier scheduling configuration framework is not suitable</w:t>
      </w:r>
      <w:r>
        <w:rPr>
          <w:rFonts w:hint="eastAsia"/>
          <w:lang w:val="en-US" w:eastAsia="zh-CN"/>
        </w:rPr>
        <w:t xml:space="preserve"> to handle this kind of case</w:t>
      </w:r>
      <w:r>
        <w:rPr>
          <w:lang w:eastAsia="zh-CN"/>
        </w:rPr>
        <w:t xml:space="preserve">. </w:t>
      </w:r>
      <w:r>
        <w:rPr>
          <w:highlight w:val="none"/>
          <w:lang w:eastAsia="zh-CN"/>
        </w:rPr>
        <w:t>Therefore, the cross-carrier</w:t>
      </w:r>
      <w:r>
        <w:rPr>
          <w:highlight w:val="none"/>
          <w:lang w:val="en-US" w:eastAsia="zh-CN"/>
        </w:rPr>
        <w:t xml:space="preserve"> scheduling</w:t>
      </w:r>
      <w:r>
        <w:rPr>
          <w:highlight w:val="none"/>
          <w:lang w:eastAsia="zh-CN"/>
        </w:rPr>
        <w:t xml:space="preserve"> configuration can be configured per USS set for P</w:t>
      </w:r>
      <w:r>
        <w:rPr>
          <w:highlight w:val="none"/>
          <w:lang w:val="en-US" w:eastAsia="zh-CN"/>
        </w:rPr>
        <w:t>(S)</w:t>
      </w:r>
      <w:r>
        <w:rPr>
          <w:highlight w:val="none"/>
          <w:lang w:eastAsia="zh-CN"/>
        </w:rPr>
        <w:t>Cell to differentiate the USS#1 and USS#3. For example, self-scheduling</w:t>
      </w:r>
      <w:r>
        <w:rPr>
          <w:rFonts w:hint="eastAsia"/>
          <w:highlight w:val="none"/>
          <w:lang w:val="en-US" w:eastAsia="zh-CN"/>
        </w:rPr>
        <w:t xml:space="preserve"> information</w:t>
      </w:r>
      <w:r>
        <w:rPr>
          <w:highlight w:val="none"/>
          <w:lang w:eastAsia="zh-CN"/>
        </w:rPr>
        <w:t xml:space="preserve"> is configured in USS#1 which is only monitored on P(S)Cell</w:t>
      </w:r>
      <w:r>
        <w:rPr>
          <w:rFonts w:hint="eastAsia"/>
          <w:highlight w:val="none"/>
          <w:lang w:val="en-US" w:eastAsia="zh-CN"/>
        </w:rPr>
        <w:t>,</w:t>
      </w:r>
      <w:r>
        <w:rPr>
          <w:highlight w:val="none"/>
          <w:lang w:eastAsia="zh-CN"/>
        </w:rPr>
        <w:t xml:space="preserve"> cross-carrier scheduling </w:t>
      </w:r>
      <w:r>
        <w:rPr>
          <w:rFonts w:hint="eastAsia"/>
          <w:highlight w:val="none"/>
          <w:lang w:val="en-US" w:eastAsia="zh-CN"/>
        </w:rPr>
        <w:t xml:space="preserve">information </w:t>
      </w:r>
      <w:r>
        <w:rPr>
          <w:highlight w:val="none"/>
          <w:lang w:eastAsia="zh-CN"/>
        </w:rPr>
        <w:t>is configured in USS#3 which is monitored on P(S)Cell when sSCell is deactivated/dormant and on sSCell when sSCell is activated/non-dormant.</w:t>
      </w:r>
    </w:p>
    <w:p>
      <w:pPr>
        <w:jc w:val="both"/>
        <w:rPr>
          <w:b/>
          <w:bCs/>
          <w:lang w:eastAsia="zh-CN"/>
        </w:rPr>
      </w:pPr>
      <w:r>
        <w:rPr>
          <w:b/>
          <w:bCs/>
          <w:lang w:eastAsia="zh-CN"/>
        </w:rPr>
        <w:t xml:space="preserve">Proposal </w:t>
      </w:r>
      <w:r>
        <w:rPr>
          <w:b/>
          <w:bCs/>
          <w:highlight w:val="none"/>
          <w:lang w:val="en-US" w:eastAsia="zh-CN"/>
        </w:rPr>
        <w:t>5</w:t>
      </w:r>
      <w:r>
        <w:rPr>
          <w:b/>
          <w:bCs/>
          <w:lang w:eastAsia="zh-CN"/>
        </w:rPr>
        <w:t xml:space="preserve">. </w:t>
      </w:r>
      <w:r>
        <w:rPr>
          <w:b/>
          <w:bCs/>
          <w:highlight w:val="none"/>
          <w:lang w:eastAsia="zh-CN"/>
        </w:rPr>
        <w:t>C</w:t>
      </w:r>
      <w:r>
        <w:rPr>
          <w:b/>
          <w:bCs/>
          <w:lang w:eastAsia="zh-CN"/>
        </w:rPr>
        <w:t>ross-carrier</w:t>
      </w:r>
      <w:r>
        <w:rPr>
          <w:b/>
          <w:bCs/>
          <w:lang w:val="en-US" w:eastAsia="zh-CN"/>
        </w:rPr>
        <w:t xml:space="preserve"> scheduling</w:t>
      </w:r>
      <w:r>
        <w:rPr>
          <w:b/>
          <w:bCs/>
          <w:lang w:eastAsia="zh-CN"/>
        </w:rPr>
        <w:t xml:space="preserve"> configuration can be configured per USS set for P</w:t>
      </w:r>
      <w:r>
        <w:rPr>
          <w:b/>
          <w:bCs/>
          <w:lang w:val="en-US" w:eastAsia="zh-CN"/>
        </w:rPr>
        <w:t>(S)</w:t>
      </w:r>
      <w:r>
        <w:rPr>
          <w:b/>
          <w:bCs/>
          <w:lang w:eastAsia="zh-CN"/>
        </w:rPr>
        <w:t xml:space="preserve">Cell, e.g., the information about whether this USS set is </w:t>
      </w:r>
      <w:r>
        <w:rPr>
          <w:b/>
          <w:bCs/>
          <w:highlight w:val="none"/>
          <w:lang w:val="en-US" w:eastAsia="zh-CN"/>
        </w:rPr>
        <w:t>used</w:t>
      </w:r>
      <w:r>
        <w:rPr>
          <w:b/>
          <w:bCs/>
          <w:lang w:val="en-US" w:eastAsia="zh-CN"/>
        </w:rPr>
        <w:t xml:space="preserve"> for </w:t>
      </w:r>
      <w:r>
        <w:rPr>
          <w:b/>
          <w:bCs/>
          <w:lang w:eastAsia="zh-CN"/>
        </w:rPr>
        <w:t xml:space="preserve">self-scheduling or </w:t>
      </w:r>
      <w:r>
        <w:rPr>
          <w:b/>
          <w:bCs/>
          <w:highlight w:val="none"/>
          <w:lang w:eastAsia="zh-CN"/>
        </w:rPr>
        <w:t>used for cross-carrier scheduling when</w:t>
      </w:r>
      <w:r>
        <w:rPr>
          <w:rFonts w:hint="eastAsia"/>
          <w:b/>
          <w:bCs/>
          <w:highlight w:val="none"/>
          <w:lang w:val="en-US" w:eastAsia="zh-CN"/>
        </w:rPr>
        <w:t xml:space="preserve"> sSCell is activated/</w:t>
      </w:r>
      <w:r>
        <w:rPr>
          <w:b/>
          <w:bCs/>
          <w:highlight w:val="none"/>
          <w:lang w:val="en-US" w:eastAsia="zh-CN"/>
        </w:rPr>
        <w:t>non-</w:t>
      </w:r>
      <w:r>
        <w:rPr>
          <w:rFonts w:hint="eastAsia"/>
          <w:b/>
          <w:bCs/>
          <w:highlight w:val="none"/>
          <w:lang w:val="en-US" w:eastAsia="zh-CN"/>
        </w:rPr>
        <w:t>dormant</w:t>
      </w:r>
      <w:r>
        <w:rPr>
          <w:b/>
          <w:bCs/>
          <w:highlight w:val="none"/>
          <w:lang w:eastAsia="zh-CN"/>
        </w:rPr>
        <w:t xml:space="preserve"> but </w:t>
      </w:r>
      <w:r>
        <w:rPr>
          <w:b/>
          <w:bCs/>
          <w:lang w:val="en-US" w:eastAsia="zh-CN"/>
        </w:rPr>
        <w:t xml:space="preserve">can </w:t>
      </w:r>
      <w:r>
        <w:rPr>
          <w:b/>
          <w:bCs/>
          <w:highlight w:val="none"/>
          <w:lang w:val="en-US" w:eastAsia="zh-CN"/>
        </w:rPr>
        <w:t xml:space="preserve">also </w:t>
      </w:r>
      <w:r>
        <w:rPr>
          <w:b/>
          <w:bCs/>
          <w:lang w:val="en-US" w:eastAsia="zh-CN"/>
        </w:rPr>
        <w:t xml:space="preserve">be monitored </w:t>
      </w:r>
      <w:r>
        <w:rPr>
          <w:b/>
          <w:bCs/>
          <w:highlight w:val="none"/>
          <w:lang w:val="en-US" w:eastAsia="zh-CN"/>
        </w:rPr>
        <w:t>on P(S)</w:t>
      </w:r>
      <w:r>
        <w:rPr>
          <w:rFonts w:hint="eastAsia"/>
          <w:b/>
          <w:bCs/>
          <w:highlight w:val="none"/>
          <w:lang w:val="en-US" w:eastAsia="zh-CN"/>
        </w:rPr>
        <w:t>C</w:t>
      </w:r>
      <w:r>
        <w:rPr>
          <w:b/>
          <w:bCs/>
          <w:highlight w:val="none"/>
          <w:lang w:val="en-US" w:eastAsia="zh-CN"/>
        </w:rPr>
        <w:t xml:space="preserve">ell </w:t>
      </w:r>
      <w:r>
        <w:rPr>
          <w:b/>
          <w:bCs/>
          <w:lang w:val="en-US" w:eastAsia="zh-CN"/>
        </w:rPr>
        <w:t xml:space="preserve">only </w:t>
      </w:r>
      <w:r>
        <w:rPr>
          <w:rFonts w:hint="eastAsia"/>
          <w:b/>
          <w:bCs/>
          <w:highlight w:val="none"/>
          <w:lang w:val="en-US" w:eastAsia="zh-CN"/>
        </w:rPr>
        <w:t>when sSCell is deactivated/dormant</w:t>
      </w:r>
      <w:r>
        <w:rPr>
          <w:b/>
          <w:bCs/>
          <w:lang w:eastAsia="zh-CN"/>
        </w:rPr>
        <w:t>.</w:t>
      </w:r>
    </w:p>
    <w:p>
      <w:pPr>
        <w:pStyle w:val="2"/>
        <w:numPr>
          <w:ilvl w:val="0"/>
          <w:numId w:val="5"/>
        </w:numPr>
        <w:rPr>
          <w:rFonts w:ascii="Times New Roman" w:hAnsi="Times New Roman"/>
          <w:lang w:eastAsia="zh-CN"/>
        </w:rPr>
      </w:pPr>
      <w:r>
        <w:rPr>
          <w:rFonts w:ascii="Times New Roman" w:hAnsi="Times New Roman" w:eastAsiaTheme="minorEastAsia"/>
          <w:lang w:eastAsia="zh-CN"/>
        </w:rPr>
        <w:t>Conclusions</w:t>
      </w:r>
    </w:p>
    <w:p>
      <w:pPr>
        <w:jc w:val="both"/>
        <w:rPr>
          <w:lang w:eastAsia="zh-CN"/>
        </w:rPr>
      </w:pPr>
      <w:r>
        <w:t xml:space="preserve">In this contribution, BD/CCE handling and CCS configuration framework is discussed, </w:t>
      </w:r>
      <w:r>
        <w:rPr>
          <w:lang w:eastAsia="zh-CN"/>
        </w:rPr>
        <w:t>and the following proposals are made.</w:t>
      </w:r>
    </w:p>
    <w:p>
      <w:pPr>
        <w:spacing w:before="120" w:after="180" w:line="240" w:lineRule="auto"/>
        <w:ind w:left="0"/>
        <w:contextualSpacing w:val="0"/>
        <w:jc w:val="both"/>
        <w:rPr>
          <w:rFonts w:eastAsia="等线"/>
          <w:b/>
          <w:lang w:eastAsia="zh-CN"/>
        </w:rPr>
      </w:pPr>
      <w:r>
        <w:rPr>
          <w:rFonts w:hint="eastAsia"/>
          <w:b/>
          <w:bCs/>
          <w:lang w:eastAsia="zh-CN"/>
        </w:rPr>
        <w:t>P</w:t>
      </w:r>
      <w:r>
        <w:rPr>
          <w:b/>
          <w:bCs/>
          <w:lang w:eastAsia="zh-CN"/>
        </w:rPr>
        <w:t xml:space="preserve">roposal 1. For BD/CCE limit handling </w:t>
      </w:r>
      <w:r>
        <w:rPr>
          <w:rFonts w:hint="eastAsia"/>
          <w:b/>
          <w:bCs/>
          <w:lang w:val="en-US" w:eastAsia="zh-CN"/>
        </w:rPr>
        <w:t xml:space="preserve">based on </w:t>
      </w:r>
      <w:r>
        <w:rPr>
          <w:b/>
          <w:bCs/>
          <w:lang w:eastAsia="zh-CN"/>
        </w:rPr>
        <w:t xml:space="preserve">option </w:t>
      </w:r>
      <w:r>
        <w:rPr>
          <w:rFonts w:hint="eastAsia"/>
          <w:b/>
          <w:bCs/>
          <w:lang w:val="en-US" w:eastAsia="zh-CN"/>
        </w:rPr>
        <w:t xml:space="preserve">A, Type B </w:t>
      </w:r>
      <w:r>
        <w:rPr>
          <w:rFonts w:cs="Times"/>
          <w:b/>
          <w:bCs/>
          <w:szCs w:val="22"/>
          <w:lang w:eastAsia="en-US"/>
        </w:rPr>
        <w:t xml:space="preserve">UE is not required to monitor more than </w:t>
      </w:r>
      <m:oMath>
        <m:func>
          <m:funcPr>
            <m:ctrlPr>
              <w:rPr>
                <w:rFonts w:ascii="Cambria Math" w:hAnsi="Cambria Math" w:cs="Times"/>
                <w:b/>
                <w:bCs/>
                <w:szCs w:val="22"/>
                <w:lang w:eastAsia="en-US"/>
              </w:rPr>
            </m:ctrlPr>
          </m:funcPr>
          <m:fName>
            <m:r>
              <m:rPr>
                <m:sty m:val="b"/>
              </m:rPr>
              <w:rPr>
                <w:rFonts w:ascii="Cambria Math" w:hAnsi="Cambria Math" w:cs="Times"/>
                <w:szCs w:val="22"/>
                <w:lang w:eastAsia="en-US"/>
              </w:rPr>
              <m:t>min</m:t>
            </m:r>
            <m:ctrlPr>
              <w:rPr>
                <w:rFonts w:ascii="Cambria Math" w:hAnsi="Cambria Math" w:cs="Times"/>
                <w:b/>
                <w:bCs/>
                <w:szCs w:val="22"/>
                <w:lang w:eastAsia="en-US"/>
              </w:rPr>
            </m:ctrlPr>
          </m:fName>
          <m:e>
            <m:d>
              <m:dPr>
                <m:ctrlPr>
                  <w:rPr>
                    <w:rFonts w:ascii="Cambria Math" w:hAnsi="Cambria Math" w:cs="Times"/>
                    <w:b/>
                    <w:bCs/>
                    <w:szCs w:val="22"/>
                    <w:lang w:eastAsia="en-US"/>
                  </w:rPr>
                </m:ctrlPr>
              </m:dPr>
              <m:e>
                <m:sSubSup>
                  <m:sSubSupPr>
                    <m:ctrlPr>
                      <w:rPr>
                        <w:rFonts w:ascii="Cambria Math" w:hAnsi="Cambria Math" w:cs="Times"/>
                        <w:b/>
                        <w:bCs/>
                        <w:szCs w:val="22"/>
                        <w:lang w:eastAsia="en-US"/>
                      </w:rPr>
                    </m:ctrlPr>
                  </m:sSubSupPr>
                  <m:e>
                    <m:r>
                      <m:rPr>
                        <m:sty m:val="b"/>
                      </m:rPr>
                      <w:rPr>
                        <w:rFonts w:ascii="Cambria Math" w:hAnsi="Cambria Math" w:cs="Times"/>
                        <w:szCs w:val="22"/>
                        <w:lang w:eastAsia="en-US"/>
                      </w:rPr>
                      <m:t>M</m:t>
                    </m:r>
                    <m:ctrlPr>
                      <w:rPr>
                        <w:rFonts w:ascii="Cambria Math" w:hAnsi="Cambria Math" w:cs="Times"/>
                        <w:b/>
                        <w:bCs/>
                        <w:szCs w:val="22"/>
                        <w:lang w:eastAsia="en-US"/>
                      </w:rPr>
                    </m:ctrlPr>
                  </m:e>
                  <m:sub>
                    <m:r>
                      <m:rPr>
                        <m:nor/>
                        <m:sty m:val="b"/>
                      </m:rPr>
                      <w:rPr>
                        <w:rFonts w:ascii="Cambria Math" w:hAnsi="Cambria Math" w:cs="Times"/>
                        <w:b/>
                        <w:bCs/>
                        <w:szCs w:val="22"/>
                        <w:lang w:eastAsia="en-US"/>
                      </w:rPr>
                      <m:t>PDCCH</m:t>
                    </m:r>
                    <m:ctrlPr>
                      <w:rPr>
                        <w:rFonts w:ascii="Cambria Math" w:hAnsi="Cambria Math" w:cs="Times"/>
                        <w:b/>
                        <w:bCs/>
                        <w:szCs w:val="22"/>
                        <w:lang w:eastAsia="en-US"/>
                      </w:rPr>
                    </m:ctrlPr>
                  </m:sub>
                  <m:sup>
                    <m:r>
                      <m:rPr>
                        <m:nor/>
                        <m:sty m:val="b"/>
                      </m:rPr>
                      <w:rPr>
                        <w:rFonts w:ascii="Cambria Math" w:hAnsi="Cambria Math" w:cs="Times"/>
                        <w:b/>
                        <w:bCs/>
                        <w:szCs w:val="22"/>
                        <w:lang w:eastAsia="en-US"/>
                      </w:rPr>
                      <m:t>max,slot,μ1</m:t>
                    </m:r>
                    <m:ctrlPr>
                      <w:rPr>
                        <w:rFonts w:ascii="Cambria Math" w:hAnsi="Cambria Math" w:cs="Times"/>
                        <w:b/>
                        <w:bCs/>
                        <w:szCs w:val="22"/>
                        <w:lang w:eastAsia="en-US"/>
                      </w:rPr>
                    </m:ctrlPr>
                  </m:sup>
                </m:sSubSup>
                <m:r>
                  <m:rPr>
                    <m:sty m:val="b"/>
                  </m:rPr>
                  <w:rPr>
                    <w:rFonts w:ascii="Cambria Math" w:hAnsi="Cambria Math" w:cs="Times"/>
                    <w:szCs w:val="22"/>
                    <w:lang w:eastAsia="en-US"/>
                  </w:rPr>
                  <m:t>,</m:t>
                </m:r>
                <m:sSubSup>
                  <m:sSubSupPr>
                    <m:ctrlPr>
                      <w:rPr>
                        <w:rFonts w:ascii="Cambria Math" w:hAnsi="Cambria Math" w:cs="Times"/>
                        <w:b/>
                        <w:bCs/>
                        <w:szCs w:val="22"/>
                        <w:lang w:eastAsia="en-US"/>
                      </w:rPr>
                    </m:ctrlPr>
                  </m:sSubSupPr>
                  <m:e>
                    <m:r>
                      <m:rPr>
                        <m:sty m:val="b"/>
                      </m:rPr>
                      <w:rPr>
                        <w:rFonts w:ascii="Cambria Math" w:hAnsi="Cambria Math" w:cs="Times"/>
                        <w:szCs w:val="22"/>
                        <w:lang w:eastAsia="en-US"/>
                      </w:rPr>
                      <m:t>M</m:t>
                    </m:r>
                    <m:ctrlPr>
                      <w:rPr>
                        <w:rFonts w:ascii="Cambria Math" w:hAnsi="Cambria Math" w:cs="Times"/>
                        <w:b/>
                        <w:bCs/>
                        <w:szCs w:val="22"/>
                        <w:lang w:eastAsia="en-US"/>
                      </w:rPr>
                    </m:ctrlPr>
                  </m:e>
                  <m:sub>
                    <m:r>
                      <m:rPr>
                        <m:nor/>
                        <m:sty m:val="b"/>
                      </m:rPr>
                      <w:rPr>
                        <w:rFonts w:ascii="Cambria Math" w:hAnsi="Cambria Math" w:cs="Times"/>
                        <w:b/>
                        <w:bCs/>
                        <w:szCs w:val="22"/>
                        <w:lang w:eastAsia="en-US"/>
                      </w:rPr>
                      <m:t>PDCCH</m:t>
                    </m:r>
                    <m:ctrlPr>
                      <w:rPr>
                        <w:rFonts w:ascii="Cambria Math" w:hAnsi="Cambria Math" w:cs="Times"/>
                        <w:b/>
                        <w:bCs/>
                        <w:szCs w:val="22"/>
                        <w:lang w:eastAsia="en-US"/>
                      </w:rPr>
                    </m:ctrlPr>
                  </m:sub>
                  <m:sup>
                    <m:r>
                      <m:rPr>
                        <m:nor/>
                        <m:sty m:val="b"/>
                      </m:rPr>
                      <w:rPr>
                        <w:rFonts w:ascii="Cambria Math" w:hAnsi="Cambria Math" w:cs="Times"/>
                        <w:b/>
                        <w:bCs/>
                        <w:szCs w:val="22"/>
                        <w:lang w:eastAsia="en-US"/>
                      </w:rPr>
                      <m:t>total,slot,μ1</m:t>
                    </m:r>
                    <m:ctrlPr>
                      <w:rPr>
                        <w:rFonts w:ascii="Cambria Math" w:hAnsi="Cambria Math" w:cs="Times"/>
                        <w:b/>
                        <w:bCs/>
                        <w:szCs w:val="22"/>
                        <w:lang w:eastAsia="en-US"/>
                      </w:rPr>
                    </m:ctrlPr>
                  </m:sup>
                </m:sSubSup>
                <m:ctrlPr>
                  <w:rPr>
                    <w:rFonts w:ascii="Cambria Math" w:hAnsi="Cambria Math" w:cs="Times"/>
                    <w:b/>
                    <w:bCs/>
                    <w:szCs w:val="22"/>
                    <w:lang w:eastAsia="en-US"/>
                  </w:rPr>
                </m:ctrlPr>
              </m:e>
            </m:d>
            <m:ctrlPr>
              <w:rPr>
                <w:rFonts w:ascii="Cambria Math" w:hAnsi="Cambria Math" w:cs="Times"/>
                <w:b/>
                <w:bCs/>
                <w:szCs w:val="22"/>
                <w:lang w:eastAsia="en-US"/>
              </w:rPr>
            </m:ctrlPr>
          </m:e>
        </m:func>
      </m:oMath>
      <w:r>
        <w:rPr>
          <w:rFonts w:cs="Times"/>
          <w:b/>
          <w:bCs/>
          <w:szCs w:val="22"/>
          <w:lang w:eastAsia="en-US"/>
        </w:rPr>
        <w:t>PDCCH BD candidates per sSCell slot</w:t>
      </w:r>
      <w:r>
        <w:rPr>
          <w:rFonts w:hint="eastAsia" w:cs="Times"/>
          <w:b/>
          <w:bCs/>
          <w:szCs w:val="22"/>
          <w:lang w:eastAsia="zh-CN"/>
        </w:rPr>
        <w:t>.</w:t>
      </w:r>
      <w:r>
        <w:rPr>
          <w:rFonts w:cs="Times"/>
          <w:b/>
          <w:bCs/>
          <w:szCs w:val="22"/>
          <w:lang w:eastAsia="zh-CN"/>
        </w:rPr>
        <w:t xml:space="preserve"> When determining </w:t>
      </w:r>
      <m:oMath>
        <m:sSubSup>
          <m:sSubSupPr>
            <m:ctrlPr>
              <w:rPr>
                <w:rFonts w:ascii="Cambria Math" w:hAnsi="Cambria Math"/>
                <w:b/>
              </w:rPr>
            </m:ctrlPr>
          </m:sSubSupPr>
          <m:e>
            <m:r>
              <m:rPr>
                <m:sty m:val="bi"/>
              </m:rPr>
              <w:rPr>
                <w:rFonts w:ascii="Cambria Math" w:hAnsi="Cambria Math"/>
              </w:rPr>
              <m:t>M</m:t>
            </m:r>
            <m:ctrlPr>
              <w:rPr>
                <w:rFonts w:ascii="Cambria Math" w:hAnsi="Cambria Math"/>
                <w:b/>
              </w:rPr>
            </m:ctrlPr>
          </m:e>
          <m:sub>
            <m:r>
              <m:rPr>
                <m:nor/>
                <m:sty m:val="b"/>
              </m:rPr>
              <w:rPr>
                <w:b/>
              </w:rPr>
              <m:t>PDCCH</m:t>
            </m:r>
            <m:ctrlPr>
              <w:rPr>
                <w:rFonts w:ascii="Cambria Math" w:hAnsi="Cambria Math"/>
                <w:b/>
              </w:rPr>
            </m:ctrlPr>
          </m:sub>
          <m:sup>
            <m:r>
              <m:rPr>
                <m:nor/>
                <m:sty m:val="b"/>
              </m:rPr>
              <w:rPr>
                <w:b/>
              </w:rPr>
              <m:t>total,slot,</m:t>
            </m:r>
            <m:r>
              <m:rPr>
                <m:sty m:val="bi"/>
              </m:rPr>
              <w:rPr>
                <w:rFonts w:ascii="Cambria Math" w:hAnsi="Cambria Math"/>
              </w:rPr>
              <m:t>μ</m:t>
            </m:r>
            <m:ctrlPr>
              <w:rPr>
                <w:rFonts w:ascii="Cambria Math" w:hAnsi="Cambria Math"/>
                <w:b/>
              </w:rPr>
            </m:ctrlPr>
          </m:sup>
        </m:sSubSup>
      </m:oMath>
      <w:r>
        <w:rPr>
          <w:b/>
        </w:rPr>
        <w:t xml:space="preserve">and </w:t>
      </w:r>
      <m:oMath>
        <m:sSubSup>
          <m:sSubSupPr>
            <m:ctrlPr>
              <w:rPr>
                <w:rFonts w:ascii="Cambria Math" w:hAnsi="Cambria Math"/>
                <w:b/>
              </w:rPr>
            </m:ctrlPr>
          </m:sSubSupPr>
          <m:e>
            <m:r>
              <m:rPr>
                <m:sty m:val="bi"/>
              </m:rPr>
              <w:rPr>
                <w:rFonts w:ascii="Cambria Math" w:hAnsi="Cambria Math"/>
              </w:rPr>
              <m:t>M</m:t>
            </m:r>
            <m:ctrlPr>
              <w:rPr>
                <w:rFonts w:ascii="Cambria Math" w:hAnsi="Cambria Math"/>
                <w:b/>
              </w:rPr>
            </m:ctrlPr>
          </m:e>
          <m:sub>
            <m:r>
              <m:rPr>
                <m:nor/>
                <m:sty m:val="b"/>
              </m:rPr>
              <w:rPr>
                <w:b/>
              </w:rPr>
              <m:t>PDCCH</m:t>
            </m:r>
            <m:ctrlPr>
              <w:rPr>
                <w:rFonts w:ascii="Cambria Math" w:hAnsi="Cambria Math"/>
                <w:b/>
              </w:rPr>
            </m:ctrlPr>
          </m:sub>
          <m:sup>
            <m:r>
              <m:rPr>
                <m:nor/>
                <m:sty m:val="b"/>
              </m:rPr>
              <w:rPr>
                <w:b/>
              </w:rPr>
              <m:t>total,slot,</m:t>
            </m:r>
            <m:r>
              <m:rPr>
                <m:sty m:val="bi"/>
              </m:rPr>
              <w:rPr>
                <w:rFonts w:ascii="Cambria Math" w:hAnsi="Cambria Math"/>
              </w:rPr>
              <m:t>μ</m:t>
            </m:r>
            <m:r>
              <m:rPr>
                <m:sty m:val="b"/>
              </m:rPr>
              <w:rPr>
                <w:rFonts w:ascii="Cambria Math" w:hAnsi="Cambria Math"/>
              </w:rPr>
              <m:t>1</m:t>
            </m:r>
            <m:ctrlPr>
              <w:rPr>
                <w:rFonts w:ascii="Cambria Math" w:hAnsi="Cambria Math"/>
                <w:b/>
              </w:rPr>
            </m:ctrlPr>
          </m:sup>
        </m:sSubSup>
      </m:oMath>
      <w:r>
        <w:rPr>
          <w:rFonts w:hint="eastAsia"/>
          <w:b/>
          <w:lang w:eastAsia="zh-CN"/>
        </w:rPr>
        <w:t>,</w:t>
      </w:r>
      <w:r>
        <w:rPr>
          <w:b/>
          <w:lang w:eastAsia="zh-CN"/>
        </w:rPr>
        <w:t xml:space="preserve"> other s1 and s2 excluding s1=1 and s2=0 are not supported.</w:t>
      </w:r>
    </w:p>
    <w:p>
      <w:pPr>
        <w:jc w:val="both"/>
        <w:rPr>
          <w:b/>
          <w:bCs/>
          <w:lang w:val="en-US" w:eastAsia="zh-CN"/>
        </w:rPr>
      </w:pPr>
      <w:r>
        <w:rPr>
          <w:rFonts w:hint="eastAsia"/>
          <w:b/>
          <w:bCs/>
          <w:lang w:val="en-US" w:eastAsia="zh-CN"/>
        </w:rPr>
        <w:t xml:space="preserve">Proposal 2. </w:t>
      </w:r>
      <w:r>
        <w:rPr>
          <w:b/>
          <w:bCs/>
          <w:lang w:val="en-US" w:eastAsia="zh-CN"/>
        </w:rPr>
        <w:t>S</w:t>
      </w:r>
      <w:r>
        <w:rPr>
          <w:rFonts w:hint="eastAsia"/>
          <w:b/>
          <w:bCs/>
          <w:lang w:val="en-US" w:eastAsia="zh-CN"/>
        </w:rPr>
        <w:t>upport</w:t>
      </w:r>
      <w:r>
        <w:rPr>
          <w:b/>
          <w:bCs/>
          <w:lang w:val="en-US" w:eastAsia="zh-CN"/>
        </w:rPr>
        <w:t xml:space="preserve"> </w:t>
      </w:r>
      <w:r>
        <w:rPr>
          <w:rFonts w:hint="eastAsia"/>
          <w:b/>
          <w:bCs/>
          <w:lang w:val="en-US" w:eastAsia="zh-CN"/>
        </w:rPr>
        <w:t>A</w:t>
      </w:r>
      <w:r>
        <w:rPr>
          <w:b/>
          <w:bCs/>
          <w:lang w:val="en-US" w:eastAsia="zh-CN"/>
        </w:rPr>
        <w:t>pproach 2 for PDCCH monitoring and BD</w:t>
      </w:r>
      <w:r>
        <w:rPr>
          <w:rFonts w:hint="eastAsia"/>
          <w:b/>
          <w:bCs/>
          <w:lang w:val="en-US" w:eastAsia="zh-CN"/>
        </w:rPr>
        <w:t>/CCE</w:t>
      </w:r>
      <w:r>
        <w:rPr>
          <w:b/>
          <w:bCs/>
          <w:lang w:val="en-US" w:eastAsia="zh-CN"/>
        </w:rPr>
        <w:t xml:space="preserve"> limit handling for Type A UE </w:t>
      </w:r>
      <w:r>
        <w:rPr>
          <w:rFonts w:hint="eastAsia"/>
          <w:b/>
          <w:bCs/>
          <w:lang w:val="en-US" w:eastAsia="zh-CN"/>
        </w:rPr>
        <w:t>with</w:t>
      </w:r>
      <w:r>
        <w:rPr>
          <w:b/>
          <w:bCs/>
          <w:lang w:val="en-US" w:eastAsia="zh-CN"/>
        </w:rPr>
        <w:t xml:space="preserve"> O</w:t>
      </w:r>
      <w:r>
        <w:rPr>
          <w:rFonts w:hint="eastAsia"/>
          <w:b/>
          <w:bCs/>
          <w:lang w:val="en-US" w:eastAsia="zh-CN"/>
        </w:rPr>
        <w:t>ption</w:t>
      </w:r>
      <w:r>
        <w:rPr>
          <w:b/>
          <w:bCs/>
          <w:lang w:val="en-US" w:eastAsia="zh-CN"/>
        </w:rPr>
        <w:t xml:space="preserve"> E.</w:t>
      </w:r>
    </w:p>
    <w:p>
      <w:pPr>
        <w:pStyle w:val="134"/>
        <w:numPr>
          <w:ilvl w:val="0"/>
          <w:numId w:val="8"/>
        </w:numPr>
        <w:ind w:leftChars="0"/>
        <w:jc w:val="both"/>
        <w:rPr>
          <w:b/>
          <w:bCs/>
          <w:lang w:val="en-US" w:eastAsia="zh-CN"/>
        </w:rPr>
      </w:pPr>
      <w:r>
        <w:rPr>
          <w:b/>
          <w:bCs/>
          <w:lang w:val="en-US" w:eastAsia="zh-CN"/>
        </w:rPr>
        <w:t xml:space="preserve">All UEs (supporting cross-carrier scheduling from </w:t>
      </w:r>
      <w:r>
        <w:rPr>
          <w:rFonts w:hint="eastAsia"/>
          <w:b/>
          <w:bCs/>
          <w:lang w:val="en-US" w:eastAsia="zh-CN"/>
        </w:rPr>
        <w:t>s</w:t>
      </w:r>
      <w:r>
        <w:rPr>
          <w:b/>
          <w:bCs/>
          <w:lang w:val="en-US" w:eastAsia="zh-CN"/>
        </w:rPr>
        <w:t>SCell to PCell) can be configured with Type</w:t>
      </w:r>
      <w:r>
        <w:rPr>
          <w:rFonts w:hint="eastAsia"/>
          <w:b/>
          <w:bCs/>
          <w:lang w:val="en-US" w:eastAsia="zh-CN"/>
        </w:rPr>
        <w:t>-</w:t>
      </w:r>
      <w:r>
        <w:rPr>
          <w:b/>
          <w:bCs/>
          <w:lang w:val="en-US" w:eastAsia="zh-CN"/>
        </w:rPr>
        <w:t>0/0A/1/2</w:t>
      </w:r>
      <w:r>
        <w:rPr>
          <w:rFonts w:hint="eastAsia"/>
          <w:b/>
          <w:bCs/>
          <w:lang w:val="en-US" w:eastAsia="zh-CN"/>
        </w:rPr>
        <w:t>-</w:t>
      </w:r>
      <w:r>
        <w:rPr>
          <w:b/>
          <w:bCs/>
          <w:lang w:val="en-US" w:eastAsia="zh-CN"/>
        </w:rPr>
        <w:t>CSS sets on P(S)Cell that overlap with sSCell USS sets (for P(S)Cell scheduling)</w:t>
      </w:r>
    </w:p>
    <w:p>
      <w:pPr>
        <w:pStyle w:val="134"/>
        <w:numPr>
          <w:ilvl w:val="0"/>
          <w:numId w:val="8"/>
        </w:numPr>
        <w:ind w:leftChars="0"/>
        <w:jc w:val="both"/>
        <w:rPr>
          <w:b/>
          <w:bCs/>
          <w:lang w:val="en-US" w:eastAsia="zh-CN"/>
        </w:rPr>
      </w:pPr>
      <w:r>
        <w:rPr>
          <w:b/>
          <w:bCs/>
          <w:lang w:val="en-US" w:eastAsia="zh-CN"/>
        </w:rPr>
        <w:t>Type A UE drops the USS set(s) on sSCell (for P(S)Cell scheduling) that overlap in same [symbol/slot] as Type</w:t>
      </w:r>
      <w:r>
        <w:rPr>
          <w:rFonts w:hint="eastAsia"/>
          <w:b/>
          <w:bCs/>
          <w:lang w:val="en-US" w:eastAsia="zh-CN"/>
        </w:rPr>
        <w:t>-</w:t>
      </w:r>
      <w:r>
        <w:rPr>
          <w:b/>
          <w:bCs/>
          <w:lang w:val="en-US" w:eastAsia="zh-CN"/>
        </w:rPr>
        <w:t>0/0A/1/2</w:t>
      </w:r>
      <w:r>
        <w:rPr>
          <w:rFonts w:hint="eastAsia"/>
          <w:b/>
          <w:bCs/>
          <w:lang w:val="en-US" w:eastAsia="zh-CN"/>
        </w:rPr>
        <w:t>-</w:t>
      </w:r>
      <w:r>
        <w:rPr>
          <w:b/>
          <w:bCs/>
          <w:lang w:val="en-US" w:eastAsia="zh-CN"/>
        </w:rPr>
        <w:t xml:space="preserve">CSS sets on P(S)Cell. </w:t>
      </w:r>
    </w:p>
    <w:p>
      <w:pPr>
        <w:pStyle w:val="134"/>
        <w:numPr>
          <w:ilvl w:val="0"/>
          <w:numId w:val="8"/>
        </w:numPr>
        <w:ind w:leftChars="0"/>
        <w:jc w:val="both"/>
        <w:rPr>
          <w:b/>
          <w:bCs/>
          <w:lang w:val="en-US" w:eastAsia="zh-CN"/>
        </w:rPr>
      </w:pPr>
      <w:r>
        <w:rPr>
          <w:b/>
          <w:bCs/>
          <w:lang w:val="en-US" w:eastAsia="zh-CN"/>
        </w:rPr>
        <w:t xml:space="preserve">BD/CCE limit handling for Type A UE are based on Rel-16 without per-slot change </w:t>
      </w:r>
      <w:r>
        <w:rPr>
          <w:b/>
          <w:bCs/>
          <w:iCs/>
          <w:lang w:eastAsia="ko-KR"/>
        </w:rPr>
        <w:t xml:space="preserve">in </w:t>
      </w:r>
      <m:oMath>
        <m:sSubSup>
          <m:sSubSupPr>
            <m:ctrlPr>
              <w:rPr>
                <w:rFonts w:ascii="Cambria Math" w:hAnsi="Cambria Math" w:eastAsia="MS PGothic"/>
                <w:b/>
                <w:bCs/>
                <w:iCs/>
              </w:rPr>
            </m:ctrlPr>
          </m:sSubSupPr>
          <m:e>
            <m:r>
              <m:rPr>
                <m:sty m:val="b"/>
              </m:rPr>
              <w:rPr>
                <w:rFonts w:ascii="Cambria Math" w:hAnsi="Cambria Math"/>
              </w:rPr>
              <m:t>M</m:t>
            </m:r>
            <m:ctrlPr>
              <w:rPr>
                <w:rFonts w:ascii="Cambria Math" w:hAnsi="Cambria Math" w:eastAsia="MS PGothic"/>
                <w:b/>
                <w:bCs/>
                <w:iCs/>
              </w:rPr>
            </m:ctrlPr>
          </m:e>
          <m:sub>
            <m:r>
              <m:rPr>
                <m:sty m:val="b"/>
              </m:rPr>
              <w:rPr>
                <w:rFonts w:ascii="Cambria Math" w:hAnsi="Cambria Math"/>
              </w:rPr>
              <m:t>PDCCH</m:t>
            </m:r>
            <m:ctrlPr>
              <w:rPr>
                <w:rFonts w:ascii="Cambria Math" w:hAnsi="Cambria Math" w:eastAsia="MS PGothic"/>
                <w:b/>
                <w:bCs/>
                <w:iCs/>
              </w:rPr>
            </m:ctrlPr>
          </m:sub>
          <m:sup>
            <m:r>
              <m:rPr>
                <m:sty m:val="b"/>
              </m:rPr>
              <w:rPr>
                <w:rFonts w:ascii="Cambria Math" w:hAnsi="Cambria Math"/>
              </w:rPr>
              <m:t>total,slot,μ</m:t>
            </m:r>
            <m:ctrlPr>
              <w:rPr>
                <w:rFonts w:ascii="Cambria Math" w:hAnsi="Cambria Math" w:eastAsia="MS PGothic"/>
                <w:b/>
                <w:bCs/>
                <w:iCs/>
              </w:rPr>
            </m:ctrlPr>
          </m:sup>
        </m:sSubSup>
        <m:r>
          <m:rPr>
            <m:sty m:val="b"/>
          </m:rPr>
          <w:rPr>
            <w:rFonts w:ascii="Cambria Math" w:hAnsi="Cambria Math"/>
          </w:rPr>
          <m:t>/</m:t>
        </m:r>
        <m:sSubSup>
          <m:sSubSupPr>
            <m:ctrlPr>
              <w:rPr>
                <w:rFonts w:ascii="Cambria Math" w:hAnsi="Cambria Math" w:eastAsia="MS PGothic"/>
                <w:b/>
                <w:bCs/>
                <w:iCs/>
              </w:rPr>
            </m:ctrlPr>
          </m:sSubSupPr>
          <m:e>
            <m:r>
              <m:rPr>
                <m:sty m:val="b"/>
              </m:rPr>
              <w:rPr>
                <w:rFonts w:ascii="Cambria Math" w:hAnsi="Cambria Math"/>
              </w:rPr>
              <m:t>C</m:t>
            </m:r>
            <m:ctrlPr>
              <w:rPr>
                <w:rFonts w:ascii="Cambria Math" w:hAnsi="Cambria Math" w:eastAsia="MS PGothic"/>
                <w:b/>
                <w:bCs/>
                <w:iCs/>
              </w:rPr>
            </m:ctrlPr>
          </m:e>
          <m:sub>
            <m:r>
              <m:rPr>
                <m:sty m:val="b"/>
              </m:rPr>
              <w:rPr>
                <w:rFonts w:ascii="Cambria Math" w:hAnsi="Cambria Math"/>
              </w:rPr>
              <m:t>PDCCH</m:t>
            </m:r>
            <m:ctrlPr>
              <w:rPr>
                <w:rFonts w:ascii="Cambria Math" w:hAnsi="Cambria Math" w:eastAsia="MS PGothic"/>
                <w:b/>
                <w:bCs/>
                <w:iCs/>
              </w:rPr>
            </m:ctrlPr>
          </m:sub>
          <m:sup>
            <m:r>
              <m:rPr>
                <m:sty m:val="b"/>
              </m:rPr>
              <w:rPr>
                <w:rFonts w:ascii="Cambria Math" w:hAnsi="Cambria Math"/>
              </w:rPr>
              <m:t>total,slot,μ</m:t>
            </m:r>
            <m:ctrlPr>
              <w:rPr>
                <w:rFonts w:ascii="Cambria Math" w:hAnsi="Cambria Math" w:eastAsia="MS PGothic"/>
                <w:b/>
                <w:bCs/>
                <w:iCs/>
              </w:rPr>
            </m:ctrlPr>
          </m:sup>
        </m:sSubSup>
      </m:oMath>
      <w:r>
        <w:rPr>
          <w:b/>
          <w:bCs/>
          <w:iCs/>
        </w:rPr>
        <w:t xml:space="preserve"> and </w:t>
      </w:r>
      <m:oMath>
        <m:sSubSup>
          <m:sSubSupPr>
            <m:ctrlPr>
              <w:rPr>
                <w:rFonts w:ascii="Cambria Math" w:hAnsi="Cambria Math" w:eastAsia="MS PGothic"/>
                <w:b/>
                <w:bCs/>
                <w:iCs/>
              </w:rPr>
            </m:ctrlPr>
          </m:sSubSupPr>
          <m:e>
            <m:r>
              <m:rPr>
                <m:sty m:val="b"/>
              </m:rPr>
              <w:rPr>
                <w:rFonts w:ascii="Cambria Math" w:hAnsi="Cambria Math"/>
              </w:rPr>
              <m:t>M</m:t>
            </m:r>
            <m:ctrlPr>
              <w:rPr>
                <w:rFonts w:ascii="Cambria Math" w:hAnsi="Cambria Math" w:eastAsia="MS PGothic"/>
                <w:b/>
                <w:bCs/>
                <w:iCs/>
              </w:rPr>
            </m:ctrlPr>
          </m:e>
          <m:sub>
            <m:r>
              <m:rPr>
                <m:sty m:val="b"/>
              </m:rPr>
              <w:rPr>
                <w:rFonts w:ascii="Cambria Math" w:hAnsi="Cambria Math"/>
              </w:rPr>
              <m:t>PDCCH</m:t>
            </m:r>
            <m:ctrlPr>
              <w:rPr>
                <w:rFonts w:ascii="Cambria Math" w:hAnsi="Cambria Math" w:eastAsia="MS PGothic"/>
                <w:b/>
                <w:bCs/>
                <w:iCs/>
              </w:rPr>
            </m:ctrlPr>
          </m:sub>
          <m:sup>
            <m:r>
              <m:rPr>
                <m:sty m:val="b"/>
              </m:rPr>
              <w:rPr>
                <w:rFonts w:ascii="Cambria Math" w:hAnsi="Cambria Math"/>
              </w:rPr>
              <m:t>total,slot,μ1</m:t>
            </m:r>
            <m:ctrlPr>
              <w:rPr>
                <w:rFonts w:ascii="Cambria Math" w:hAnsi="Cambria Math" w:eastAsia="MS PGothic"/>
                <w:b/>
                <w:bCs/>
                <w:iCs/>
              </w:rPr>
            </m:ctrlPr>
          </m:sup>
        </m:sSubSup>
        <m:sSubSup>
          <m:sSubSupPr>
            <m:ctrlPr>
              <w:rPr>
                <w:rFonts w:ascii="Cambria Math" w:hAnsi="Cambria Math" w:eastAsia="MS PGothic"/>
                <w:b/>
                <w:bCs/>
                <w:iCs/>
              </w:rPr>
            </m:ctrlPr>
          </m:sSubSupPr>
          <m:e>
            <m:r>
              <m:rPr>
                <m:sty m:val="b"/>
              </m:rPr>
              <w:rPr>
                <w:rFonts w:ascii="Cambria Math" w:hAnsi="Cambria Math"/>
              </w:rPr>
              <m:t>/C</m:t>
            </m:r>
            <m:ctrlPr>
              <w:rPr>
                <w:rFonts w:ascii="Cambria Math" w:hAnsi="Cambria Math" w:eastAsia="MS PGothic"/>
                <w:b/>
                <w:bCs/>
                <w:iCs/>
              </w:rPr>
            </m:ctrlPr>
          </m:e>
          <m:sub>
            <m:r>
              <m:rPr>
                <m:sty m:val="b"/>
              </m:rPr>
              <w:rPr>
                <w:rFonts w:ascii="Cambria Math" w:hAnsi="Cambria Math"/>
              </w:rPr>
              <m:t>PDCCH</m:t>
            </m:r>
            <m:ctrlPr>
              <w:rPr>
                <w:rFonts w:ascii="Cambria Math" w:hAnsi="Cambria Math" w:eastAsia="MS PGothic"/>
                <w:b/>
                <w:bCs/>
                <w:iCs/>
              </w:rPr>
            </m:ctrlPr>
          </m:sub>
          <m:sup>
            <m:r>
              <m:rPr>
                <m:sty m:val="b"/>
              </m:rPr>
              <w:rPr>
                <w:rFonts w:ascii="Cambria Math" w:hAnsi="Cambria Math"/>
              </w:rPr>
              <m:t>total,slot,μ1</m:t>
            </m:r>
            <m:ctrlPr>
              <w:rPr>
                <w:rFonts w:ascii="Cambria Math" w:hAnsi="Cambria Math" w:eastAsia="MS PGothic"/>
                <w:b/>
                <w:bCs/>
                <w:iCs/>
              </w:rPr>
            </m:ctrlPr>
          </m:sup>
        </m:sSubSup>
      </m:oMath>
      <w:r>
        <w:rPr>
          <w:b/>
          <w:bCs/>
          <w:lang w:val="en-US" w:eastAsia="zh-CN"/>
        </w:rPr>
        <w:t>.</w:t>
      </w:r>
    </w:p>
    <w:p>
      <w:pPr>
        <w:jc w:val="both"/>
        <w:rPr>
          <w:b/>
          <w:bCs/>
          <w:lang w:eastAsia="zh-CN"/>
        </w:rPr>
      </w:pPr>
      <w:r>
        <w:rPr>
          <w:b/>
          <w:bCs/>
          <w:lang w:eastAsia="zh-CN"/>
        </w:rPr>
        <w:t xml:space="preserve">Proposal </w:t>
      </w:r>
      <w:r>
        <w:rPr>
          <w:rFonts w:hint="eastAsia"/>
          <w:b/>
          <w:bCs/>
          <w:lang w:val="en-US" w:eastAsia="zh-CN"/>
        </w:rPr>
        <w:t>3</w:t>
      </w:r>
      <w:r>
        <w:rPr>
          <w:b/>
          <w:bCs/>
          <w:lang w:eastAsia="zh-CN"/>
        </w:rPr>
        <w:t xml:space="preserve">. DCI format 2_5 can be monitored on PCell/PSCell or SCell as Rel-16. </w:t>
      </w:r>
    </w:p>
    <w:p>
      <w:pPr>
        <w:jc w:val="both"/>
        <w:rPr>
          <w:b/>
          <w:bCs/>
          <w:lang w:eastAsia="zh-CN"/>
        </w:rPr>
      </w:pPr>
    </w:p>
    <w:p>
      <w:pPr>
        <w:pStyle w:val="30"/>
        <w:numPr>
          <w:ilvl w:val="255"/>
          <w:numId w:val="0"/>
        </w:numPr>
        <w:jc w:val="both"/>
        <w:rPr>
          <w:rFonts w:eastAsiaTheme="minorEastAsia"/>
          <w:b/>
          <w:bCs/>
          <w:lang w:val="en-US" w:eastAsia="zh-CN"/>
        </w:rPr>
      </w:pPr>
      <w:r>
        <w:rPr>
          <w:rFonts w:hint="eastAsia" w:eastAsiaTheme="minorEastAsia"/>
          <w:b/>
          <w:bCs/>
          <w:lang w:eastAsia="zh-CN"/>
        </w:rPr>
        <w:t>Proposal</w:t>
      </w:r>
      <w:r>
        <w:rPr>
          <w:rFonts w:eastAsiaTheme="minorEastAsia"/>
          <w:b/>
          <w:bCs/>
          <w:lang w:eastAsia="zh-CN"/>
        </w:rPr>
        <w:t xml:space="preserve"> 4. For a linkage USS set which monitored on sSCell (for scheduling P(S)Cell), </w:t>
      </w:r>
      <w:r>
        <w:rPr>
          <w:rFonts w:eastAsiaTheme="minorEastAsia"/>
          <w:b/>
          <w:bCs/>
          <w:i/>
          <w:iCs/>
          <w:lang w:val="en-US" w:eastAsia="zh-CN"/>
        </w:rPr>
        <w:t>monitoringSlotPeriodicityAndOffset</w:t>
      </w:r>
      <w:r>
        <w:rPr>
          <w:rFonts w:hint="eastAsia" w:eastAsiaTheme="minorEastAsia"/>
          <w:b/>
          <w:bCs/>
          <w:lang w:val="en-US" w:eastAsia="zh-CN"/>
        </w:rPr>
        <w:t xml:space="preserve">, </w:t>
      </w:r>
      <w:r>
        <w:rPr>
          <w:rFonts w:eastAsiaTheme="minorEastAsia"/>
          <w:b/>
          <w:bCs/>
          <w:i/>
          <w:iCs/>
          <w:lang w:val="en-US" w:eastAsia="zh-CN"/>
        </w:rPr>
        <w:t>duration</w:t>
      </w:r>
      <w:r>
        <w:rPr>
          <w:rFonts w:hint="eastAsia" w:eastAsiaTheme="minorEastAsia"/>
          <w:b/>
          <w:bCs/>
          <w:lang w:val="en-US" w:eastAsia="zh-CN"/>
        </w:rPr>
        <w:t xml:space="preserve">, </w:t>
      </w:r>
      <w:r>
        <w:rPr>
          <w:rFonts w:eastAsiaTheme="minorEastAsia"/>
          <w:b/>
          <w:bCs/>
          <w:i/>
          <w:iCs/>
          <w:lang w:val="en-US" w:eastAsia="zh-CN"/>
        </w:rPr>
        <w:t xml:space="preserve">monitoringSymbolsWithinSlot </w:t>
      </w:r>
      <w:r>
        <w:rPr>
          <w:rFonts w:eastAsiaTheme="minorEastAsia"/>
          <w:b/>
          <w:bCs/>
          <w:lang w:val="en-US" w:eastAsia="zh-CN"/>
        </w:rPr>
        <w:t xml:space="preserve">can also be configured and </w:t>
      </w:r>
      <w:r>
        <w:rPr>
          <w:rFonts w:hint="eastAsia" w:eastAsiaTheme="minorEastAsia"/>
          <w:b/>
          <w:bCs/>
          <w:lang w:val="en-US" w:eastAsia="zh-CN"/>
        </w:rPr>
        <w:t xml:space="preserve">it </w:t>
      </w:r>
      <w:r>
        <w:rPr>
          <w:rFonts w:eastAsiaTheme="minorEastAsia"/>
          <w:b/>
          <w:bCs/>
          <w:lang w:val="en-US" w:eastAsia="zh-CN"/>
        </w:rPr>
        <w:t>can be monitored on P(S)Cell when sSC</w:t>
      </w:r>
      <w:r>
        <w:rPr>
          <w:rFonts w:hint="eastAsia" w:eastAsiaTheme="minorEastAsia"/>
          <w:b/>
          <w:bCs/>
          <w:lang w:val="en-US" w:eastAsia="zh-CN"/>
        </w:rPr>
        <w:t>ell</w:t>
      </w:r>
      <w:r>
        <w:rPr>
          <w:rFonts w:eastAsiaTheme="minorEastAsia"/>
          <w:b/>
          <w:bCs/>
          <w:lang w:val="en-US" w:eastAsia="zh-CN"/>
        </w:rPr>
        <w:t xml:space="preserve"> is deactivated or dormant.</w:t>
      </w:r>
    </w:p>
    <w:p>
      <w:pPr>
        <w:pStyle w:val="30"/>
        <w:numPr>
          <w:ilvl w:val="0"/>
          <w:numId w:val="10"/>
        </w:numPr>
        <w:jc w:val="both"/>
        <w:rPr>
          <w:rFonts w:eastAsiaTheme="minorEastAsia"/>
          <w:b/>
          <w:bCs/>
          <w:lang w:eastAsia="zh-CN"/>
        </w:rPr>
      </w:pPr>
      <w:r>
        <w:rPr>
          <w:rFonts w:hint="eastAsia" w:eastAsiaTheme="minorEastAsia"/>
          <w:b/>
          <w:bCs/>
          <w:lang w:eastAsia="zh-CN"/>
        </w:rPr>
        <w:t>W</w:t>
      </w:r>
      <w:r>
        <w:rPr>
          <w:rFonts w:eastAsiaTheme="minorEastAsia"/>
          <w:b/>
          <w:bCs/>
          <w:lang w:eastAsia="zh-CN"/>
        </w:rPr>
        <w:t>hen the linkage USS set is monitored on P(S)Cell, all parameters in search space configuration are applied.</w:t>
      </w:r>
    </w:p>
    <w:p>
      <w:pPr>
        <w:jc w:val="both"/>
        <w:rPr>
          <w:b/>
          <w:bCs/>
          <w:lang w:eastAsia="zh-CN"/>
        </w:rPr>
      </w:pPr>
      <w:r>
        <w:rPr>
          <w:b/>
          <w:bCs/>
          <w:highlight w:val="none"/>
          <w:lang w:eastAsia="zh-CN"/>
        </w:rPr>
        <w:t xml:space="preserve">Proposal </w:t>
      </w:r>
      <w:r>
        <w:rPr>
          <w:b/>
          <w:bCs/>
          <w:highlight w:val="none"/>
          <w:lang w:val="en-US" w:eastAsia="zh-CN"/>
        </w:rPr>
        <w:t>5</w:t>
      </w:r>
      <w:r>
        <w:rPr>
          <w:b/>
          <w:bCs/>
          <w:highlight w:val="none"/>
          <w:lang w:eastAsia="zh-CN"/>
        </w:rPr>
        <w:t>. Cross-carrier</w:t>
      </w:r>
      <w:r>
        <w:rPr>
          <w:b/>
          <w:bCs/>
          <w:highlight w:val="none"/>
          <w:lang w:val="en-US" w:eastAsia="zh-CN"/>
        </w:rPr>
        <w:t xml:space="preserve"> scheduling</w:t>
      </w:r>
      <w:r>
        <w:rPr>
          <w:b/>
          <w:bCs/>
          <w:highlight w:val="none"/>
          <w:lang w:eastAsia="zh-CN"/>
        </w:rPr>
        <w:t xml:space="preserve"> configuration can be configured per USS set for P</w:t>
      </w:r>
      <w:r>
        <w:rPr>
          <w:b/>
          <w:bCs/>
          <w:highlight w:val="none"/>
          <w:lang w:val="en-US" w:eastAsia="zh-CN"/>
        </w:rPr>
        <w:t>(S)</w:t>
      </w:r>
      <w:r>
        <w:rPr>
          <w:b/>
          <w:bCs/>
          <w:highlight w:val="none"/>
          <w:lang w:eastAsia="zh-CN"/>
        </w:rPr>
        <w:t xml:space="preserve">Cell, e.g., the information about whether this USS set is </w:t>
      </w:r>
      <w:r>
        <w:rPr>
          <w:b/>
          <w:bCs/>
          <w:highlight w:val="none"/>
          <w:lang w:val="en-US" w:eastAsia="zh-CN"/>
        </w:rPr>
        <w:t xml:space="preserve">used for </w:t>
      </w:r>
      <w:r>
        <w:rPr>
          <w:b/>
          <w:bCs/>
          <w:highlight w:val="none"/>
          <w:lang w:eastAsia="zh-CN"/>
        </w:rPr>
        <w:t>self-scheduling or used for cross-carrier scheduling when</w:t>
      </w:r>
      <w:r>
        <w:rPr>
          <w:rFonts w:hint="eastAsia"/>
          <w:b/>
          <w:bCs/>
          <w:highlight w:val="none"/>
          <w:lang w:val="en-US" w:eastAsia="zh-CN"/>
        </w:rPr>
        <w:t xml:space="preserve"> sSCell is activated/</w:t>
      </w:r>
      <w:r>
        <w:rPr>
          <w:b/>
          <w:bCs/>
          <w:highlight w:val="none"/>
          <w:lang w:val="en-US" w:eastAsia="zh-CN"/>
        </w:rPr>
        <w:t>non-</w:t>
      </w:r>
      <w:r>
        <w:rPr>
          <w:rFonts w:hint="eastAsia"/>
          <w:b/>
          <w:bCs/>
          <w:highlight w:val="none"/>
          <w:lang w:val="en-US" w:eastAsia="zh-CN"/>
        </w:rPr>
        <w:t>dormant</w:t>
      </w:r>
      <w:r>
        <w:rPr>
          <w:b/>
          <w:bCs/>
          <w:highlight w:val="none"/>
          <w:lang w:eastAsia="zh-CN"/>
        </w:rPr>
        <w:t xml:space="preserve"> but </w:t>
      </w:r>
      <w:r>
        <w:rPr>
          <w:b/>
          <w:bCs/>
          <w:highlight w:val="none"/>
          <w:lang w:val="en-US" w:eastAsia="zh-CN"/>
        </w:rPr>
        <w:t>can also be monitored on P(S)</w:t>
      </w:r>
      <w:r>
        <w:rPr>
          <w:rFonts w:hint="eastAsia"/>
          <w:b/>
          <w:bCs/>
          <w:highlight w:val="none"/>
          <w:lang w:val="en-US" w:eastAsia="zh-CN"/>
        </w:rPr>
        <w:t>C</w:t>
      </w:r>
      <w:r>
        <w:rPr>
          <w:b/>
          <w:bCs/>
          <w:highlight w:val="none"/>
          <w:lang w:val="en-US" w:eastAsia="zh-CN"/>
        </w:rPr>
        <w:t xml:space="preserve">ell only </w:t>
      </w:r>
      <w:r>
        <w:rPr>
          <w:rFonts w:hint="eastAsia"/>
          <w:b/>
          <w:bCs/>
          <w:highlight w:val="none"/>
          <w:lang w:val="en-US" w:eastAsia="zh-CN"/>
        </w:rPr>
        <w:t>when sSCell is deactivated/dormant</w:t>
      </w:r>
      <w:r>
        <w:rPr>
          <w:b/>
          <w:bCs/>
          <w:highlight w:val="none"/>
          <w:lang w:eastAsia="zh-CN"/>
        </w:rPr>
        <w:t>.</w:t>
      </w:r>
    </w:p>
    <w:p>
      <w:pPr>
        <w:pStyle w:val="2"/>
        <w:numPr>
          <w:ilvl w:val="0"/>
          <w:numId w:val="5"/>
        </w:numPr>
        <w:tabs>
          <w:tab w:val="left" w:pos="340"/>
        </w:tabs>
        <w:rPr>
          <w:rFonts w:ascii="Times New Roman" w:hAnsi="Times New Roman" w:eastAsiaTheme="minorEastAsia"/>
          <w:lang w:eastAsia="zh-CN"/>
        </w:rPr>
      </w:pPr>
      <w:r>
        <w:rPr>
          <w:rFonts w:ascii="Times New Roman" w:hAnsi="Times New Roman" w:eastAsiaTheme="minorEastAsia"/>
          <w:lang w:eastAsia="zh-CN"/>
        </w:rPr>
        <w:t>References</w:t>
      </w:r>
    </w:p>
    <w:p>
      <w:pPr>
        <w:pStyle w:val="134"/>
        <w:numPr>
          <w:ilvl w:val="0"/>
          <w:numId w:val="11"/>
        </w:numPr>
        <w:ind w:leftChars="0"/>
        <w:rPr>
          <w:rFonts w:ascii="Times New Roman" w:hAnsi="Times New Roman"/>
          <w:lang w:eastAsia="zh-CN"/>
        </w:rPr>
      </w:pPr>
      <w:r>
        <w:rPr>
          <w:rFonts w:ascii="Times New Roman" w:hAnsi="Times New Roman"/>
          <w:lang w:val="en-US" w:eastAsia="zh-CN"/>
        </w:rPr>
        <w:t>Chairman's Notes RAN1#10</w:t>
      </w:r>
      <w:r>
        <w:rPr>
          <w:rFonts w:hint="eastAsia" w:ascii="Times New Roman" w:hAnsi="Times New Roman"/>
          <w:lang w:val="en-US" w:eastAsia="zh-CN"/>
        </w:rPr>
        <w:t>6bis</w:t>
      </w:r>
      <w:r>
        <w:rPr>
          <w:rFonts w:ascii="Times New Roman" w:hAnsi="Times New Roman"/>
          <w:lang w:val="en-US" w:eastAsia="zh-CN"/>
        </w:rPr>
        <w:t>-e</w:t>
      </w:r>
    </w:p>
    <w:p>
      <w:pPr>
        <w:pStyle w:val="134"/>
        <w:numPr>
          <w:ilvl w:val="0"/>
          <w:numId w:val="11"/>
        </w:numPr>
        <w:ind w:leftChars="0"/>
        <w:rPr>
          <w:rFonts w:ascii="Times New Roman" w:hAnsi="Times New Roman"/>
          <w:bCs/>
          <w:lang w:eastAsia="zh-CN"/>
        </w:rPr>
      </w:pPr>
      <w:r>
        <w:rPr>
          <w:bCs/>
          <w:lang w:eastAsia="zh-CN"/>
        </w:rPr>
        <w:t>R1-21</w:t>
      </w:r>
      <w:r>
        <w:rPr>
          <w:rFonts w:hint="eastAsia"/>
          <w:bCs/>
          <w:lang w:val="en-US" w:eastAsia="zh-CN"/>
        </w:rPr>
        <w:t>10664</w:t>
      </w:r>
      <w:r>
        <w:rPr>
          <w:rFonts w:asciiTheme="minorEastAsia" w:hAnsiTheme="minorEastAsia" w:eastAsiaTheme="minorEastAsia"/>
          <w:bCs/>
          <w:lang w:eastAsia="zh-CN"/>
        </w:rPr>
        <w:t xml:space="preserve"> </w:t>
      </w:r>
      <w:r>
        <w:rPr>
          <w:rFonts w:hint="eastAsia"/>
          <w:bCs/>
          <w:lang w:eastAsia="zh-CN"/>
        </w:rPr>
        <w:t>Summary#4 of Email discussion [106bis-e-NR-DSS-01]</w:t>
      </w:r>
      <w:r>
        <w:rPr>
          <w:bCs/>
          <w:lang w:eastAsia="zh-CN"/>
        </w:rPr>
        <w:tab/>
      </w:r>
      <w:r>
        <w:rPr>
          <w:bCs/>
          <w:lang w:eastAsia="zh-CN"/>
        </w:rPr>
        <w:t>Moderator (Ericsson)</w:t>
      </w:r>
    </w:p>
    <w:p>
      <w:pPr>
        <w:pStyle w:val="134"/>
        <w:numPr>
          <w:ilvl w:val="0"/>
          <w:numId w:val="11"/>
        </w:numPr>
        <w:ind w:leftChars="0"/>
        <w:rPr>
          <w:rFonts w:ascii="Times New Roman" w:hAnsi="Times New Roman"/>
          <w:lang w:eastAsia="zh-CN"/>
        </w:rPr>
      </w:pPr>
      <w:r>
        <w:rPr>
          <w:rFonts w:ascii="Times New Roman" w:hAnsi="Times New Roman"/>
          <w:lang w:val="en-US" w:eastAsia="zh-CN"/>
        </w:rPr>
        <w:t>Chairman's Notes RAN1#105-e</w:t>
      </w:r>
    </w:p>
    <w:p>
      <w:pPr>
        <w:pStyle w:val="134"/>
        <w:ind w:left="0" w:leftChars="0" w:firstLine="0"/>
        <w:rPr>
          <w:rFonts w:ascii="Times New Roman" w:hAnsi="Times New Roman"/>
          <w:bCs/>
          <w:lang w:eastAsia="zh-CN"/>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1">
    <w:nsid w:val="17BD5D3D"/>
    <w:multiLevelType w:val="multilevel"/>
    <w:tmpl w:val="17BD5D3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4B12949"/>
    <w:multiLevelType w:val="multilevel"/>
    <w:tmpl w:val="34B1294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4">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E760149"/>
    <w:multiLevelType w:val="multilevel"/>
    <w:tmpl w:val="3E760149"/>
    <w:lvl w:ilvl="0" w:tentative="0">
      <w:start w:val="1"/>
      <w:numFmt w:val="bullet"/>
      <w:lvlText w:val=""/>
      <w:lvlJc w:val="left"/>
      <w:pPr>
        <w:ind w:left="420" w:hanging="420"/>
      </w:pPr>
      <w:rPr>
        <w:rFonts w:hint="default" w:ascii="Wingdings" w:hAnsi="Wingdings"/>
        <w:u w:val="none"/>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7">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8">
    <w:nsid w:val="576B6682"/>
    <w:multiLevelType w:val="multilevel"/>
    <w:tmpl w:val="576B668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11C20CF"/>
    <w:multiLevelType w:val="multilevel"/>
    <w:tmpl w:val="711C20C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0"/>
  </w:num>
  <w:num w:numId="3">
    <w:abstractNumId w:val="7"/>
  </w:num>
  <w:num w:numId="4">
    <w:abstractNumId w:val="3"/>
    <w:lvlOverride w:ilvl="0">
      <w:startOverride w:val="1"/>
    </w:lvlOverride>
  </w:num>
  <w:num w:numId="5">
    <w:abstractNumId w:val="6"/>
  </w:num>
  <w:num w:numId="6">
    <w:abstractNumId w:val="2"/>
  </w:num>
  <w:num w:numId="7">
    <w:abstractNumId w:val="8"/>
  </w:num>
  <w:num w:numId="8">
    <w:abstractNumId w:val="5"/>
  </w:num>
  <w:num w:numId="9">
    <w:abstractNumId w:val="1"/>
  </w:num>
  <w:num w:numId="10">
    <w:abstractNumId w:val="9"/>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isplayVerticalDrawingGridEvery w:val="0"/>
  <w:doNotUseMarginsForDrawingGridOrigin w:val="1"/>
  <w:drawingGridHorizontalOrigin w:val="1800"/>
  <w:drawingGridVerticalOrigin w:val="1440"/>
  <w:doNotShadeFormData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AB"/>
    <w:rsid w:val="000002B5"/>
    <w:rsid w:val="00000993"/>
    <w:rsid w:val="000010F6"/>
    <w:rsid w:val="00001843"/>
    <w:rsid w:val="000022B8"/>
    <w:rsid w:val="00002325"/>
    <w:rsid w:val="0000234E"/>
    <w:rsid w:val="00002D15"/>
    <w:rsid w:val="000030EB"/>
    <w:rsid w:val="000035F6"/>
    <w:rsid w:val="00004192"/>
    <w:rsid w:val="00004511"/>
    <w:rsid w:val="000047B7"/>
    <w:rsid w:val="00004A3E"/>
    <w:rsid w:val="00004ACC"/>
    <w:rsid w:val="00004C48"/>
    <w:rsid w:val="00004E10"/>
    <w:rsid w:val="00004EFB"/>
    <w:rsid w:val="00005833"/>
    <w:rsid w:val="00005AED"/>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6E6"/>
    <w:rsid w:val="00013FEF"/>
    <w:rsid w:val="0001459D"/>
    <w:rsid w:val="00014796"/>
    <w:rsid w:val="000154C2"/>
    <w:rsid w:val="00015753"/>
    <w:rsid w:val="00015902"/>
    <w:rsid w:val="00015A1C"/>
    <w:rsid w:val="00015A71"/>
    <w:rsid w:val="000164FB"/>
    <w:rsid w:val="00016C16"/>
    <w:rsid w:val="00016E91"/>
    <w:rsid w:val="000176A8"/>
    <w:rsid w:val="00017A1A"/>
    <w:rsid w:val="00017E82"/>
    <w:rsid w:val="00017E87"/>
    <w:rsid w:val="000201D1"/>
    <w:rsid w:val="00020FFA"/>
    <w:rsid w:val="0002184D"/>
    <w:rsid w:val="00021884"/>
    <w:rsid w:val="0002198E"/>
    <w:rsid w:val="00021A14"/>
    <w:rsid w:val="00022063"/>
    <w:rsid w:val="00022D93"/>
    <w:rsid w:val="000236E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546"/>
    <w:rsid w:val="0002764E"/>
    <w:rsid w:val="00027751"/>
    <w:rsid w:val="00027BD7"/>
    <w:rsid w:val="00027F10"/>
    <w:rsid w:val="00030361"/>
    <w:rsid w:val="000303C3"/>
    <w:rsid w:val="000303D4"/>
    <w:rsid w:val="000304E9"/>
    <w:rsid w:val="0003054D"/>
    <w:rsid w:val="000307DA"/>
    <w:rsid w:val="00030832"/>
    <w:rsid w:val="0003141C"/>
    <w:rsid w:val="000314A0"/>
    <w:rsid w:val="00031571"/>
    <w:rsid w:val="0003176E"/>
    <w:rsid w:val="000319B0"/>
    <w:rsid w:val="00031D46"/>
    <w:rsid w:val="00032478"/>
    <w:rsid w:val="000325C3"/>
    <w:rsid w:val="00032670"/>
    <w:rsid w:val="0003277B"/>
    <w:rsid w:val="00033635"/>
    <w:rsid w:val="000338D8"/>
    <w:rsid w:val="00033B1E"/>
    <w:rsid w:val="00033B55"/>
    <w:rsid w:val="00033F8F"/>
    <w:rsid w:val="0003420A"/>
    <w:rsid w:val="00034589"/>
    <w:rsid w:val="00034CDE"/>
    <w:rsid w:val="00034FF6"/>
    <w:rsid w:val="0003510D"/>
    <w:rsid w:val="00035340"/>
    <w:rsid w:val="0003569D"/>
    <w:rsid w:val="000357D4"/>
    <w:rsid w:val="00035904"/>
    <w:rsid w:val="00035BE7"/>
    <w:rsid w:val="000378BB"/>
    <w:rsid w:val="00037C7E"/>
    <w:rsid w:val="00041910"/>
    <w:rsid w:val="00041961"/>
    <w:rsid w:val="00041FCD"/>
    <w:rsid w:val="00042177"/>
    <w:rsid w:val="000421F9"/>
    <w:rsid w:val="000425B7"/>
    <w:rsid w:val="00042776"/>
    <w:rsid w:val="00042AFB"/>
    <w:rsid w:val="000439AF"/>
    <w:rsid w:val="00043B6C"/>
    <w:rsid w:val="00043C07"/>
    <w:rsid w:val="00043D95"/>
    <w:rsid w:val="00044469"/>
    <w:rsid w:val="00044C9A"/>
    <w:rsid w:val="000459EF"/>
    <w:rsid w:val="0004645D"/>
    <w:rsid w:val="000465B4"/>
    <w:rsid w:val="00046684"/>
    <w:rsid w:val="00046B84"/>
    <w:rsid w:val="00046D1E"/>
    <w:rsid w:val="00046E41"/>
    <w:rsid w:val="00046F98"/>
    <w:rsid w:val="00047156"/>
    <w:rsid w:val="00047647"/>
    <w:rsid w:val="00047C68"/>
    <w:rsid w:val="00047DE6"/>
    <w:rsid w:val="0005018F"/>
    <w:rsid w:val="00050402"/>
    <w:rsid w:val="00051A49"/>
    <w:rsid w:val="00051D76"/>
    <w:rsid w:val="00051ECF"/>
    <w:rsid w:val="00051FFE"/>
    <w:rsid w:val="00052319"/>
    <w:rsid w:val="000523A2"/>
    <w:rsid w:val="00052608"/>
    <w:rsid w:val="0005269D"/>
    <w:rsid w:val="000527C0"/>
    <w:rsid w:val="0005293E"/>
    <w:rsid w:val="00053B1F"/>
    <w:rsid w:val="00053EF4"/>
    <w:rsid w:val="00054810"/>
    <w:rsid w:val="000554C4"/>
    <w:rsid w:val="000555C4"/>
    <w:rsid w:val="00055D01"/>
    <w:rsid w:val="00055DE0"/>
    <w:rsid w:val="00055E7F"/>
    <w:rsid w:val="00056266"/>
    <w:rsid w:val="0005634E"/>
    <w:rsid w:val="00056941"/>
    <w:rsid w:val="000577CF"/>
    <w:rsid w:val="000578DE"/>
    <w:rsid w:val="000579CD"/>
    <w:rsid w:val="00057E3C"/>
    <w:rsid w:val="000604C3"/>
    <w:rsid w:val="0006063D"/>
    <w:rsid w:val="0006084A"/>
    <w:rsid w:val="00060B55"/>
    <w:rsid w:val="00061113"/>
    <w:rsid w:val="000612AB"/>
    <w:rsid w:val="00061756"/>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5E4"/>
    <w:rsid w:val="00065792"/>
    <w:rsid w:val="00065C0B"/>
    <w:rsid w:val="00065CBB"/>
    <w:rsid w:val="00065E7A"/>
    <w:rsid w:val="000661C0"/>
    <w:rsid w:val="00066550"/>
    <w:rsid w:val="00066D51"/>
    <w:rsid w:val="00067198"/>
    <w:rsid w:val="00067476"/>
    <w:rsid w:val="000679E1"/>
    <w:rsid w:val="00067DD2"/>
    <w:rsid w:val="000701A8"/>
    <w:rsid w:val="000702BE"/>
    <w:rsid w:val="000704DB"/>
    <w:rsid w:val="000707E7"/>
    <w:rsid w:val="00070961"/>
    <w:rsid w:val="00070BD2"/>
    <w:rsid w:val="00070C42"/>
    <w:rsid w:val="00072005"/>
    <w:rsid w:val="00072615"/>
    <w:rsid w:val="00072755"/>
    <w:rsid w:val="00072850"/>
    <w:rsid w:val="00072DB3"/>
    <w:rsid w:val="00072FB7"/>
    <w:rsid w:val="00073125"/>
    <w:rsid w:val="00073340"/>
    <w:rsid w:val="0007338E"/>
    <w:rsid w:val="00073448"/>
    <w:rsid w:val="0007425F"/>
    <w:rsid w:val="0007436C"/>
    <w:rsid w:val="000743C5"/>
    <w:rsid w:val="00074743"/>
    <w:rsid w:val="00075077"/>
    <w:rsid w:val="00075636"/>
    <w:rsid w:val="00076252"/>
    <w:rsid w:val="0007645E"/>
    <w:rsid w:val="00076678"/>
    <w:rsid w:val="00076A0C"/>
    <w:rsid w:val="00076A49"/>
    <w:rsid w:val="00076A88"/>
    <w:rsid w:val="00076B12"/>
    <w:rsid w:val="0007777E"/>
    <w:rsid w:val="000779AF"/>
    <w:rsid w:val="000779B8"/>
    <w:rsid w:val="00077D8A"/>
    <w:rsid w:val="00077D99"/>
    <w:rsid w:val="00077FBD"/>
    <w:rsid w:val="00080013"/>
    <w:rsid w:val="00080190"/>
    <w:rsid w:val="00080A62"/>
    <w:rsid w:val="00080FF4"/>
    <w:rsid w:val="0008191B"/>
    <w:rsid w:val="00081BC7"/>
    <w:rsid w:val="00081C2D"/>
    <w:rsid w:val="0008207F"/>
    <w:rsid w:val="00082126"/>
    <w:rsid w:val="0008232D"/>
    <w:rsid w:val="00082535"/>
    <w:rsid w:val="000829B4"/>
    <w:rsid w:val="00082A07"/>
    <w:rsid w:val="00083612"/>
    <w:rsid w:val="00083908"/>
    <w:rsid w:val="00083CC7"/>
    <w:rsid w:val="00084114"/>
    <w:rsid w:val="00084A00"/>
    <w:rsid w:val="00084BCD"/>
    <w:rsid w:val="00085276"/>
    <w:rsid w:val="00085FDC"/>
    <w:rsid w:val="00086C2A"/>
    <w:rsid w:val="00087062"/>
    <w:rsid w:val="0008718C"/>
    <w:rsid w:val="00087EB0"/>
    <w:rsid w:val="00090193"/>
    <w:rsid w:val="000906F7"/>
    <w:rsid w:val="00090784"/>
    <w:rsid w:val="00090ECB"/>
    <w:rsid w:val="00090FA4"/>
    <w:rsid w:val="0009129D"/>
    <w:rsid w:val="0009141A"/>
    <w:rsid w:val="000916AA"/>
    <w:rsid w:val="00091938"/>
    <w:rsid w:val="00091E6D"/>
    <w:rsid w:val="00092636"/>
    <w:rsid w:val="000928A2"/>
    <w:rsid w:val="00092B49"/>
    <w:rsid w:val="00092B6E"/>
    <w:rsid w:val="00092BD4"/>
    <w:rsid w:val="00093257"/>
    <w:rsid w:val="000934B7"/>
    <w:rsid w:val="00093D15"/>
    <w:rsid w:val="00093DA3"/>
    <w:rsid w:val="00093FC3"/>
    <w:rsid w:val="000943EE"/>
    <w:rsid w:val="000944C3"/>
    <w:rsid w:val="00094632"/>
    <w:rsid w:val="00094843"/>
    <w:rsid w:val="0009499B"/>
    <w:rsid w:val="00094EAA"/>
    <w:rsid w:val="000951F9"/>
    <w:rsid w:val="0009523D"/>
    <w:rsid w:val="00095D7E"/>
    <w:rsid w:val="00095E7D"/>
    <w:rsid w:val="00095FB3"/>
    <w:rsid w:val="00096346"/>
    <w:rsid w:val="00096641"/>
    <w:rsid w:val="0009672C"/>
    <w:rsid w:val="00096FDB"/>
    <w:rsid w:val="000976B9"/>
    <w:rsid w:val="000978D8"/>
    <w:rsid w:val="00097CD4"/>
    <w:rsid w:val="000A01A9"/>
    <w:rsid w:val="000A0446"/>
    <w:rsid w:val="000A04C9"/>
    <w:rsid w:val="000A09CC"/>
    <w:rsid w:val="000A13B3"/>
    <w:rsid w:val="000A1717"/>
    <w:rsid w:val="000A1887"/>
    <w:rsid w:val="000A188A"/>
    <w:rsid w:val="000A2144"/>
    <w:rsid w:val="000A2614"/>
    <w:rsid w:val="000A310A"/>
    <w:rsid w:val="000A33F0"/>
    <w:rsid w:val="000A3E82"/>
    <w:rsid w:val="000A4AD5"/>
    <w:rsid w:val="000A4CB0"/>
    <w:rsid w:val="000A511E"/>
    <w:rsid w:val="000A552F"/>
    <w:rsid w:val="000A55B3"/>
    <w:rsid w:val="000A5785"/>
    <w:rsid w:val="000A59E6"/>
    <w:rsid w:val="000A5ACB"/>
    <w:rsid w:val="000A5B15"/>
    <w:rsid w:val="000A5BC6"/>
    <w:rsid w:val="000A5E1D"/>
    <w:rsid w:val="000A680D"/>
    <w:rsid w:val="000A689F"/>
    <w:rsid w:val="000A68CA"/>
    <w:rsid w:val="000A6963"/>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9EC"/>
    <w:rsid w:val="000B4B8A"/>
    <w:rsid w:val="000B4BA1"/>
    <w:rsid w:val="000B4E17"/>
    <w:rsid w:val="000B4F59"/>
    <w:rsid w:val="000B5025"/>
    <w:rsid w:val="000B51F4"/>
    <w:rsid w:val="000B5558"/>
    <w:rsid w:val="000B5654"/>
    <w:rsid w:val="000B56A6"/>
    <w:rsid w:val="000B5EBC"/>
    <w:rsid w:val="000B5F05"/>
    <w:rsid w:val="000B61CD"/>
    <w:rsid w:val="000B624A"/>
    <w:rsid w:val="000B626A"/>
    <w:rsid w:val="000B6484"/>
    <w:rsid w:val="000B6E6F"/>
    <w:rsid w:val="000B7016"/>
    <w:rsid w:val="000B76CB"/>
    <w:rsid w:val="000B78B2"/>
    <w:rsid w:val="000B7E01"/>
    <w:rsid w:val="000B7E6E"/>
    <w:rsid w:val="000B7F30"/>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2EC"/>
    <w:rsid w:val="000C7317"/>
    <w:rsid w:val="000C7498"/>
    <w:rsid w:val="000C75C7"/>
    <w:rsid w:val="000C7885"/>
    <w:rsid w:val="000C7A7B"/>
    <w:rsid w:val="000C7BBD"/>
    <w:rsid w:val="000C7EA3"/>
    <w:rsid w:val="000C7FD4"/>
    <w:rsid w:val="000D00EE"/>
    <w:rsid w:val="000D0255"/>
    <w:rsid w:val="000D02A2"/>
    <w:rsid w:val="000D0590"/>
    <w:rsid w:val="000D0938"/>
    <w:rsid w:val="000D0977"/>
    <w:rsid w:val="000D0998"/>
    <w:rsid w:val="000D0DAF"/>
    <w:rsid w:val="000D0E0E"/>
    <w:rsid w:val="000D17ED"/>
    <w:rsid w:val="000D1AE9"/>
    <w:rsid w:val="000D1E54"/>
    <w:rsid w:val="000D250A"/>
    <w:rsid w:val="000D2A6B"/>
    <w:rsid w:val="000D3083"/>
    <w:rsid w:val="000D3303"/>
    <w:rsid w:val="000D3454"/>
    <w:rsid w:val="000D3541"/>
    <w:rsid w:val="000D38AD"/>
    <w:rsid w:val="000D3DD5"/>
    <w:rsid w:val="000D3E8D"/>
    <w:rsid w:val="000D46D5"/>
    <w:rsid w:val="000D488D"/>
    <w:rsid w:val="000D4913"/>
    <w:rsid w:val="000D4945"/>
    <w:rsid w:val="000D4AF3"/>
    <w:rsid w:val="000D4B45"/>
    <w:rsid w:val="000D4F8B"/>
    <w:rsid w:val="000D548A"/>
    <w:rsid w:val="000D580C"/>
    <w:rsid w:val="000D5DF4"/>
    <w:rsid w:val="000D5EA8"/>
    <w:rsid w:val="000D60C8"/>
    <w:rsid w:val="000D63FD"/>
    <w:rsid w:val="000D66B4"/>
    <w:rsid w:val="000D7308"/>
    <w:rsid w:val="000D743B"/>
    <w:rsid w:val="000D7521"/>
    <w:rsid w:val="000D7AF1"/>
    <w:rsid w:val="000E08B4"/>
    <w:rsid w:val="000E1047"/>
    <w:rsid w:val="000E13BE"/>
    <w:rsid w:val="000E199F"/>
    <w:rsid w:val="000E1CFB"/>
    <w:rsid w:val="000E24FD"/>
    <w:rsid w:val="000E265A"/>
    <w:rsid w:val="000E279A"/>
    <w:rsid w:val="000E2A3A"/>
    <w:rsid w:val="000E2D30"/>
    <w:rsid w:val="000E3175"/>
    <w:rsid w:val="000E33D0"/>
    <w:rsid w:val="000E3B82"/>
    <w:rsid w:val="000E3C78"/>
    <w:rsid w:val="000E3E84"/>
    <w:rsid w:val="000E4121"/>
    <w:rsid w:val="000E4B6C"/>
    <w:rsid w:val="000E4CC9"/>
    <w:rsid w:val="000E5060"/>
    <w:rsid w:val="000E52F0"/>
    <w:rsid w:val="000E57F9"/>
    <w:rsid w:val="000E59C2"/>
    <w:rsid w:val="000E5B7D"/>
    <w:rsid w:val="000E63C2"/>
    <w:rsid w:val="000E6461"/>
    <w:rsid w:val="000E68A2"/>
    <w:rsid w:val="000E7511"/>
    <w:rsid w:val="000E77BA"/>
    <w:rsid w:val="000E7869"/>
    <w:rsid w:val="000F04FD"/>
    <w:rsid w:val="000F0CC4"/>
    <w:rsid w:val="000F0D30"/>
    <w:rsid w:val="000F232A"/>
    <w:rsid w:val="000F24B9"/>
    <w:rsid w:val="000F2A2B"/>
    <w:rsid w:val="000F2FFD"/>
    <w:rsid w:val="000F33CF"/>
    <w:rsid w:val="000F36AD"/>
    <w:rsid w:val="000F3B1C"/>
    <w:rsid w:val="000F3B1D"/>
    <w:rsid w:val="000F3F10"/>
    <w:rsid w:val="000F41AF"/>
    <w:rsid w:val="000F457E"/>
    <w:rsid w:val="000F4DC5"/>
    <w:rsid w:val="000F5470"/>
    <w:rsid w:val="000F5471"/>
    <w:rsid w:val="000F5BC8"/>
    <w:rsid w:val="000F600C"/>
    <w:rsid w:val="000F60B1"/>
    <w:rsid w:val="000F70A2"/>
    <w:rsid w:val="000F740F"/>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1F2A"/>
    <w:rsid w:val="00102057"/>
    <w:rsid w:val="001023C5"/>
    <w:rsid w:val="00102A7F"/>
    <w:rsid w:val="00102EC1"/>
    <w:rsid w:val="0010302C"/>
    <w:rsid w:val="0010323F"/>
    <w:rsid w:val="001033D8"/>
    <w:rsid w:val="00103454"/>
    <w:rsid w:val="0010345D"/>
    <w:rsid w:val="00103804"/>
    <w:rsid w:val="00103B97"/>
    <w:rsid w:val="001044D8"/>
    <w:rsid w:val="00104A90"/>
    <w:rsid w:val="00104DA1"/>
    <w:rsid w:val="00105615"/>
    <w:rsid w:val="001059C3"/>
    <w:rsid w:val="001059DA"/>
    <w:rsid w:val="00105D65"/>
    <w:rsid w:val="00105F0F"/>
    <w:rsid w:val="001060B4"/>
    <w:rsid w:val="0010616C"/>
    <w:rsid w:val="001063B9"/>
    <w:rsid w:val="0010670F"/>
    <w:rsid w:val="001074B7"/>
    <w:rsid w:val="001102EE"/>
    <w:rsid w:val="001106EC"/>
    <w:rsid w:val="00110D44"/>
    <w:rsid w:val="00111297"/>
    <w:rsid w:val="00111B7A"/>
    <w:rsid w:val="001129BE"/>
    <w:rsid w:val="00112B32"/>
    <w:rsid w:val="00112F55"/>
    <w:rsid w:val="001134A5"/>
    <w:rsid w:val="0011409D"/>
    <w:rsid w:val="0011570A"/>
    <w:rsid w:val="0011575F"/>
    <w:rsid w:val="001157A4"/>
    <w:rsid w:val="00115B1B"/>
    <w:rsid w:val="00115B59"/>
    <w:rsid w:val="00115E68"/>
    <w:rsid w:val="00116662"/>
    <w:rsid w:val="00116693"/>
    <w:rsid w:val="00116891"/>
    <w:rsid w:val="00116DB0"/>
    <w:rsid w:val="001177C7"/>
    <w:rsid w:val="001201AA"/>
    <w:rsid w:val="001202FA"/>
    <w:rsid w:val="0012047A"/>
    <w:rsid w:val="001208B6"/>
    <w:rsid w:val="001208CA"/>
    <w:rsid w:val="0012171B"/>
    <w:rsid w:val="00121930"/>
    <w:rsid w:val="00121B8F"/>
    <w:rsid w:val="00121D45"/>
    <w:rsid w:val="00121EAA"/>
    <w:rsid w:val="00121EBC"/>
    <w:rsid w:val="00121FA9"/>
    <w:rsid w:val="0012222C"/>
    <w:rsid w:val="001222BD"/>
    <w:rsid w:val="0012230A"/>
    <w:rsid w:val="0012258B"/>
    <w:rsid w:val="00122650"/>
    <w:rsid w:val="00122AD2"/>
    <w:rsid w:val="00122D83"/>
    <w:rsid w:val="00123ADA"/>
    <w:rsid w:val="001241F3"/>
    <w:rsid w:val="00125120"/>
    <w:rsid w:val="00125382"/>
    <w:rsid w:val="0012542E"/>
    <w:rsid w:val="00125486"/>
    <w:rsid w:val="00125773"/>
    <w:rsid w:val="001257DC"/>
    <w:rsid w:val="001259EB"/>
    <w:rsid w:val="0012601B"/>
    <w:rsid w:val="00126282"/>
    <w:rsid w:val="001268EA"/>
    <w:rsid w:val="00126A51"/>
    <w:rsid w:val="00126E0C"/>
    <w:rsid w:val="00127176"/>
    <w:rsid w:val="001273DB"/>
    <w:rsid w:val="0012768A"/>
    <w:rsid w:val="001279F0"/>
    <w:rsid w:val="00127EC1"/>
    <w:rsid w:val="0013032A"/>
    <w:rsid w:val="001304A1"/>
    <w:rsid w:val="00130EEB"/>
    <w:rsid w:val="0013139A"/>
    <w:rsid w:val="001319E3"/>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2"/>
    <w:rsid w:val="00135AF6"/>
    <w:rsid w:val="00136157"/>
    <w:rsid w:val="00136662"/>
    <w:rsid w:val="00136964"/>
    <w:rsid w:val="00136EFF"/>
    <w:rsid w:val="00137562"/>
    <w:rsid w:val="00137835"/>
    <w:rsid w:val="00137F5C"/>
    <w:rsid w:val="001403BE"/>
    <w:rsid w:val="001405A0"/>
    <w:rsid w:val="00140B19"/>
    <w:rsid w:val="00140B9D"/>
    <w:rsid w:val="00140F0D"/>
    <w:rsid w:val="00140F47"/>
    <w:rsid w:val="00140FF7"/>
    <w:rsid w:val="00141281"/>
    <w:rsid w:val="0014139A"/>
    <w:rsid w:val="00141B0A"/>
    <w:rsid w:val="00142687"/>
    <w:rsid w:val="00142810"/>
    <w:rsid w:val="00142E8E"/>
    <w:rsid w:val="00142F3F"/>
    <w:rsid w:val="001436C9"/>
    <w:rsid w:val="00143C46"/>
    <w:rsid w:val="00143CE3"/>
    <w:rsid w:val="00143D6A"/>
    <w:rsid w:val="00144B25"/>
    <w:rsid w:val="00144E53"/>
    <w:rsid w:val="00145011"/>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2226"/>
    <w:rsid w:val="0015279F"/>
    <w:rsid w:val="0015317A"/>
    <w:rsid w:val="001531E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0308"/>
    <w:rsid w:val="00161386"/>
    <w:rsid w:val="00162044"/>
    <w:rsid w:val="00162129"/>
    <w:rsid w:val="00162285"/>
    <w:rsid w:val="001627CB"/>
    <w:rsid w:val="00162999"/>
    <w:rsid w:val="00163BA9"/>
    <w:rsid w:val="001641B7"/>
    <w:rsid w:val="00164A98"/>
    <w:rsid w:val="00164AAB"/>
    <w:rsid w:val="00165284"/>
    <w:rsid w:val="00165429"/>
    <w:rsid w:val="001656FA"/>
    <w:rsid w:val="001658D1"/>
    <w:rsid w:val="00165DC5"/>
    <w:rsid w:val="00165F2F"/>
    <w:rsid w:val="00166B86"/>
    <w:rsid w:val="00166C08"/>
    <w:rsid w:val="00167BCA"/>
    <w:rsid w:val="00170A7C"/>
    <w:rsid w:val="00171291"/>
    <w:rsid w:val="00171308"/>
    <w:rsid w:val="00171752"/>
    <w:rsid w:val="001719C6"/>
    <w:rsid w:val="00171D20"/>
    <w:rsid w:val="001728A1"/>
    <w:rsid w:val="00172A27"/>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6EE"/>
    <w:rsid w:val="00177BD5"/>
    <w:rsid w:val="001808BD"/>
    <w:rsid w:val="00180CD3"/>
    <w:rsid w:val="0018139F"/>
    <w:rsid w:val="0018145E"/>
    <w:rsid w:val="00181571"/>
    <w:rsid w:val="00181B40"/>
    <w:rsid w:val="00181BB0"/>
    <w:rsid w:val="001823B6"/>
    <w:rsid w:val="00182E34"/>
    <w:rsid w:val="00182F7A"/>
    <w:rsid w:val="0018368F"/>
    <w:rsid w:val="00184678"/>
    <w:rsid w:val="0018471A"/>
    <w:rsid w:val="00184912"/>
    <w:rsid w:val="00184F5F"/>
    <w:rsid w:val="00185B10"/>
    <w:rsid w:val="0018677D"/>
    <w:rsid w:val="00186816"/>
    <w:rsid w:val="00186C71"/>
    <w:rsid w:val="00186E32"/>
    <w:rsid w:val="00186E88"/>
    <w:rsid w:val="001875CA"/>
    <w:rsid w:val="001877C3"/>
    <w:rsid w:val="00187CE5"/>
    <w:rsid w:val="0019077B"/>
    <w:rsid w:val="00190D90"/>
    <w:rsid w:val="00191077"/>
    <w:rsid w:val="001912BA"/>
    <w:rsid w:val="001912C6"/>
    <w:rsid w:val="00191677"/>
    <w:rsid w:val="00192051"/>
    <w:rsid w:val="00192363"/>
    <w:rsid w:val="001926F4"/>
    <w:rsid w:val="001932EA"/>
    <w:rsid w:val="001936C5"/>
    <w:rsid w:val="001937CC"/>
    <w:rsid w:val="00193DB0"/>
    <w:rsid w:val="001943B9"/>
    <w:rsid w:val="001945BF"/>
    <w:rsid w:val="0019464E"/>
    <w:rsid w:val="00194771"/>
    <w:rsid w:val="00195639"/>
    <w:rsid w:val="00195AE6"/>
    <w:rsid w:val="00195B0B"/>
    <w:rsid w:val="001963FD"/>
    <w:rsid w:val="001968C0"/>
    <w:rsid w:val="001973E2"/>
    <w:rsid w:val="00197EA3"/>
    <w:rsid w:val="001A04FC"/>
    <w:rsid w:val="001A069F"/>
    <w:rsid w:val="001A0D32"/>
    <w:rsid w:val="001A0EB4"/>
    <w:rsid w:val="001A1047"/>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7C7"/>
    <w:rsid w:val="001A6F3C"/>
    <w:rsid w:val="001A7691"/>
    <w:rsid w:val="001A7958"/>
    <w:rsid w:val="001A7B33"/>
    <w:rsid w:val="001A7CD9"/>
    <w:rsid w:val="001A7FDF"/>
    <w:rsid w:val="001B0134"/>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C2E"/>
    <w:rsid w:val="001B5E69"/>
    <w:rsid w:val="001B5FB6"/>
    <w:rsid w:val="001B6B57"/>
    <w:rsid w:val="001B7021"/>
    <w:rsid w:val="001B70A3"/>
    <w:rsid w:val="001B74A5"/>
    <w:rsid w:val="001B74E2"/>
    <w:rsid w:val="001B75B8"/>
    <w:rsid w:val="001B7BCA"/>
    <w:rsid w:val="001B7C6B"/>
    <w:rsid w:val="001B7C7B"/>
    <w:rsid w:val="001B7D04"/>
    <w:rsid w:val="001C0469"/>
    <w:rsid w:val="001C1606"/>
    <w:rsid w:val="001C1BDF"/>
    <w:rsid w:val="001C1E16"/>
    <w:rsid w:val="001C2216"/>
    <w:rsid w:val="001C2BF8"/>
    <w:rsid w:val="001C3889"/>
    <w:rsid w:val="001C38DE"/>
    <w:rsid w:val="001C4475"/>
    <w:rsid w:val="001C4BD5"/>
    <w:rsid w:val="001C4C41"/>
    <w:rsid w:val="001C4C60"/>
    <w:rsid w:val="001C4E4E"/>
    <w:rsid w:val="001C5329"/>
    <w:rsid w:val="001C5339"/>
    <w:rsid w:val="001C58A7"/>
    <w:rsid w:val="001C5A35"/>
    <w:rsid w:val="001C5D63"/>
    <w:rsid w:val="001C5FAE"/>
    <w:rsid w:val="001C6328"/>
    <w:rsid w:val="001C659F"/>
    <w:rsid w:val="001C67C3"/>
    <w:rsid w:val="001C6807"/>
    <w:rsid w:val="001C7503"/>
    <w:rsid w:val="001C7655"/>
    <w:rsid w:val="001C76F0"/>
    <w:rsid w:val="001C77D5"/>
    <w:rsid w:val="001C7A36"/>
    <w:rsid w:val="001C7FB7"/>
    <w:rsid w:val="001D0188"/>
    <w:rsid w:val="001D01A1"/>
    <w:rsid w:val="001D01B1"/>
    <w:rsid w:val="001D050D"/>
    <w:rsid w:val="001D0CB3"/>
    <w:rsid w:val="001D0E76"/>
    <w:rsid w:val="001D0EB1"/>
    <w:rsid w:val="001D11AE"/>
    <w:rsid w:val="001D12E7"/>
    <w:rsid w:val="001D1A96"/>
    <w:rsid w:val="001D1CED"/>
    <w:rsid w:val="001D309D"/>
    <w:rsid w:val="001D31D0"/>
    <w:rsid w:val="001D3B76"/>
    <w:rsid w:val="001D4711"/>
    <w:rsid w:val="001D5012"/>
    <w:rsid w:val="001D53AB"/>
    <w:rsid w:val="001D55A2"/>
    <w:rsid w:val="001D56A0"/>
    <w:rsid w:val="001D56BB"/>
    <w:rsid w:val="001D592F"/>
    <w:rsid w:val="001D5F16"/>
    <w:rsid w:val="001D60B3"/>
    <w:rsid w:val="001D6142"/>
    <w:rsid w:val="001D6200"/>
    <w:rsid w:val="001D62AA"/>
    <w:rsid w:val="001D6836"/>
    <w:rsid w:val="001D6871"/>
    <w:rsid w:val="001D69F2"/>
    <w:rsid w:val="001D79E4"/>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615E"/>
    <w:rsid w:val="001E62CA"/>
    <w:rsid w:val="001E66B3"/>
    <w:rsid w:val="001E6A74"/>
    <w:rsid w:val="001E6CDC"/>
    <w:rsid w:val="001E6D3A"/>
    <w:rsid w:val="001E6DD7"/>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4FA"/>
    <w:rsid w:val="001F4644"/>
    <w:rsid w:val="001F4803"/>
    <w:rsid w:val="001F4E2C"/>
    <w:rsid w:val="001F4FDF"/>
    <w:rsid w:val="001F51CC"/>
    <w:rsid w:val="001F52BC"/>
    <w:rsid w:val="001F537C"/>
    <w:rsid w:val="001F57C5"/>
    <w:rsid w:val="001F5A20"/>
    <w:rsid w:val="001F5B65"/>
    <w:rsid w:val="001F5BD7"/>
    <w:rsid w:val="001F659B"/>
    <w:rsid w:val="001F663A"/>
    <w:rsid w:val="001F66AF"/>
    <w:rsid w:val="001F6728"/>
    <w:rsid w:val="001F6770"/>
    <w:rsid w:val="001F6798"/>
    <w:rsid w:val="001F6D8B"/>
    <w:rsid w:val="001F7BBF"/>
    <w:rsid w:val="0020015E"/>
    <w:rsid w:val="0020062B"/>
    <w:rsid w:val="00200D92"/>
    <w:rsid w:val="00201A94"/>
    <w:rsid w:val="00201B59"/>
    <w:rsid w:val="00201C72"/>
    <w:rsid w:val="00201D53"/>
    <w:rsid w:val="00201DD6"/>
    <w:rsid w:val="0020210F"/>
    <w:rsid w:val="002022AC"/>
    <w:rsid w:val="002027A1"/>
    <w:rsid w:val="00203243"/>
    <w:rsid w:val="002038B5"/>
    <w:rsid w:val="0020400D"/>
    <w:rsid w:val="0020406E"/>
    <w:rsid w:val="002041AE"/>
    <w:rsid w:val="00204C28"/>
    <w:rsid w:val="002057AF"/>
    <w:rsid w:val="00205997"/>
    <w:rsid w:val="00205C45"/>
    <w:rsid w:val="0020621D"/>
    <w:rsid w:val="0020645E"/>
    <w:rsid w:val="002065BD"/>
    <w:rsid w:val="00206C73"/>
    <w:rsid w:val="00206DB2"/>
    <w:rsid w:val="00206E24"/>
    <w:rsid w:val="00206F8D"/>
    <w:rsid w:val="00206FEA"/>
    <w:rsid w:val="002072A7"/>
    <w:rsid w:val="002072CD"/>
    <w:rsid w:val="00207860"/>
    <w:rsid w:val="00207B6A"/>
    <w:rsid w:val="00207DA7"/>
    <w:rsid w:val="002111F5"/>
    <w:rsid w:val="00211B26"/>
    <w:rsid w:val="00212283"/>
    <w:rsid w:val="00212732"/>
    <w:rsid w:val="00212733"/>
    <w:rsid w:val="00212781"/>
    <w:rsid w:val="002128A4"/>
    <w:rsid w:val="0021293E"/>
    <w:rsid w:val="00212A81"/>
    <w:rsid w:val="00212C39"/>
    <w:rsid w:val="002136B8"/>
    <w:rsid w:val="0021385B"/>
    <w:rsid w:val="00213F12"/>
    <w:rsid w:val="00214215"/>
    <w:rsid w:val="0021429E"/>
    <w:rsid w:val="002143C4"/>
    <w:rsid w:val="00214A4F"/>
    <w:rsid w:val="00214FBC"/>
    <w:rsid w:val="00214FFA"/>
    <w:rsid w:val="002152E7"/>
    <w:rsid w:val="002156CC"/>
    <w:rsid w:val="002158CE"/>
    <w:rsid w:val="00215B55"/>
    <w:rsid w:val="0021689F"/>
    <w:rsid w:val="00216A86"/>
    <w:rsid w:val="00216D80"/>
    <w:rsid w:val="00216EA5"/>
    <w:rsid w:val="00217002"/>
    <w:rsid w:val="00217431"/>
    <w:rsid w:val="00217701"/>
    <w:rsid w:val="00217CAD"/>
    <w:rsid w:val="00217CBE"/>
    <w:rsid w:val="0022005C"/>
    <w:rsid w:val="002208C9"/>
    <w:rsid w:val="00220928"/>
    <w:rsid w:val="00221063"/>
    <w:rsid w:val="00221571"/>
    <w:rsid w:val="0022159C"/>
    <w:rsid w:val="00221603"/>
    <w:rsid w:val="0022164F"/>
    <w:rsid w:val="00221B3A"/>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1A72"/>
    <w:rsid w:val="0023203C"/>
    <w:rsid w:val="0023282E"/>
    <w:rsid w:val="00232B6D"/>
    <w:rsid w:val="002331FB"/>
    <w:rsid w:val="002333FA"/>
    <w:rsid w:val="002338CB"/>
    <w:rsid w:val="002339AE"/>
    <w:rsid w:val="00234736"/>
    <w:rsid w:val="002347BE"/>
    <w:rsid w:val="00234B71"/>
    <w:rsid w:val="00235263"/>
    <w:rsid w:val="00235668"/>
    <w:rsid w:val="00235A7F"/>
    <w:rsid w:val="00235CA6"/>
    <w:rsid w:val="00236047"/>
    <w:rsid w:val="00236870"/>
    <w:rsid w:val="002368CA"/>
    <w:rsid w:val="00236BDB"/>
    <w:rsid w:val="00236E1C"/>
    <w:rsid w:val="0023716A"/>
    <w:rsid w:val="00237291"/>
    <w:rsid w:val="00237491"/>
    <w:rsid w:val="00237B7A"/>
    <w:rsid w:val="002401FA"/>
    <w:rsid w:val="00240793"/>
    <w:rsid w:val="002410DA"/>
    <w:rsid w:val="00241B74"/>
    <w:rsid w:val="00241D8C"/>
    <w:rsid w:val="00241DBF"/>
    <w:rsid w:val="002421FB"/>
    <w:rsid w:val="00242406"/>
    <w:rsid w:val="002426E5"/>
    <w:rsid w:val="002426FE"/>
    <w:rsid w:val="0024303A"/>
    <w:rsid w:val="002437E6"/>
    <w:rsid w:val="00243B78"/>
    <w:rsid w:val="002442DD"/>
    <w:rsid w:val="00244956"/>
    <w:rsid w:val="0024519E"/>
    <w:rsid w:val="00245246"/>
    <w:rsid w:val="002453F3"/>
    <w:rsid w:val="00245603"/>
    <w:rsid w:val="002457C4"/>
    <w:rsid w:val="00245A97"/>
    <w:rsid w:val="00245DE6"/>
    <w:rsid w:val="00246051"/>
    <w:rsid w:val="00246137"/>
    <w:rsid w:val="00246245"/>
    <w:rsid w:val="0024643C"/>
    <w:rsid w:val="002464A7"/>
    <w:rsid w:val="002467CB"/>
    <w:rsid w:val="002468BE"/>
    <w:rsid w:val="00246D54"/>
    <w:rsid w:val="002473C0"/>
    <w:rsid w:val="002475A6"/>
    <w:rsid w:val="002475FE"/>
    <w:rsid w:val="002478B3"/>
    <w:rsid w:val="00247AD6"/>
    <w:rsid w:val="00247C54"/>
    <w:rsid w:val="00247D81"/>
    <w:rsid w:val="00247F46"/>
    <w:rsid w:val="00247FA8"/>
    <w:rsid w:val="00250096"/>
    <w:rsid w:val="00250575"/>
    <w:rsid w:val="00250C0A"/>
    <w:rsid w:val="00250D91"/>
    <w:rsid w:val="00251247"/>
    <w:rsid w:val="002518E3"/>
    <w:rsid w:val="00251A7C"/>
    <w:rsid w:val="00251D86"/>
    <w:rsid w:val="00252177"/>
    <w:rsid w:val="00252368"/>
    <w:rsid w:val="002526F3"/>
    <w:rsid w:val="00252738"/>
    <w:rsid w:val="002529AD"/>
    <w:rsid w:val="002531DC"/>
    <w:rsid w:val="002533DA"/>
    <w:rsid w:val="00254080"/>
    <w:rsid w:val="00254B03"/>
    <w:rsid w:val="00254BB4"/>
    <w:rsid w:val="00255174"/>
    <w:rsid w:val="00255214"/>
    <w:rsid w:val="00255CDA"/>
    <w:rsid w:val="002576A6"/>
    <w:rsid w:val="002579B1"/>
    <w:rsid w:val="00257B6E"/>
    <w:rsid w:val="00257B75"/>
    <w:rsid w:val="00257E6C"/>
    <w:rsid w:val="00260047"/>
    <w:rsid w:val="0026017B"/>
    <w:rsid w:val="002606F9"/>
    <w:rsid w:val="0026161F"/>
    <w:rsid w:val="00261E59"/>
    <w:rsid w:val="002621D8"/>
    <w:rsid w:val="002628D8"/>
    <w:rsid w:val="00262E21"/>
    <w:rsid w:val="00263016"/>
    <w:rsid w:val="00263221"/>
    <w:rsid w:val="00263299"/>
    <w:rsid w:val="0026355E"/>
    <w:rsid w:val="0026368A"/>
    <w:rsid w:val="00263734"/>
    <w:rsid w:val="00263C26"/>
    <w:rsid w:val="00263F44"/>
    <w:rsid w:val="00264FD7"/>
    <w:rsid w:val="00265403"/>
    <w:rsid w:val="00265DB0"/>
    <w:rsid w:val="00265E2F"/>
    <w:rsid w:val="00266CD3"/>
    <w:rsid w:val="00266E8C"/>
    <w:rsid w:val="00267A2D"/>
    <w:rsid w:val="00267D93"/>
    <w:rsid w:val="00267EDB"/>
    <w:rsid w:val="0027032D"/>
    <w:rsid w:val="0027074A"/>
    <w:rsid w:val="00270AF3"/>
    <w:rsid w:val="002716B2"/>
    <w:rsid w:val="00271732"/>
    <w:rsid w:val="002724E0"/>
    <w:rsid w:val="002727FB"/>
    <w:rsid w:val="00272A47"/>
    <w:rsid w:val="0027344E"/>
    <w:rsid w:val="0027347E"/>
    <w:rsid w:val="00273E15"/>
    <w:rsid w:val="0027405C"/>
    <w:rsid w:val="0027409B"/>
    <w:rsid w:val="00274341"/>
    <w:rsid w:val="00275167"/>
    <w:rsid w:val="002754DA"/>
    <w:rsid w:val="00275C1F"/>
    <w:rsid w:val="00275DA9"/>
    <w:rsid w:val="0027641A"/>
    <w:rsid w:val="002766BB"/>
    <w:rsid w:val="00276912"/>
    <w:rsid w:val="00276B0B"/>
    <w:rsid w:val="00276B3E"/>
    <w:rsid w:val="00276E4C"/>
    <w:rsid w:val="00277290"/>
    <w:rsid w:val="0027773A"/>
    <w:rsid w:val="00277D32"/>
    <w:rsid w:val="0028017B"/>
    <w:rsid w:val="0028036B"/>
    <w:rsid w:val="0028065E"/>
    <w:rsid w:val="00280B8B"/>
    <w:rsid w:val="002814DB"/>
    <w:rsid w:val="00281867"/>
    <w:rsid w:val="00281E53"/>
    <w:rsid w:val="00281E88"/>
    <w:rsid w:val="00282D81"/>
    <w:rsid w:val="002830FD"/>
    <w:rsid w:val="002834EF"/>
    <w:rsid w:val="0028358A"/>
    <w:rsid w:val="00283884"/>
    <w:rsid w:val="00283AD4"/>
    <w:rsid w:val="00283B84"/>
    <w:rsid w:val="00284079"/>
    <w:rsid w:val="00284BFD"/>
    <w:rsid w:val="00284D5F"/>
    <w:rsid w:val="00284E0C"/>
    <w:rsid w:val="00284FC1"/>
    <w:rsid w:val="002852C5"/>
    <w:rsid w:val="00285467"/>
    <w:rsid w:val="002854D2"/>
    <w:rsid w:val="002858B2"/>
    <w:rsid w:val="00285B81"/>
    <w:rsid w:val="00286AF8"/>
    <w:rsid w:val="00286F69"/>
    <w:rsid w:val="002875EE"/>
    <w:rsid w:val="002876F6"/>
    <w:rsid w:val="0028771F"/>
    <w:rsid w:val="00287CE2"/>
    <w:rsid w:val="002903F0"/>
    <w:rsid w:val="00290609"/>
    <w:rsid w:val="0029076D"/>
    <w:rsid w:val="00290D20"/>
    <w:rsid w:val="00290D5F"/>
    <w:rsid w:val="00290DDC"/>
    <w:rsid w:val="00291131"/>
    <w:rsid w:val="00291150"/>
    <w:rsid w:val="0029118C"/>
    <w:rsid w:val="00291980"/>
    <w:rsid w:val="00292113"/>
    <w:rsid w:val="00292AC6"/>
    <w:rsid w:val="0029306E"/>
    <w:rsid w:val="002930BA"/>
    <w:rsid w:val="0029468A"/>
    <w:rsid w:val="00294936"/>
    <w:rsid w:val="00294BA0"/>
    <w:rsid w:val="002955B4"/>
    <w:rsid w:val="00295715"/>
    <w:rsid w:val="0029578C"/>
    <w:rsid w:val="00295AE3"/>
    <w:rsid w:val="00296045"/>
    <w:rsid w:val="0029626E"/>
    <w:rsid w:val="0029677D"/>
    <w:rsid w:val="00296A1D"/>
    <w:rsid w:val="00296BFF"/>
    <w:rsid w:val="00297779"/>
    <w:rsid w:val="0029786F"/>
    <w:rsid w:val="00297B7A"/>
    <w:rsid w:val="002A0D40"/>
    <w:rsid w:val="002A0E77"/>
    <w:rsid w:val="002A1E11"/>
    <w:rsid w:val="002A20AF"/>
    <w:rsid w:val="002A2177"/>
    <w:rsid w:val="002A2F48"/>
    <w:rsid w:val="002A30C5"/>
    <w:rsid w:val="002A3436"/>
    <w:rsid w:val="002A4181"/>
    <w:rsid w:val="002A438F"/>
    <w:rsid w:val="002A461E"/>
    <w:rsid w:val="002A46B0"/>
    <w:rsid w:val="002A4807"/>
    <w:rsid w:val="002A49D4"/>
    <w:rsid w:val="002A4F26"/>
    <w:rsid w:val="002A50F0"/>
    <w:rsid w:val="002A51B9"/>
    <w:rsid w:val="002A55E3"/>
    <w:rsid w:val="002A589D"/>
    <w:rsid w:val="002A5EA7"/>
    <w:rsid w:val="002A5F5F"/>
    <w:rsid w:val="002A689C"/>
    <w:rsid w:val="002A6B42"/>
    <w:rsid w:val="002A6CF3"/>
    <w:rsid w:val="002A7329"/>
    <w:rsid w:val="002A7F87"/>
    <w:rsid w:val="002B039B"/>
    <w:rsid w:val="002B0451"/>
    <w:rsid w:val="002B0958"/>
    <w:rsid w:val="002B0CBA"/>
    <w:rsid w:val="002B0FED"/>
    <w:rsid w:val="002B1892"/>
    <w:rsid w:val="002B1D1F"/>
    <w:rsid w:val="002B1D60"/>
    <w:rsid w:val="002B1DE8"/>
    <w:rsid w:val="002B1FCF"/>
    <w:rsid w:val="002B2137"/>
    <w:rsid w:val="002B2B0F"/>
    <w:rsid w:val="002B2C97"/>
    <w:rsid w:val="002B3506"/>
    <w:rsid w:val="002B376F"/>
    <w:rsid w:val="002B386A"/>
    <w:rsid w:val="002B3F34"/>
    <w:rsid w:val="002B402D"/>
    <w:rsid w:val="002B41B1"/>
    <w:rsid w:val="002B4748"/>
    <w:rsid w:val="002B480F"/>
    <w:rsid w:val="002B4B2E"/>
    <w:rsid w:val="002B511D"/>
    <w:rsid w:val="002B53A1"/>
    <w:rsid w:val="002B5926"/>
    <w:rsid w:val="002B6801"/>
    <w:rsid w:val="002B6BBC"/>
    <w:rsid w:val="002B75A2"/>
    <w:rsid w:val="002B77A0"/>
    <w:rsid w:val="002B785F"/>
    <w:rsid w:val="002B7A35"/>
    <w:rsid w:val="002B7C1F"/>
    <w:rsid w:val="002C00F2"/>
    <w:rsid w:val="002C0784"/>
    <w:rsid w:val="002C0C5A"/>
    <w:rsid w:val="002C0C99"/>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4D4"/>
    <w:rsid w:val="002D1505"/>
    <w:rsid w:val="002D1866"/>
    <w:rsid w:val="002D1AD2"/>
    <w:rsid w:val="002D2077"/>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133"/>
    <w:rsid w:val="002D739F"/>
    <w:rsid w:val="002D7FFD"/>
    <w:rsid w:val="002E0592"/>
    <w:rsid w:val="002E06A8"/>
    <w:rsid w:val="002E0E55"/>
    <w:rsid w:val="002E1589"/>
    <w:rsid w:val="002E43A0"/>
    <w:rsid w:val="002E4903"/>
    <w:rsid w:val="002E518F"/>
    <w:rsid w:val="002E5F86"/>
    <w:rsid w:val="002E631C"/>
    <w:rsid w:val="002E6D0B"/>
    <w:rsid w:val="002E6D42"/>
    <w:rsid w:val="002E798A"/>
    <w:rsid w:val="002E7B1C"/>
    <w:rsid w:val="002F03A4"/>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4EE0"/>
    <w:rsid w:val="002F5487"/>
    <w:rsid w:val="002F585C"/>
    <w:rsid w:val="002F5C15"/>
    <w:rsid w:val="002F61AB"/>
    <w:rsid w:val="002F61D5"/>
    <w:rsid w:val="002F65DA"/>
    <w:rsid w:val="002F667F"/>
    <w:rsid w:val="002F714D"/>
    <w:rsid w:val="002F77F9"/>
    <w:rsid w:val="00300428"/>
    <w:rsid w:val="00300534"/>
    <w:rsid w:val="003009ED"/>
    <w:rsid w:val="00300A2F"/>
    <w:rsid w:val="00300ECF"/>
    <w:rsid w:val="00300FB4"/>
    <w:rsid w:val="00301B82"/>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B45"/>
    <w:rsid w:val="00307D7D"/>
    <w:rsid w:val="00307E97"/>
    <w:rsid w:val="0031018A"/>
    <w:rsid w:val="00310357"/>
    <w:rsid w:val="00310C53"/>
    <w:rsid w:val="003116E3"/>
    <w:rsid w:val="0031175E"/>
    <w:rsid w:val="00311B82"/>
    <w:rsid w:val="00311C8C"/>
    <w:rsid w:val="00311E19"/>
    <w:rsid w:val="00311E25"/>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1BF0"/>
    <w:rsid w:val="00322547"/>
    <w:rsid w:val="00322EE5"/>
    <w:rsid w:val="00322F85"/>
    <w:rsid w:val="003230D0"/>
    <w:rsid w:val="00323207"/>
    <w:rsid w:val="003234A3"/>
    <w:rsid w:val="003237B8"/>
    <w:rsid w:val="00323907"/>
    <w:rsid w:val="003239E1"/>
    <w:rsid w:val="00323A1E"/>
    <w:rsid w:val="00323C96"/>
    <w:rsid w:val="00324832"/>
    <w:rsid w:val="0032507F"/>
    <w:rsid w:val="003257E5"/>
    <w:rsid w:val="00325C0A"/>
    <w:rsid w:val="00325E85"/>
    <w:rsid w:val="003260A6"/>
    <w:rsid w:val="003263AB"/>
    <w:rsid w:val="003263F6"/>
    <w:rsid w:val="00326496"/>
    <w:rsid w:val="003266F1"/>
    <w:rsid w:val="00326E17"/>
    <w:rsid w:val="00327238"/>
    <w:rsid w:val="0032796A"/>
    <w:rsid w:val="00327F04"/>
    <w:rsid w:val="00330186"/>
    <w:rsid w:val="003301AD"/>
    <w:rsid w:val="0033075F"/>
    <w:rsid w:val="00330F8C"/>
    <w:rsid w:val="003315CE"/>
    <w:rsid w:val="00331C9D"/>
    <w:rsid w:val="00331E83"/>
    <w:rsid w:val="00331F98"/>
    <w:rsid w:val="003320F6"/>
    <w:rsid w:val="0033315D"/>
    <w:rsid w:val="00333976"/>
    <w:rsid w:val="003339D7"/>
    <w:rsid w:val="00333B35"/>
    <w:rsid w:val="0033431A"/>
    <w:rsid w:val="00334EB9"/>
    <w:rsid w:val="00335121"/>
    <w:rsid w:val="00335223"/>
    <w:rsid w:val="00335827"/>
    <w:rsid w:val="0033613B"/>
    <w:rsid w:val="0033616B"/>
    <w:rsid w:val="00336406"/>
    <w:rsid w:val="00336601"/>
    <w:rsid w:val="00336D33"/>
    <w:rsid w:val="00336E10"/>
    <w:rsid w:val="0033775B"/>
    <w:rsid w:val="00337CDA"/>
    <w:rsid w:val="00337FC6"/>
    <w:rsid w:val="00340235"/>
    <w:rsid w:val="00340554"/>
    <w:rsid w:val="00340FCB"/>
    <w:rsid w:val="00341395"/>
    <w:rsid w:val="00342299"/>
    <w:rsid w:val="00342554"/>
    <w:rsid w:val="003425C3"/>
    <w:rsid w:val="00342681"/>
    <w:rsid w:val="00342ABA"/>
    <w:rsid w:val="0034363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6D72"/>
    <w:rsid w:val="00347716"/>
    <w:rsid w:val="00347EE4"/>
    <w:rsid w:val="003503B6"/>
    <w:rsid w:val="003509C5"/>
    <w:rsid w:val="0035196D"/>
    <w:rsid w:val="00351B56"/>
    <w:rsid w:val="00351FBA"/>
    <w:rsid w:val="00352437"/>
    <w:rsid w:val="00353187"/>
    <w:rsid w:val="003531B5"/>
    <w:rsid w:val="00353516"/>
    <w:rsid w:val="003535A1"/>
    <w:rsid w:val="00353614"/>
    <w:rsid w:val="00353783"/>
    <w:rsid w:val="00353929"/>
    <w:rsid w:val="00353CF3"/>
    <w:rsid w:val="00354D22"/>
    <w:rsid w:val="00354F11"/>
    <w:rsid w:val="00355791"/>
    <w:rsid w:val="00355AF6"/>
    <w:rsid w:val="0035625F"/>
    <w:rsid w:val="00356548"/>
    <w:rsid w:val="003567AE"/>
    <w:rsid w:val="00356F93"/>
    <w:rsid w:val="003575A7"/>
    <w:rsid w:val="003575EE"/>
    <w:rsid w:val="00357A3C"/>
    <w:rsid w:val="00357B3F"/>
    <w:rsid w:val="00357FD5"/>
    <w:rsid w:val="0036018D"/>
    <w:rsid w:val="003607B0"/>
    <w:rsid w:val="00360C98"/>
    <w:rsid w:val="00360E5B"/>
    <w:rsid w:val="003610FE"/>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ED5"/>
    <w:rsid w:val="003670E4"/>
    <w:rsid w:val="00367B83"/>
    <w:rsid w:val="00367D26"/>
    <w:rsid w:val="00367F51"/>
    <w:rsid w:val="0037021B"/>
    <w:rsid w:val="003706EC"/>
    <w:rsid w:val="00370CB6"/>
    <w:rsid w:val="00370DAF"/>
    <w:rsid w:val="00371216"/>
    <w:rsid w:val="00371924"/>
    <w:rsid w:val="00371BD4"/>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77FAB"/>
    <w:rsid w:val="0038089D"/>
    <w:rsid w:val="003808AE"/>
    <w:rsid w:val="00380A36"/>
    <w:rsid w:val="00380AFE"/>
    <w:rsid w:val="00380BC4"/>
    <w:rsid w:val="003812DC"/>
    <w:rsid w:val="003812E9"/>
    <w:rsid w:val="003812F9"/>
    <w:rsid w:val="003814BE"/>
    <w:rsid w:val="00381CEC"/>
    <w:rsid w:val="00382029"/>
    <w:rsid w:val="003825DF"/>
    <w:rsid w:val="00382782"/>
    <w:rsid w:val="00382A8A"/>
    <w:rsid w:val="00382C8A"/>
    <w:rsid w:val="0038301D"/>
    <w:rsid w:val="003830AC"/>
    <w:rsid w:val="0038317C"/>
    <w:rsid w:val="003832AC"/>
    <w:rsid w:val="00383481"/>
    <w:rsid w:val="00383C5F"/>
    <w:rsid w:val="00383E06"/>
    <w:rsid w:val="00384170"/>
    <w:rsid w:val="00384214"/>
    <w:rsid w:val="00384453"/>
    <w:rsid w:val="00384DC7"/>
    <w:rsid w:val="00385155"/>
    <w:rsid w:val="00385332"/>
    <w:rsid w:val="003854C2"/>
    <w:rsid w:val="003855E1"/>
    <w:rsid w:val="00385DD0"/>
    <w:rsid w:val="003861F8"/>
    <w:rsid w:val="003864D8"/>
    <w:rsid w:val="003864F0"/>
    <w:rsid w:val="00386B1C"/>
    <w:rsid w:val="00386F9D"/>
    <w:rsid w:val="003870CF"/>
    <w:rsid w:val="003870DF"/>
    <w:rsid w:val="00387142"/>
    <w:rsid w:val="003871F3"/>
    <w:rsid w:val="0038757B"/>
    <w:rsid w:val="0038773F"/>
    <w:rsid w:val="00390384"/>
    <w:rsid w:val="00390B38"/>
    <w:rsid w:val="003920C6"/>
    <w:rsid w:val="003922FB"/>
    <w:rsid w:val="00392D0A"/>
    <w:rsid w:val="00393248"/>
    <w:rsid w:val="003938D4"/>
    <w:rsid w:val="00393D7D"/>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441"/>
    <w:rsid w:val="003A05C9"/>
    <w:rsid w:val="003A093D"/>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61A"/>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1C8"/>
    <w:rsid w:val="003B2432"/>
    <w:rsid w:val="003B2A41"/>
    <w:rsid w:val="003B2DAA"/>
    <w:rsid w:val="003B35A7"/>
    <w:rsid w:val="003B3A67"/>
    <w:rsid w:val="003B3F93"/>
    <w:rsid w:val="003B5378"/>
    <w:rsid w:val="003B5BB3"/>
    <w:rsid w:val="003B5CFC"/>
    <w:rsid w:val="003B6062"/>
    <w:rsid w:val="003B6CFC"/>
    <w:rsid w:val="003B6F9A"/>
    <w:rsid w:val="003B734B"/>
    <w:rsid w:val="003B7560"/>
    <w:rsid w:val="003B75DA"/>
    <w:rsid w:val="003B7B85"/>
    <w:rsid w:val="003C0AFD"/>
    <w:rsid w:val="003C0CAF"/>
    <w:rsid w:val="003C12C5"/>
    <w:rsid w:val="003C22D1"/>
    <w:rsid w:val="003C25F9"/>
    <w:rsid w:val="003C26C9"/>
    <w:rsid w:val="003C2A24"/>
    <w:rsid w:val="003C3157"/>
    <w:rsid w:val="003C34FD"/>
    <w:rsid w:val="003C35B3"/>
    <w:rsid w:val="003C39D8"/>
    <w:rsid w:val="003C3E95"/>
    <w:rsid w:val="003C3F75"/>
    <w:rsid w:val="003C46FD"/>
    <w:rsid w:val="003C49A6"/>
    <w:rsid w:val="003C49F1"/>
    <w:rsid w:val="003C4C01"/>
    <w:rsid w:val="003C4F89"/>
    <w:rsid w:val="003C54F4"/>
    <w:rsid w:val="003C55F8"/>
    <w:rsid w:val="003C5D4E"/>
    <w:rsid w:val="003C5DFD"/>
    <w:rsid w:val="003C6268"/>
    <w:rsid w:val="003C6369"/>
    <w:rsid w:val="003C68F5"/>
    <w:rsid w:val="003C69EB"/>
    <w:rsid w:val="003C73EE"/>
    <w:rsid w:val="003C7AA5"/>
    <w:rsid w:val="003D035D"/>
    <w:rsid w:val="003D05D2"/>
    <w:rsid w:val="003D1038"/>
    <w:rsid w:val="003D1152"/>
    <w:rsid w:val="003D1215"/>
    <w:rsid w:val="003D16BB"/>
    <w:rsid w:val="003D1DF7"/>
    <w:rsid w:val="003D2485"/>
    <w:rsid w:val="003D31CB"/>
    <w:rsid w:val="003D3521"/>
    <w:rsid w:val="003D3817"/>
    <w:rsid w:val="003D3F6E"/>
    <w:rsid w:val="003D4086"/>
    <w:rsid w:val="003D4769"/>
    <w:rsid w:val="003D47E8"/>
    <w:rsid w:val="003D4CF7"/>
    <w:rsid w:val="003D4F39"/>
    <w:rsid w:val="003D50CB"/>
    <w:rsid w:val="003D566C"/>
    <w:rsid w:val="003D5FD4"/>
    <w:rsid w:val="003D617D"/>
    <w:rsid w:val="003D663B"/>
    <w:rsid w:val="003D6ABC"/>
    <w:rsid w:val="003D712B"/>
    <w:rsid w:val="003D728A"/>
    <w:rsid w:val="003D7387"/>
    <w:rsid w:val="003E00BB"/>
    <w:rsid w:val="003E02EA"/>
    <w:rsid w:val="003E0CEE"/>
    <w:rsid w:val="003E1493"/>
    <w:rsid w:val="003E2A7E"/>
    <w:rsid w:val="003E2D05"/>
    <w:rsid w:val="003E3057"/>
    <w:rsid w:val="003E32BF"/>
    <w:rsid w:val="003E344A"/>
    <w:rsid w:val="003E3826"/>
    <w:rsid w:val="003E3A68"/>
    <w:rsid w:val="003E4657"/>
    <w:rsid w:val="003E481A"/>
    <w:rsid w:val="003E4D31"/>
    <w:rsid w:val="003E50F0"/>
    <w:rsid w:val="003E51C1"/>
    <w:rsid w:val="003E52A3"/>
    <w:rsid w:val="003E5581"/>
    <w:rsid w:val="003E55F8"/>
    <w:rsid w:val="003E5629"/>
    <w:rsid w:val="003E5EB1"/>
    <w:rsid w:val="003E669F"/>
    <w:rsid w:val="003E6CC8"/>
    <w:rsid w:val="003E6FD3"/>
    <w:rsid w:val="003E72EE"/>
    <w:rsid w:val="003E7659"/>
    <w:rsid w:val="003E76EE"/>
    <w:rsid w:val="003E78FA"/>
    <w:rsid w:val="003E7A87"/>
    <w:rsid w:val="003E7E6A"/>
    <w:rsid w:val="003F08F8"/>
    <w:rsid w:val="003F1130"/>
    <w:rsid w:val="003F2140"/>
    <w:rsid w:val="003F2199"/>
    <w:rsid w:val="003F247F"/>
    <w:rsid w:val="003F285A"/>
    <w:rsid w:val="003F2A74"/>
    <w:rsid w:val="003F2AB9"/>
    <w:rsid w:val="003F2B04"/>
    <w:rsid w:val="003F398D"/>
    <w:rsid w:val="003F3A36"/>
    <w:rsid w:val="003F3B32"/>
    <w:rsid w:val="003F4643"/>
    <w:rsid w:val="003F5B00"/>
    <w:rsid w:val="003F693C"/>
    <w:rsid w:val="003F7287"/>
    <w:rsid w:val="003F7547"/>
    <w:rsid w:val="003F7BE6"/>
    <w:rsid w:val="004004DD"/>
    <w:rsid w:val="00400DE3"/>
    <w:rsid w:val="00400FC6"/>
    <w:rsid w:val="00400FFC"/>
    <w:rsid w:val="0040159E"/>
    <w:rsid w:val="00401687"/>
    <w:rsid w:val="00401EF0"/>
    <w:rsid w:val="00402112"/>
    <w:rsid w:val="00402E43"/>
    <w:rsid w:val="0040310A"/>
    <w:rsid w:val="0040324D"/>
    <w:rsid w:val="004035D1"/>
    <w:rsid w:val="0040465B"/>
    <w:rsid w:val="00404804"/>
    <w:rsid w:val="00404EFC"/>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5D6"/>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018"/>
    <w:rsid w:val="0043339D"/>
    <w:rsid w:val="0043356A"/>
    <w:rsid w:val="00433B53"/>
    <w:rsid w:val="00433F90"/>
    <w:rsid w:val="004349EA"/>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B7D"/>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8EC"/>
    <w:rsid w:val="00452A98"/>
    <w:rsid w:val="00452BDA"/>
    <w:rsid w:val="00453174"/>
    <w:rsid w:val="00453750"/>
    <w:rsid w:val="004537CF"/>
    <w:rsid w:val="00453816"/>
    <w:rsid w:val="004539FC"/>
    <w:rsid w:val="00453AE2"/>
    <w:rsid w:val="0045428B"/>
    <w:rsid w:val="00454577"/>
    <w:rsid w:val="0045461E"/>
    <w:rsid w:val="004546E5"/>
    <w:rsid w:val="004547F0"/>
    <w:rsid w:val="00454D4A"/>
    <w:rsid w:val="00455105"/>
    <w:rsid w:val="004551BC"/>
    <w:rsid w:val="004554B7"/>
    <w:rsid w:val="00455625"/>
    <w:rsid w:val="004563D8"/>
    <w:rsid w:val="00456454"/>
    <w:rsid w:val="00456792"/>
    <w:rsid w:val="00456A4F"/>
    <w:rsid w:val="00456D72"/>
    <w:rsid w:val="00456F48"/>
    <w:rsid w:val="004575AB"/>
    <w:rsid w:val="004575FB"/>
    <w:rsid w:val="0045762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3D3A"/>
    <w:rsid w:val="00463E8B"/>
    <w:rsid w:val="00464136"/>
    <w:rsid w:val="00464530"/>
    <w:rsid w:val="00464CC8"/>
    <w:rsid w:val="00464FA2"/>
    <w:rsid w:val="00465447"/>
    <w:rsid w:val="00465C06"/>
    <w:rsid w:val="00465E29"/>
    <w:rsid w:val="0046633C"/>
    <w:rsid w:val="0046700B"/>
    <w:rsid w:val="0047048A"/>
    <w:rsid w:val="00470CD5"/>
    <w:rsid w:val="00470D03"/>
    <w:rsid w:val="004717E8"/>
    <w:rsid w:val="004718D8"/>
    <w:rsid w:val="00471A0B"/>
    <w:rsid w:val="00471D94"/>
    <w:rsid w:val="00471F7A"/>
    <w:rsid w:val="00471FD5"/>
    <w:rsid w:val="004720F7"/>
    <w:rsid w:val="00473053"/>
    <w:rsid w:val="00473165"/>
    <w:rsid w:val="00473730"/>
    <w:rsid w:val="00473831"/>
    <w:rsid w:val="00473A01"/>
    <w:rsid w:val="00473C2E"/>
    <w:rsid w:val="004747FA"/>
    <w:rsid w:val="00474EE8"/>
    <w:rsid w:val="00474EF4"/>
    <w:rsid w:val="004753E7"/>
    <w:rsid w:val="004754C6"/>
    <w:rsid w:val="0047560F"/>
    <w:rsid w:val="004762AB"/>
    <w:rsid w:val="00476842"/>
    <w:rsid w:val="00476B38"/>
    <w:rsid w:val="00476FF6"/>
    <w:rsid w:val="00477118"/>
    <w:rsid w:val="004772F0"/>
    <w:rsid w:val="00477E83"/>
    <w:rsid w:val="00477FE3"/>
    <w:rsid w:val="004800BF"/>
    <w:rsid w:val="00480584"/>
    <w:rsid w:val="004819F0"/>
    <w:rsid w:val="00481DE9"/>
    <w:rsid w:val="004825B2"/>
    <w:rsid w:val="00482B81"/>
    <w:rsid w:val="00482F1E"/>
    <w:rsid w:val="00483577"/>
    <w:rsid w:val="004835E4"/>
    <w:rsid w:val="00484A89"/>
    <w:rsid w:val="00484FD7"/>
    <w:rsid w:val="004853E5"/>
    <w:rsid w:val="00486046"/>
    <w:rsid w:val="004868E9"/>
    <w:rsid w:val="00486AE8"/>
    <w:rsid w:val="00486E4F"/>
    <w:rsid w:val="00486E7D"/>
    <w:rsid w:val="00487386"/>
    <w:rsid w:val="004875C4"/>
    <w:rsid w:val="00487BA4"/>
    <w:rsid w:val="00490111"/>
    <w:rsid w:val="0049099D"/>
    <w:rsid w:val="004913A8"/>
    <w:rsid w:val="00491985"/>
    <w:rsid w:val="00491DB8"/>
    <w:rsid w:val="004921C7"/>
    <w:rsid w:val="00492C71"/>
    <w:rsid w:val="004932C7"/>
    <w:rsid w:val="004933D5"/>
    <w:rsid w:val="00493432"/>
    <w:rsid w:val="00493455"/>
    <w:rsid w:val="004935A9"/>
    <w:rsid w:val="00493B57"/>
    <w:rsid w:val="00493EB7"/>
    <w:rsid w:val="0049405E"/>
    <w:rsid w:val="00494655"/>
    <w:rsid w:val="00494AC5"/>
    <w:rsid w:val="00495118"/>
    <w:rsid w:val="00495917"/>
    <w:rsid w:val="00496455"/>
    <w:rsid w:val="004965DB"/>
    <w:rsid w:val="00496BAB"/>
    <w:rsid w:val="00496E45"/>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334"/>
    <w:rsid w:val="004A2354"/>
    <w:rsid w:val="004A24A1"/>
    <w:rsid w:val="004A2CBF"/>
    <w:rsid w:val="004A2F50"/>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B9B"/>
    <w:rsid w:val="004B0E52"/>
    <w:rsid w:val="004B107F"/>
    <w:rsid w:val="004B1273"/>
    <w:rsid w:val="004B150C"/>
    <w:rsid w:val="004B1B16"/>
    <w:rsid w:val="004B1F2B"/>
    <w:rsid w:val="004B22F9"/>
    <w:rsid w:val="004B2A85"/>
    <w:rsid w:val="004B2AD8"/>
    <w:rsid w:val="004B3166"/>
    <w:rsid w:val="004B33AB"/>
    <w:rsid w:val="004B356F"/>
    <w:rsid w:val="004B3644"/>
    <w:rsid w:val="004B378F"/>
    <w:rsid w:val="004B3D05"/>
    <w:rsid w:val="004B3D84"/>
    <w:rsid w:val="004B469B"/>
    <w:rsid w:val="004B49BF"/>
    <w:rsid w:val="004B4E44"/>
    <w:rsid w:val="004B4F68"/>
    <w:rsid w:val="004B506E"/>
    <w:rsid w:val="004B51ED"/>
    <w:rsid w:val="004B5447"/>
    <w:rsid w:val="004B5499"/>
    <w:rsid w:val="004B5611"/>
    <w:rsid w:val="004B5705"/>
    <w:rsid w:val="004B5A5C"/>
    <w:rsid w:val="004B5C16"/>
    <w:rsid w:val="004B60C7"/>
    <w:rsid w:val="004B6281"/>
    <w:rsid w:val="004B727D"/>
    <w:rsid w:val="004B72B5"/>
    <w:rsid w:val="004B75DA"/>
    <w:rsid w:val="004B7B0D"/>
    <w:rsid w:val="004B7F10"/>
    <w:rsid w:val="004C03B8"/>
    <w:rsid w:val="004C08DF"/>
    <w:rsid w:val="004C0934"/>
    <w:rsid w:val="004C0A67"/>
    <w:rsid w:val="004C0D3B"/>
    <w:rsid w:val="004C1502"/>
    <w:rsid w:val="004C1671"/>
    <w:rsid w:val="004C17B7"/>
    <w:rsid w:val="004C1F0A"/>
    <w:rsid w:val="004C1FAB"/>
    <w:rsid w:val="004C21D9"/>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8D5"/>
    <w:rsid w:val="004C4B5E"/>
    <w:rsid w:val="004C50A6"/>
    <w:rsid w:val="004C552B"/>
    <w:rsid w:val="004C56F7"/>
    <w:rsid w:val="004C5C5B"/>
    <w:rsid w:val="004C6021"/>
    <w:rsid w:val="004C71AC"/>
    <w:rsid w:val="004C76EA"/>
    <w:rsid w:val="004D0825"/>
    <w:rsid w:val="004D0F41"/>
    <w:rsid w:val="004D11F7"/>
    <w:rsid w:val="004D1575"/>
    <w:rsid w:val="004D1586"/>
    <w:rsid w:val="004D16C0"/>
    <w:rsid w:val="004D1757"/>
    <w:rsid w:val="004D17C3"/>
    <w:rsid w:val="004D19BA"/>
    <w:rsid w:val="004D1A4E"/>
    <w:rsid w:val="004D1E5A"/>
    <w:rsid w:val="004D215F"/>
    <w:rsid w:val="004D2769"/>
    <w:rsid w:val="004D27A6"/>
    <w:rsid w:val="004D29FA"/>
    <w:rsid w:val="004D2CD8"/>
    <w:rsid w:val="004D39D5"/>
    <w:rsid w:val="004D3B16"/>
    <w:rsid w:val="004D3B51"/>
    <w:rsid w:val="004D4327"/>
    <w:rsid w:val="004D437D"/>
    <w:rsid w:val="004D4AD6"/>
    <w:rsid w:val="004D4FD5"/>
    <w:rsid w:val="004D504E"/>
    <w:rsid w:val="004D53F2"/>
    <w:rsid w:val="004D5415"/>
    <w:rsid w:val="004D54A5"/>
    <w:rsid w:val="004D57BF"/>
    <w:rsid w:val="004D5C17"/>
    <w:rsid w:val="004D6538"/>
    <w:rsid w:val="004D7046"/>
    <w:rsid w:val="004D7B14"/>
    <w:rsid w:val="004D7B25"/>
    <w:rsid w:val="004D7DC7"/>
    <w:rsid w:val="004E01AE"/>
    <w:rsid w:val="004E05A5"/>
    <w:rsid w:val="004E065F"/>
    <w:rsid w:val="004E0C62"/>
    <w:rsid w:val="004E0D92"/>
    <w:rsid w:val="004E1855"/>
    <w:rsid w:val="004E1C1B"/>
    <w:rsid w:val="004E22D5"/>
    <w:rsid w:val="004E3C56"/>
    <w:rsid w:val="004E3FF2"/>
    <w:rsid w:val="004E40BE"/>
    <w:rsid w:val="004E524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66E"/>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3785"/>
    <w:rsid w:val="00503C10"/>
    <w:rsid w:val="00504060"/>
    <w:rsid w:val="00504360"/>
    <w:rsid w:val="005045A1"/>
    <w:rsid w:val="00505930"/>
    <w:rsid w:val="00505CCD"/>
    <w:rsid w:val="00505DA9"/>
    <w:rsid w:val="00505E6E"/>
    <w:rsid w:val="005061F3"/>
    <w:rsid w:val="00506A78"/>
    <w:rsid w:val="00506C7D"/>
    <w:rsid w:val="005074F1"/>
    <w:rsid w:val="005075BA"/>
    <w:rsid w:val="00507951"/>
    <w:rsid w:val="00507C88"/>
    <w:rsid w:val="005101DB"/>
    <w:rsid w:val="00510575"/>
    <w:rsid w:val="00510A35"/>
    <w:rsid w:val="00510C03"/>
    <w:rsid w:val="005113D4"/>
    <w:rsid w:val="0051147C"/>
    <w:rsid w:val="0051153C"/>
    <w:rsid w:val="00511C47"/>
    <w:rsid w:val="00511FFE"/>
    <w:rsid w:val="005128B6"/>
    <w:rsid w:val="005128D4"/>
    <w:rsid w:val="00512CAD"/>
    <w:rsid w:val="00512D11"/>
    <w:rsid w:val="00512F1D"/>
    <w:rsid w:val="005132AA"/>
    <w:rsid w:val="0051363A"/>
    <w:rsid w:val="00513D37"/>
    <w:rsid w:val="00513DBC"/>
    <w:rsid w:val="00513F90"/>
    <w:rsid w:val="00514664"/>
    <w:rsid w:val="0051544B"/>
    <w:rsid w:val="00515519"/>
    <w:rsid w:val="005155DC"/>
    <w:rsid w:val="00515646"/>
    <w:rsid w:val="00515A0F"/>
    <w:rsid w:val="00515AA5"/>
    <w:rsid w:val="0051668F"/>
    <w:rsid w:val="005166EE"/>
    <w:rsid w:val="00516ABB"/>
    <w:rsid w:val="00517571"/>
    <w:rsid w:val="00517687"/>
    <w:rsid w:val="005178AE"/>
    <w:rsid w:val="00517CBA"/>
    <w:rsid w:val="00517DB9"/>
    <w:rsid w:val="005206C1"/>
    <w:rsid w:val="00520A84"/>
    <w:rsid w:val="00521269"/>
    <w:rsid w:val="0052139F"/>
    <w:rsid w:val="00521442"/>
    <w:rsid w:val="005221B8"/>
    <w:rsid w:val="005227C3"/>
    <w:rsid w:val="00522CB7"/>
    <w:rsid w:val="00522F19"/>
    <w:rsid w:val="005230F3"/>
    <w:rsid w:val="00523613"/>
    <w:rsid w:val="005237AF"/>
    <w:rsid w:val="005239A5"/>
    <w:rsid w:val="00523ECD"/>
    <w:rsid w:val="00524018"/>
    <w:rsid w:val="00524397"/>
    <w:rsid w:val="005244CC"/>
    <w:rsid w:val="00524654"/>
    <w:rsid w:val="00524852"/>
    <w:rsid w:val="00524B6F"/>
    <w:rsid w:val="005254B5"/>
    <w:rsid w:val="00525765"/>
    <w:rsid w:val="00525945"/>
    <w:rsid w:val="00525C10"/>
    <w:rsid w:val="00526B3A"/>
    <w:rsid w:val="00526FFE"/>
    <w:rsid w:val="0052708F"/>
    <w:rsid w:val="0052709F"/>
    <w:rsid w:val="005270BF"/>
    <w:rsid w:val="00527F8F"/>
    <w:rsid w:val="005304CB"/>
    <w:rsid w:val="00531508"/>
    <w:rsid w:val="0053197B"/>
    <w:rsid w:val="00531A84"/>
    <w:rsid w:val="00531C94"/>
    <w:rsid w:val="00531F23"/>
    <w:rsid w:val="00532818"/>
    <w:rsid w:val="00533B81"/>
    <w:rsid w:val="005340D1"/>
    <w:rsid w:val="00534239"/>
    <w:rsid w:val="005345D8"/>
    <w:rsid w:val="005349D6"/>
    <w:rsid w:val="005349F6"/>
    <w:rsid w:val="00534A63"/>
    <w:rsid w:val="00534D28"/>
    <w:rsid w:val="00535437"/>
    <w:rsid w:val="005354B8"/>
    <w:rsid w:val="005356B8"/>
    <w:rsid w:val="005357C7"/>
    <w:rsid w:val="005359D7"/>
    <w:rsid w:val="00535AA5"/>
    <w:rsid w:val="00535F91"/>
    <w:rsid w:val="005366C1"/>
    <w:rsid w:val="00536914"/>
    <w:rsid w:val="0053727B"/>
    <w:rsid w:val="005377E0"/>
    <w:rsid w:val="0053795B"/>
    <w:rsid w:val="00537BAC"/>
    <w:rsid w:val="00537CF2"/>
    <w:rsid w:val="00537E38"/>
    <w:rsid w:val="00537F5F"/>
    <w:rsid w:val="005402E6"/>
    <w:rsid w:val="005402F0"/>
    <w:rsid w:val="00540428"/>
    <w:rsid w:val="0054048B"/>
    <w:rsid w:val="00540AAE"/>
    <w:rsid w:val="00540AE8"/>
    <w:rsid w:val="00540B00"/>
    <w:rsid w:val="00540C10"/>
    <w:rsid w:val="00540E6F"/>
    <w:rsid w:val="00540F84"/>
    <w:rsid w:val="00541351"/>
    <w:rsid w:val="00541844"/>
    <w:rsid w:val="00541851"/>
    <w:rsid w:val="00541A81"/>
    <w:rsid w:val="00541CE6"/>
    <w:rsid w:val="00541D2B"/>
    <w:rsid w:val="00541DE4"/>
    <w:rsid w:val="0054238D"/>
    <w:rsid w:val="005425F9"/>
    <w:rsid w:val="00542E96"/>
    <w:rsid w:val="005430F9"/>
    <w:rsid w:val="00543741"/>
    <w:rsid w:val="00543785"/>
    <w:rsid w:val="00543D62"/>
    <w:rsid w:val="0054409E"/>
    <w:rsid w:val="00544584"/>
    <w:rsid w:val="00544620"/>
    <w:rsid w:val="0054482D"/>
    <w:rsid w:val="00544AE8"/>
    <w:rsid w:val="00544C65"/>
    <w:rsid w:val="00544EBA"/>
    <w:rsid w:val="005450D1"/>
    <w:rsid w:val="00545175"/>
    <w:rsid w:val="00545614"/>
    <w:rsid w:val="005459CF"/>
    <w:rsid w:val="00546459"/>
    <w:rsid w:val="00546699"/>
    <w:rsid w:val="00546E18"/>
    <w:rsid w:val="00547060"/>
    <w:rsid w:val="00547874"/>
    <w:rsid w:val="005502DC"/>
    <w:rsid w:val="0055049C"/>
    <w:rsid w:val="00550B17"/>
    <w:rsid w:val="00551928"/>
    <w:rsid w:val="00552039"/>
    <w:rsid w:val="00552178"/>
    <w:rsid w:val="005521AB"/>
    <w:rsid w:val="005522EE"/>
    <w:rsid w:val="005527B1"/>
    <w:rsid w:val="0055281E"/>
    <w:rsid w:val="00552A2E"/>
    <w:rsid w:val="00552AD3"/>
    <w:rsid w:val="00552CA5"/>
    <w:rsid w:val="00552D49"/>
    <w:rsid w:val="00552F3D"/>
    <w:rsid w:val="00553792"/>
    <w:rsid w:val="00553A1A"/>
    <w:rsid w:val="00553D3E"/>
    <w:rsid w:val="00553E64"/>
    <w:rsid w:val="005542C7"/>
    <w:rsid w:val="005550B3"/>
    <w:rsid w:val="0055519B"/>
    <w:rsid w:val="005554AD"/>
    <w:rsid w:val="00555A5B"/>
    <w:rsid w:val="00556494"/>
    <w:rsid w:val="005568E0"/>
    <w:rsid w:val="00556C2E"/>
    <w:rsid w:val="00556D79"/>
    <w:rsid w:val="00556E5F"/>
    <w:rsid w:val="005574F0"/>
    <w:rsid w:val="005575CD"/>
    <w:rsid w:val="00557E7C"/>
    <w:rsid w:val="00560263"/>
    <w:rsid w:val="00560669"/>
    <w:rsid w:val="005606F1"/>
    <w:rsid w:val="005606FD"/>
    <w:rsid w:val="00560946"/>
    <w:rsid w:val="00560C3D"/>
    <w:rsid w:val="00561373"/>
    <w:rsid w:val="00561A59"/>
    <w:rsid w:val="00561CDA"/>
    <w:rsid w:val="00561ED1"/>
    <w:rsid w:val="00562645"/>
    <w:rsid w:val="00562EB9"/>
    <w:rsid w:val="00563D96"/>
    <w:rsid w:val="00563F1D"/>
    <w:rsid w:val="00565905"/>
    <w:rsid w:val="00565916"/>
    <w:rsid w:val="00565E62"/>
    <w:rsid w:val="00566092"/>
    <w:rsid w:val="005666C9"/>
    <w:rsid w:val="00566A29"/>
    <w:rsid w:val="0056753C"/>
    <w:rsid w:val="00567A81"/>
    <w:rsid w:val="005700CD"/>
    <w:rsid w:val="005701BC"/>
    <w:rsid w:val="00570B24"/>
    <w:rsid w:val="00570E24"/>
    <w:rsid w:val="00570E47"/>
    <w:rsid w:val="00570F1C"/>
    <w:rsid w:val="0057140E"/>
    <w:rsid w:val="00571DBF"/>
    <w:rsid w:val="005721C6"/>
    <w:rsid w:val="00572A07"/>
    <w:rsid w:val="00572BF5"/>
    <w:rsid w:val="00572D2E"/>
    <w:rsid w:val="005730FF"/>
    <w:rsid w:val="0057332C"/>
    <w:rsid w:val="00573AB7"/>
    <w:rsid w:val="00573F98"/>
    <w:rsid w:val="00574003"/>
    <w:rsid w:val="005742D6"/>
    <w:rsid w:val="0057445B"/>
    <w:rsid w:val="0057447F"/>
    <w:rsid w:val="00574495"/>
    <w:rsid w:val="00574903"/>
    <w:rsid w:val="00574BB5"/>
    <w:rsid w:val="00574EFF"/>
    <w:rsid w:val="00574FB2"/>
    <w:rsid w:val="0057558D"/>
    <w:rsid w:val="00575A52"/>
    <w:rsid w:val="00575CFD"/>
    <w:rsid w:val="00575D2D"/>
    <w:rsid w:val="00576F72"/>
    <w:rsid w:val="00576F76"/>
    <w:rsid w:val="00577014"/>
    <w:rsid w:val="0057777C"/>
    <w:rsid w:val="005777FC"/>
    <w:rsid w:val="00577B63"/>
    <w:rsid w:val="00577F16"/>
    <w:rsid w:val="005800F2"/>
    <w:rsid w:val="005806F1"/>
    <w:rsid w:val="00580820"/>
    <w:rsid w:val="00580AFD"/>
    <w:rsid w:val="00580EFF"/>
    <w:rsid w:val="0058192D"/>
    <w:rsid w:val="0058229E"/>
    <w:rsid w:val="005828EE"/>
    <w:rsid w:val="00582ADB"/>
    <w:rsid w:val="00582B72"/>
    <w:rsid w:val="005830F8"/>
    <w:rsid w:val="00583736"/>
    <w:rsid w:val="00583E69"/>
    <w:rsid w:val="00583F80"/>
    <w:rsid w:val="00584313"/>
    <w:rsid w:val="00584A61"/>
    <w:rsid w:val="00585707"/>
    <w:rsid w:val="00585988"/>
    <w:rsid w:val="005859BC"/>
    <w:rsid w:val="00586098"/>
    <w:rsid w:val="00586233"/>
    <w:rsid w:val="005864FA"/>
    <w:rsid w:val="0058687A"/>
    <w:rsid w:val="00586ED4"/>
    <w:rsid w:val="00587047"/>
    <w:rsid w:val="005870BE"/>
    <w:rsid w:val="005875E0"/>
    <w:rsid w:val="00587723"/>
    <w:rsid w:val="00587996"/>
    <w:rsid w:val="00587A57"/>
    <w:rsid w:val="005901B1"/>
    <w:rsid w:val="005903A0"/>
    <w:rsid w:val="00590461"/>
    <w:rsid w:val="0059090F"/>
    <w:rsid w:val="00590E7C"/>
    <w:rsid w:val="00591303"/>
    <w:rsid w:val="005913CC"/>
    <w:rsid w:val="00591C01"/>
    <w:rsid w:val="00592940"/>
    <w:rsid w:val="00592C26"/>
    <w:rsid w:val="00592CB1"/>
    <w:rsid w:val="00593AF9"/>
    <w:rsid w:val="00594396"/>
    <w:rsid w:val="00594488"/>
    <w:rsid w:val="0059463B"/>
    <w:rsid w:val="00594B07"/>
    <w:rsid w:val="00594C15"/>
    <w:rsid w:val="00595A40"/>
    <w:rsid w:val="00595EA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C2E"/>
    <w:rsid w:val="005A0EF1"/>
    <w:rsid w:val="005A13E7"/>
    <w:rsid w:val="005A143C"/>
    <w:rsid w:val="005A18B4"/>
    <w:rsid w:val="005A1A56"/>
    <w:rsid w:val="005A1C8E"/>
    <w:rsid w:val="005A2097"/>
    <w:rsid w:val="005A23F7"/>
    <w:rsid w:val="005A2525"/>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11C"/>
    <w:rsid w:val="005B776C"/>
    <w:rsid w:val="005B77A0"/>
    <w:rsid w:val="005B7BD7"/>
    <w:rsid w:val="005B7D2C"/>
    <w:rsid w:val="005B7EE3"/>
    <w:rsid w:val="005B7F18"/>
    <w:rsid w:val="005C0023"/>
    <w:rsid w:val="005C0843"/>
    <w:rsid w:val="005C0E08"/>
    <w:rsid w:val="005C1293"/>
    <w:rsid w:val="005C1C73"/>
    <w:rsid w:val="005C2767"/>
    <w:rsid w:val="005C343E"/>
    <w:rsid w:val="005C384E"/>
    <w:rsid w:val="005C3C17"/>
    <w:rsid w:val="005C3DFA"/>
    <w:rsid w:val="005C4013"/>
    <w:rsid w:val="005C44BA"/>
    <w:rsid w:val="005C4540"/>
    <w:rsid w:val="005C4660"/>
    <w:rsid w:val="005C4C4E"/>
    <w:rsid w:val="005C53A5"/>
    <w:rsid w:val="005C569F"/>
    <w:rsid w:val="005C58BD"/>
    <w:rsid w:val="005C5AB3"/>
    <w:rsid w:val="005C5CB7"/>
    <w:rsid w:val="005C5EEF"/>
    <w:rsid w:val="005C6450"/>
    <w:rsid w:val="005C64D2"/>
    <w:rsid w:val="005C6679"/>
    <w:rsid w:val="005C6AB4"/>
    <w:rsid w:val="005C706B"/>
    <w:rsid w:val="005C7378"/>
    <w:rsid w:val="005C7563"/>
    <w:rsid w:val="005C7763"/>
    <w:rsid w:val="005C7A22"/>
    <w:rsid w:val="005C7BF3"/>
    <w:rsid w:val="005C7E05"/>
    <w:rsid w:val="005D0959"/>
    <w:rsid w:val="005D0D07"/>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782A"/>
    <w:rsid w:val="005E0311"/>
    <w:rsid w:val="005E0755"/>
    <w:rsid w:val="005E0F43"/>
    <w:rsid w:val="005E135B"/>
    <w:rsid w:val="005E13DC"/>
    <w:rsid w:val="005E1BB1"/>
    <w:rsid w:val="005E1F24"/>
    <w:rsid w:val="005E205B"/>
    <w:rsid w:val="005E293D"/>
    <w:rsid w:val="005E2E3C"/>
    <w:rsid w:val="005E2F95"/>
    <w:rsid w:val="005E3716"/>
    <w:rsid w:val="005E3FF5"/>
    <w:rsid w:val="005E4215"/>
    <w:rsid w:val="005E44FB"/>
    <w:rsid w:val="005E4625"/>
    <w:rsid w:val="005E4BD6"/>
    <w:rsid w:val="005E4FA2"/>
    <w:rsid w:val="005E5576"/>
    <w:rsid w:val="005E58CC"/>
    <w:rsid w:val="005E59B7"/>
    <w:rsid w:val="005E622C"/>
    <w:rsid w:val="005E6242"/>
    <w:rsid w:val="005E677D"/>
    <w:rsid w:val="005E68B7"/>
    <w:rsid w:val="005E6A08"/>
    <w:rsid w:val="005E7240"/>
    <w:rsid w:val="005E72A2"/>
    <w:rsid w:val="005E736A"/>
    <w:rsid w:val="005E78A8"/>
    <w:rsid w:val="005E7BB1"/>
    <w:rsid w:val="005E7C1C"/>
    <w:rsid w:val="005F028F"/>
    <w:rsid w:val="005F0340"/>
    <w:rsid w:val="005F054A"/>
    <w:rsid w:val="005F0696"/>
    <w:rsid w:val="005F0A65"/>
    <w:rsid w:val="005F0CE3"/>
    <w:rsid w:val="005F0FAA"/>
    <w:rsid w:val="005F1632"/>
    <w:rsid w:val="005F199C"/>
    <w:rsid w:val="005F2709"/>
    <w:rsid w:val="005F2B52"/>
    <w:rsid w:val="005F3095"/>
    <w:rsid w:val="005F31F0"/>
    <w:rsid w:val="005F3AEE"/>
    <w:rsid w:val="005F4A08"/>
    <w:rsid w:val="005F4E34"/>
    <w:rsid w:val="005F4FB0"/>
    <w:rsid w:val="005F524F"/>
    <w:rsid w:val="005F6029"/>
    <w:rsid w:val="005F60E7"/>
    <w:rsid w:val="005F6717"/>
    <w:rsid w:val="005F6A3B"/>
    <w:rsid w:val="005F7166"/>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54C6"/>
    <w:rsid w:val="006061E5"/>
    <w:rsid w:val="006061F2"/>
    <w:rsid w:val="006063BA"/>
    <w:rsid w:val="00606867"/>
    <w:rsid w:val="00607156"/>
    <w:rsid w:val="0060754E"/>
    <w:rsid w:val="00607836"/>
    <w:rsid w:val="00610438"/>
    <w:rsid w:val="0061099C"/>
    <w:rsid w:val="00611B56"/>
    <w:rsid w:val="0061201C"/>
    <w:rsid w:val="0061227A"/>
    <w:rsid w:val="00612964"/>
    <w:rsid w:val="00613271"/>
    <w:rsid w:val="0061338C"/>
    <w:rsid w:val="0061339E"/>
    <w:rsid w:val="00613531"/>
    <w:rsid w:val="00613A0F"/>
    <w:rsid w:val="00613BA9"/>
    <w:rsid w:val="00614265"/>
    <w:rsid w:val="006144D8"/>
    <w:rsid w:val="0061494F"/>
    <w:rsid w:val="00615EBF"/>
    <w:rsid w:val="0061696E"/>
    <w:rsid w:val="00617147"/>
    <w:rsid w:val="00617951"/>
    <w:rsid w:val="00617A02"/>
    <w:rsid w:val="00617A14"/>
    <w:rsid w:val="00617BD0"/>
    <w:rsid w:val="006200D6"/>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59"/>
    <w:rsid w:val="006273C4"/>
    <w:rsid w:val="00627D5C"/>
    <w:rsid w:val="00627D77"/>
    <w:rsid w:val="00630249"/>
    <w:rsid w:val="006302F0"/>
    <w:rsid w:val="00630482"/>
    <w:rsid w:val="00630CAF"/>
    <w:rsid w:val="00631596"/>
    <w:rsid w:val="00631A32"/>
    <w:rsid w:val="00631E57"/>
    <w:rsid w:val="00632A67"/>
    <w:rsid w:val="006332F7"/>
    <w:rsid w:val="00633579"/>
    <w:rsid w:val="00633C06"/>
    <w:rsid w:val="0063439B"/>
    <w:rsid w:val="006349C3"/>
    <w:rsid w:val="0063503E"/>
    <w:rsid w:val="006350EE"/>
    <w:rsid w:val="00635446"/>
    <w:rsid w:val="00635774"/>
    <w:rsid w:val="00635BA4"/>
    <w:rsid w:val="00635CFC"/>
    <w:rsid w:val="006362B6"/>
    <w:rsid w:val="00636612"/>
    <w:rsid w:val="00636BED"/>
    <w:rsid w:val="00636F56"/>
    <w:rsid w:val="0063793E"/>
    <w:rsid w:val="00637994"/>
    <w:rsid w:val="00637D27"/>
    <w:rsid w:val="00637D77"/>
    <w:rsid w:val="006405FB"/>
    <w:rsid w:val="00641078"/>
    <w:rsid w:val="0064128F"/>
    <w:rsid w:val="0064182B"/>
    <w:rsid w:val="00641AA7"/>
    <w:rsid w:val="00641BFE"/>
    <w:rsid w:val="00641D7F"/>
    <w:rsid w:val="00641E64"/>
    <w:rsid w:val="006428AB"/>
    <w:rsid w:val="00642E9A"/>
    <w:rsid w:val="00643692"/>
    <w:rsid w:val="00643907"/>
    <w:rsid w:val="00643B87"/>
    <w:rsid w:val="00643C8B"/>
    <w:rsid w:val="0064437A"/>
    <w:rsid w:val="006449EC"/>
    <w:rsid w:val="00644F55"/>
    <w:rsid w:val="00645FF5"/>
    <w:rsid w:val="00646358"/>
    <w:rsid w:val="0064644A"/>
    <w:rsid w:val="006468D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4EF"/>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28B"/>
    <w:rsid w:val="00656562"/>
    <w:rsid w:val="00656B8A"/>
    <w:rsid w:val="00657043"/>
    <w:rsid w:val="00657305"/>
    <w:rsid w:val="00657526"/>
    <w:rsid w:val="00657534"/>
    <w:rsid w:val="00657933"/>
    <w:rsid w:val="00657AFD"/>
    <w:rsid w:val="006600EF"/>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494"/>
    <w:rsid w:val="00665536"/>
    <w:rsid w:val="00665873"/>
    <w:rsid w:val="006665F1"/>
    <w:rsid w:val="006668F1"/>
    <w:rsid w:val="00666D19"/>
    <w:rsid w:val="00666FD4"/>
    <w:rsid w:val="00667502"/>
    <w:rsid w:val="00667515"/>
    <w:rsid w:val="006676D8"/>
    <w:rsid w:val="00667F7C"/>
    <w:rsid w:val="0067051D"/>
    <w:rsid w:val="00670651"/>
    <w:rsid w:val="006709A0"/>
    <w:rsid w:val="00670C56"/>
    <w:rsid w:val="00671898"/>
    <w:rsid w:val="00671C9C"/>
    <w:rsid w:val="00671F4F"/>
    <w:rsid w:val="00672109"/>
    <w:rsid w:val="00672BB2"/>
    <w:rsid w:val="00673156"/>
    <w:rsid w:val="0067316D"/>
    <w:rsid w:val="00673790"/>
    <w:rsid w:val="0067380D"/>
    <w:rsid w:val="00673880"/>
    <w:rsid w:val="00673F15"/>
    <w:rsid w:val="00674120"/>
    <w:rsid w:val="00674435"/>
    <w:rsid w:val="006744A9"/>
    <w:rsid w:val="006747A4"/>
    <w:rsid w:val="00674DF2"/>
    <w:rsid w:val="00675048"/>
    <w:rsid w:val="00675942"/>
    <w:rsid w:val="00675CCC"/>
    <w:rsid w:val="00676364"/>
    <w:rsid w:val="0067654E"/>
    <w:rsid w:val="006766BE"/>
    <w:rsid w:val="006768CD"/>
    <w:rsid w:val="00676C93"/>
    <w:rsid w:val="006774CA"/>
    <w:rsid w:val="006774E5"/>
    <w:rsid w:val="00677AA1"/>
    <w:rsid w:val="00677BA6"/>
    <w:rsid w:val="00677E5D"/>
    <w:rsid w:val="00677F05"/>
    <w:rsid w:val="0068018B"/>
    <w:rsid w:val="0068025C"/>
    <w:rsid w:val="0068064C"/>
    <w:rsid w:val="006809FA"/>
    <w:rsid w:val="00680D5C"/>
    <w:rsid w:val="00680E32"/>
    <w:rsid w:val="006816F8"/>
    <w:rsid w:val="00681BCB"/>
    <w:rsid w:val="00681EF6"/>
    <w:rsid w:val="006820C5"/>
    <w:rsid w:val="006822C6"/>
    <w:rsid w:val="00682B7E"/>
    <w:rsid w:val="00682C1E"/>
    <w:rsid w:val="00683146"/>
    <w:rsid w:val="0068376C"/>
    <w:rsid w:val="00683D50"/>
    <w:rsid w:val="00683E5B"/>
    <w:rsid w:val="00683FD1"/>
    <w:rsid w:val="00684398"/>
    <w:rsid w:val="006844E0"/>
    <w:rsid w:val="00684A91"/>
    <w:rsid w:val="00684EBC"/>
    <w:rsid w:val="00684FE7"/>
    <w:rsid w:val="00684FFE"/>
    <w:rsid w:val="00685093"/>
    <w:rsid w:val="00685345"/>
    <w:rsid w:val="006853D6"/>
    <w:rsid w:val="006855AF"/>
    <w:rsid w:val="006864EB"/>
    <w:rsid w:val="006865B8"/>
    <w:rsid w:val="006869E4"/>
    <w:rsid w:val="00686FB0"/>
    <w:rsid w:val="00690452"/>
    <w:rsid w:val="00690531"/>
    <w:rsid w:val="006909C1"/>
    <w:rsid w:val="00690B9D"/>
    <w:rsid w:val="00690F29"/>
    <w:rsid w:val="00692287"/>
    <w:rsid w:val="00692289"/>
    <w:rsid w:val="00692919"/>
    <w:rsid w:val="006929EB"/>
    <w:rsid w:val="00693145"/>
    <w:rsid w:val="00693590"/>
    <w:rsid w:val="00693809"/>
    <w:rsid w:val="006939D0"/>
    <w:rsid w:val="00693A72"/>
    <w:rsid w:val="00693E08"/>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97727"/>
    <w:rsid w:val="006A00DD"/>
    <w:rsid w:val="006A0549"/>
    <w:rsid w:val="006A059E"/>
    <w:rsid w:val="006A0F4F"/>
    <w:rsid w:val="006A15D5"/>
    <w:rsid w:val="006A16CE"/>
    <w:rsid w:val="006A1803"/>
    <w:rsid w:val="006A19B3"/>
    <w:rsid w:val="006A229F"/>
    <w:rsid w:val="006A2AC4"/>
    <w:rsid w:val="006A2E5B"/>
    <w:rsid w:val="006A2FE1"/>
    <w:rsid w:val="006A30D3"/>
    <w:rsid w:val="006A3141"/>
    <w:rsid w:val="006A3712"/>
    <w:rsid w:val="006A3D82"/>
    <w:rsid w:val="006A4455"/>
    <w:rsid w:val="006A44F5"/>
    <w:rsid w:val="006A4D39"/>
    <w:rsid w:val="006A4E70"/>
    <w:rsid w:val="006A52BB"/>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42D"/>
    <w:rsid w:val="006B0757"/>
    <w:rsid w:val="006B082C"/>
    <w:rsid w:val="006B13AD"/>
    <w:rsid w:val="006B1735"/>
    <w:rsid w:val="006B1D49"/>
    <w:rsid w:val="006B2146"/>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B7FFB"/>
    <w:rsid w:val="006C0006"/>
    <w:rsid w:val="006C06AD"/>
    <w:rsid w:val="006C0C3B"/>
    <w:rsid w:val="006C0E56"/>
    <w:rsid w:val="006C1249"/>
    <w:rsid w:val="006C215C"/>
    <w:rsid w:val="006C2B65"/>
    <w:rsid w:val="006C3605"/>
    <w:rsid w:val="006C3AE3"/>
    <w:rsid w:val="006C3E39"/>
    <w:rsid w:val="006C41A5"/>
    <w:rsid w:val="006C4564"/>
    <w:rsid w:val="006C47A0"/>
    <w:rsid w:val="006C47BA"/>
    <w:rsid w:val="006C506E"/>
    <w:rsid w:val="006C5201"/>
    <w:rsid w:val="006C5B58"/>
    <w:rsid w:val="006C5BAE"/>
    <w:rsid w:val="006C5E60"/>
    <w:rsid w:val="006C5F43"/>
    <w:rsid w:val="006C6315"/>
    <w:rsid w:val="006C6CB1"/>
    <w:rsid w:val="006C7098"/>
    <w:rsid w:val="006C7B1F"/>
    <w:rsid w:val="006D0C25"/>
    <w:rsid w:val="006D0ED0"/>
    <w:rsid w:val="006D1015"/>
    <w:rsid w:val="006D1082"/>
    <w:rsid w:val="006D13A1"/>
    <w:rsid w:val="006D1434"/>
    <w:rsid w:val="006D15DC"/>
    <w:rsid w:val="006D1F9B"/>
    <w:rsid w:val="006D2437"/>
    <w:rsid w:val="006D294C"/>
    <w:rsid w:val="006D3292"/>
    <w:rsid w:val="006D38F2"/>
    <w:rsid w:val="006D41F4"/>
    <w:rsid w:val="006D4259"/>
    <w:rsid w:val="006D444B"/>
    <w:rsid w:val="006D4512"/>
    <w:rsid w:val="006D49E2"/>
    <w:rsid w:val="006D4E02"/>
    <w:rsid w:val="006D5636"/>
    <w:rsid w:val="006D5641"/>
    <w:rsid w:val="006D5B67"/>
    <w:rsid w:val="006D5D1D"/>
    <w:rsid w:val="006D6005"/>
    <w:rsid w:val="006D6425"/>
    <w:rsid w:val="006D6670"/>
    <w:rsid w:val="006D6C91"/>
    <w:rsid w:val="006D6D78"/>
    <w:rsid w:val="006D703F"/>
    <w:rsid w:val="006D71A3"/>
    <w:rsid w:val="006D74A6"/>
    <w:rsid w:val="006D7656"/>
    <w:rsid w:val="006D773E"/>
    <w:rsid w:val="006D78EC"/>
    <w:rsid w:val="006D7ABC"/>
    <w:rsid w:val="006D7F39"/>
    <w:rsid w:val="006E03A1"/>
    <w:rsid w:val="006E096C"/>
    <w:rsid w:val="006E0C71"/>
    <w:rsid w:val="006E17F2"/>
    <w:rsid w:val="006E1AA5"/>
    <w:rsid w:val="006E1D49"/>
    <w:rsid w:val="006E2201"/>
    <w:rsid w:val="006E2958"/>
    <w:rsid w:val="006E29A7"/>
    <w:rsid w:val="006E2D44"/>
    <w:rsid w:val="006E388E"/>
    <w:rsid w:val="006E3D42"/>
    <w:rsid w:val="006E460F"/>
    <w:rsid w:val="006E4647"/>
    <w:rsid w:val="006E4BA6"/>
    <w:rsid w:val="006E4D4F"/>
    <w:rsid w:val="006E4DB8"/>
    <w:rsid w:val="006E5024"/>
    <w:rsid w:val="006E513D"/>
    <w:rsid w:val="006E514B"/>
    <w:rsid w:val="006E554C"/>
    <w:rsid w:val="006E5C81"/>
    <w:rsid w:val="006E5DC5"/>
    <w:rsid w:val="006E5EF3"/>
    <w:rsid w:val="006E666A"/>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891"/>
    <w:rsid w:val="006F5919"/>
    <w:rsid w:val="006F61C2"/>
    <w:rsid w:val="006F61F7"/>
    <w:rsid w:val="006F6800"/>
    <w:rsid w:val="006F6AD1"/>
    <w:rsid w:val="006F6DAD"/>
    <w:rsid w:val="006F6F86"/>
    <w:rsid w:val="006F71D9"/>
    <w:rsid w:val="006F7490"/>
    <w:rsid w:val="006F7B28"/>
    <w:rsid w:val="00700C05"/>
    <w:rsid w:val="00701241"/>
    <w:rsid w:val="007013CD"/>
    <w:rsid w:val="00701A6D"/>
    <w:rsid w:val="0070226D"/>
    <w:rsid w:val="0070267D"/>
    <w:rsid w:val="007027A4"/>
    <w:rsid w:val="00702A83"/>
    <w:rsid w:val="00702C0F"/>
    <w:rsid w:val="00703889"/>
    <w:rsid w:val="007038C4"/>
    <w:rsid w:val="007038FC"/>
    <w:rsid w:val="00704221"/>
    <w:rsid w:val="0070441F"/>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D35"/>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90"/>
    <w:rsid w:val="00713BB0"/>
    <w:rsid w:val="00713C77"/>
    <w:rsid w:val="00713F8E"/>
    <w:rsid w:val="0071423D"/>
    <w:rsid w:val="00714561"/>
    <w:rsid w:val="007147DD"/>
    <w:rsid w:val="007147E5"/>
    <w:rsid w:val="00714AF3"/>
    <w:rsid w:val="00714E19"/>
    <w:rsid w:val="007158E2"/>
    <w:rsid w:val="00715F25"/>
    <w:rsid w:val="00715F99"/>
    <w:rsid w:val="00716140"/>
    <w:rsid w:val="0071660E"/>
    <w:rsid w:val="00716B28"/>
    <w:rsid w:val="007172D0"/>
    <w:rsid w:val="0071741D"/>
    <w:rsid w:val="00717CE1"/>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188"/>
    <w:rsid w:val="007273D7"/>
    <w:rsid w:val="007277F5"/>
    <w:rsid w:val="007278A5"/>
    <w:rsid w:val="00727996"/>
    <w:rsid w:val="00727ACA"/>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7E1"/>
    <w:rsid w:val="00736CA2"/>
    <w:rsid w:val="00736DD7"/>
    <w:rsid w:val="007376CF"/>
    <w:rsid w:val="00737861"/>
    <w:rsid w:val="00737E09"/>
    <w:rsid w:val="0074014C"/>
    <w:rsid w:val="0074048A"/>
    <w:rsid w:val="007407F6"/>
    <w:rsid w:val="00740BEF"/>
    <w:rsid w:val="00740E77"/>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56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D15"/>
    <w:rsid w:val="00753672"/>
    <w:rsid w:val="00753851"/>
    <w:rsid w:val="00755207"/>
    <w:rsid w:val="0075581D"/>
    <w:rsid w:val="00756313"/>
    <w:rsid w:val="00756AB5"/>
    <w:rsid w:val="00757046"/>
    <w:rsid w:val="00757285"/>
    <w:rsid w:val="00757356"/>
    <w:rsid w:val="00757460"/>
    <w:rsid w:val="00757709"/>
    <w:rsid w:val="0075787F"/>
    <w:rsid w:val="00757913"/>
    <w:rsid w:val="007579B7"/>
    <w:rsid w:val="00757A24"/>
    <w:rsid w:val="00757AE9"/>
    <w:rsid w:val="00757D13"/>
    <w:rsid w:val="00757E84"/>
    <w:rsid w:val="00757FA5"/>
    <w:rsid w:val="00760363"/>
    <w:rsid w:val="00760B74"/>
    <w:rsid w:val="00761664"/>
    <w:rsid w:val="00761797"/>
    <w:rsid w:val="00761D5C"/>
    <w:rsid w:val="00762009"/>
    <w:rsid w:val="00762182"/>
    <w:rsid w:val="007625BB"/>
    <w:rsid w:val="00762758"/>
    <w:rsid w:val="00763024"/>
    <w:rsid w:val="007634E1"/>
    <w:rsid w:val="0076357C"/>
    <w:rsid w:val="007637F0"/>
    <w:rsid w:val="00764162"/>
    <w:rsid w:val="0076489B"/>
    <w:rsid w:val="00764D42"/>
    <w:rsid w:val="00765022"/>
    <w:rsid w:val="00765059"/>
    <w:rsid w:val="0076515A"/>
    <w:rsid w:val="00765565"/>
    <w:rsid w:val="00765587"/>
    <w:rsid w:val="0076559D"/>
    <w:rsid w:val="00765697"/>
    <w:rsid w:val="0076579A"/>
    <w:rsid w:val="00766336"/>
    <w:rsid w:val="00766716"/>
    <w:rsid w:val="007668DF"/>
    <w:rsid w:val="00766F58"/>
    <w:rsid w:val="00767C0A"/>
    <w:rsid w:val="00767C1E"/>
    <w:rsid w:val="00770145"/>
    <w:rsid w:val="00770A78"/>
    <w:rsid w:val="00770E73"/>
    <w:rsid w:val="00771066"/>
    <w:rsid w:val="00771BEA"/>
    <w:rsid w:val="007725C7"/>
    <w:rsid w:val="0077264A"/>
    <w:rsid w:val="00772B21"/>
    <w:rsid w:val="00772D00"/>
    <w:rsid w:val="00773AB6"/>
    <w:rsid w:val="00774971"/>
    <w:rsid w:val="00774A64"/>
    <w:rsid w:val="0077560E"/>
    <w:rsid w:val="00775871"/>
    <w:rsid w:val="007765B2"/>
    <w:rsid w:val="00776C29"/>
    <w:rsid w:val="00777334"/>
    <w:rsid w:val="00777861"/>
    <w:rsid w:val="00777909"/>
    <w:rsid w:val="0077797B"/>
    <w:rsid w:val="00777B65"/>
    <w:rsid w:val="00777C28"/>
    <w:rsid w:val="00777E9A"/>
    <w:rsid w:val="0078122D"/>
    <w:rsid w:val="00781375"/>
    <w:rsid w:val="00781456"/>
    <w:rsid w:val="00781687"/>
    <w:rsid w:val="00781C18"/>
    <w:rsid w:val="00781DB7"/>
    <w:rsid w:val="00782516"/>
    <w:rsid w:val="00783591"/>
    <w:rsid w:val="007839A0"/>
    <w:rsid w:val="00783A9B"/>
    <w:rsid w:val="00783B01"/>
    <w:rsid w:val="00783B2F"/>
    <w:rsid w:val="00783F03"/>
    <w:rsid w:val="00784299"/>
    <w:rsid w:val="00784734"/>
    <w:rsid w:val="00784AD1"/>
    <w:rsid w:val="00785BA8"/>
    <w:rsid w:val="007863BD"/>
    <w:rsid w:val="00786748"/>
    <w:rsid w:val="0078674A"/>
    <w:rsid w:val="00786851"/>
    <w:rsid w:val="00786BBE"/>
    <w:rsid w:val="00786D18"/>
    <w:rsid w:val="00786EF3"/>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2A0"/>
    <w:rsid w:val="007933B7"/>
    <w:rsid w:val="007938EA"/>
    <w:rsid w:val="00793AA3"/>
    <w:rsid w:val="007943B5"/>
    <w:rsid w:val="00794FAD"/>
    <w:rsid w:val="007950D5"/>
    <w:rsid w:val="007956DA"/>
    <w:rsid w:val="00795906"/>
    <w:rsid w:val="00795CFD"/>
    <w:rsid w:val="00795E1D"/>
    <w:rsid w:val="00795E2B"/>
    <w:rsid w:val="0079612A"/>
    <w:rsid w:val="00796455"/>
    <w:rsid w:val="0079666E"/>
    <w:rsid w:val="0079680F"/>
    <w:rsid w:val="0079746C"/>
    <w:rsid w:val="00797484"/>
    <w:rsid w:val="007974DC"/>
    <w:rsid w:val="007A00A5"/>
    <w:rsid w:val="007A03C4"/>
    <w:rsid w:val="007A0752"/>
    <w:rsid w:val="007A1655"/>
    <w:rsid w:val="007A1801"/>
    <w:rsid w:val="007A1915"/>
    <w:rsid w:val="007A214E"/>
    <w:rsid w:val="007A2705"/>
    <w:rsid w:val="007A277F"/>
    <w:rsid w:val="007A287E"/>
    <w:rsid w:val="007A29DB"/>
    <w:rsid w:val="007A2EA5"/>
    <w:rsid w:val="007A2EC9"/>
    <w:rsid w:val="007A305B"/>
    <w:rsid w:val="007A3391"/>
    <w:rsid w:val="007A3581"/>
    <w:rsid w:val="007A36F7"/>
    <w:rsid w:val="007A3FC6"/>
    <w:rsid w:val="007A440D"/>
    <w:rsid w:val="007A4A52"/>
    <w:rsid w:val="007A5B4A"/>
    <w:rsid w:val="007A617C"/>
    <w:rsid w:val="007A6261"/>
    <w:rsid w:val="007A69B2"/>
    <w:rsid w:val="007A6C6F"/>
    <w:rsid w:val="007A73C2"/>
    <w:rsid w:val="007A75C0"/>
    <w:rsid w:val="007A79E5"/>
    <w:rsid w:val="007A7A4A"/>
    <w:rsid w:val="007A7C80"/>
    <w:rsid w:val="007B023A"/>
    <w:rsid w:val="007B07F4"/>
    <w:rsid w:val="007B083A"/>
    <w:rsid w:val="007B08C3"/>
    <w:rsid w:val="007B0E4C"/>
    <w:rsid w:val="007B13BD"/>
    <w:rsid w:val="007B15D7"/>
    <w:rsid w:val="007B196C"/>
    <w:rsid w:val="007B1AB2"/>
    <w:rsid w:val="007B2521"/>
    <w:rsid w:val="007B2C6D"/>
    <w:rsid w:val="007B2DEE"/>
    <w:rsid w:val="007B2E63"/>
    <w:rsid w:val="007B30D9"/>
    <w:rsid w:val="007B3CA5"/>
    <w:rsid w:val="007B3D41"/>
    <w:rsid w:val="007B3FFE"/>
    <w:rsid w:val="007B4C8D"/>
    <w:rsid w:val="007B4CCA"/>
    <w:rsid w:val="007B511E"/>
    <w:rsid w:val="007B512F"/>
    <w:rsid w:val="007B5459"/>
    <w:rsid w:val="007B5C76"/>
    <w:rsid w:val="007B5E35"/>
    <w:rsid w:val="007B6282"/>
    <w:rsid w:val="007B639E"/>
    <w:rsid w:val="007B66F6"/>
    <w:rsid w:val="007B679B"/>
    <w:rsid w:val="007B6833"/>
    <w:rsid w:val="007B6B46"/>
    <w:rsid w:val="007B6FDF"/>
    <w:rsid w:val="007B7572"/>
    <w:rsid w:val="007B795B"/>
    <w:rsid w:val="007B7A96"/>
    <w:rsid w:val="007C08B2"/>
    <w:rsid w:val="007C118C"/>
    <w:rsid w:val="007C12E4"/>
    <w:rsid w:val="007C145A"/>
    <w:rsid w:val="007C186B"/>
    <w:rsid w:val="007C190F"/>
    <w:rsid w:val="007C1B71"/>
    <w:rsid w:val="007C1EAC"/>
    <w:rsid w:val="007C210E"/>
    <w:rsid w:val="007C22CB"/>
    <w:rsid w:val="007C327F"/>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03E"/>
    <w:rsid w:val="007D1D35"/>
    <w:rsid w:val="007D1FB0"/>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596"/>
    <w:rsid w:val="007D6894"/>
    <w:rsid w:val="007D689A"/>
    <w:rsid w:val="007D7309"/>
    <w:rsid w:val="007D79B6"/>
    <w:rsid w:val="007E0D90"/>
    <w:rsid w:val="007E0E6F"/>
    <w:rsid w:val="007E1807"/>
    <w:rsid w:val="007E1BF3"/>
    <w:rsid w:val="007E1E73"/>
    <w:rsid w:val="007E1FAD"/>
    <w:rsid w:val="007E21C0"/>
    <w:rsid w:val="007E235D"/>
    <w:rsid w:val="007E26BA"/>
    <w:rsid w:val="007E2EC1"/>
    <w:rsid w:val="007E3C23"/>
    <w:rsid w:val="007E3F65"/>
    <w:rsid w:val="007E4549"/>
    <w:rsid w:val="007E4882"/>
    <w:rsid w:val="007E4988"/>
    <w:rsid w:val="007E4E7F"/>
    <w:rsid w:val="007E4FD3"/>
    <w:rsid w:val="007E57F4"/>
    <w:rsid w:val="007E5B67"/>
    <w:rsid w:val="007E5F86"/>
    <w:rsid w:val="007E60EE"/>
    <w:rsid w:val="007E634F"/>
    <w:rsid w:val="007E63DC"/>
    <w:rsid w:val="007E6DA8"/>
    <w:rsid w:val="007E6DFE"/>
    <w:rsid w:val="007E6EFA"/>
    <w:rsid w:val="007E7112"/>
    <w:rsid w:val="007E7290"/>
    <w:rsid w:val="007E72D0"/>
    <w:rsid w:val="007E7365"/>
    <w:rsid w:val="007E7476"/>
    <w:rsid w:val="007E7522"/>
    <w:rsid w:val="007E7602"/>
    <w:rsid w:val="007F0631"/>
    <w:rsid w:val="007F081B"/>
    <w:rsid w:val="007F096D"/>
    <w:rsid w:val="007F0E89"/>
    <w:rsid w:val="007F0EB8"/>
    <w:rsid w:val="007F1086"/>
    <w:rsid w:val="007F1876"/>
    <w:rsid w:val="007F1948"/>
    <w:rsid w:val="007F1B1D"/>
    <w:rsid w:val="007F2242"/>
    <w:rsid w:val="007F25CE"/>
    <w:rsid w:val="007F2948"/>
    <w:rsid w:val="007F2F22"/>
    <w:rsid w:val="007F3050"/>
    <w:rsid w:val="007F31BE"/>
    <w:rsid w:val="007F31E8"/>
    <w:rsid w:val="007F3229"/>
    <w:rsid w:val="007F37F5"/>
    <w:rsid w:val="007F38D1"/>
    <w:rsid w:val="007F3D46"/>
    <w:rsid w:val="007F3E1C"/>
    <w:rsid w:val="007F3F8C"/>
    <w:rsid w:val="007F4168"/>
    <w:rsid w:val="007F417B"/>
    <w:rsid w:val="007F44D1"/>
    <w:rsid w:val="007F4501"/>
    <w:rsid w:val="007F45C2"/>
    <w:rsid w:val="007F46F8"/>
    <w:rsid w:val="007F4D2D"/>
    <w:rsid w:val="007F4F5D"/>
    <w:rsid w:val="007F509B"/>
    <w:rsid w:val="007F543A"/>
    <w:rsid w:val="007F5F38"/>
    <w:rsid w:val="007F6457"/>
    <w:rsid w:val="007F72C9"/>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CD3"/>
    <w:rsid w:val="00806F89"/>
    <w:rsid w:val="0080737C"/>
    <w:rsid w:val="00807460"/>
    <w:rsid w:val="00807C21"/>
    <w:rsid w:val="00807EC2"/>
    <w:rsid w:val="00810925"/>
    <w:rsid w:val="0081097E"/>
    <w:rsid w:val="00810BCD"/>
    <w:rsid w:val="00810BFB"/>
    <w:rsid w:val="00810F0F"/>
    <w:rsid w:val="0081112F"/>
    <w:rsid w:val="00811157"/>
    <w:rsid w:val="008115EE"/>
    <w:rsid w:val="008116C7"/>
    <w:rsid w:val="00811CB1"/>
    <w:rsid w:val="00811F5B"/>
    <w:rsid w:val="0081263C"/>
    <w:rsid w:val="00813017"/>
    <w:rsid w:val="00813080"/>
    <w:rsid w:val="00813D2C"/>
    <w:rsid w:val="00813DC0"/>
    <w:rsid w:val="00813E06"/>
    <w:rsid w:val="00814493"/>
    <w:rsid w:val="0081456F"/>
    <w:rsid w:val="00814D59"/>
    <w:rsid w:val="00815037"/>
    <w:rsid w:val="0081512E"/>
    <w:rsid w:val="008156C0"/>
    <w:rsid w:val="008157D3"/>
    <w:rsid w:val="00815982"/>
    <w:rsid w:val="00815F8D"/>
    <w:rsid w:val="008163C2"/>
    <w:rsid w:val="0081660F"/>
    <w:rsid w:val="00816F07"/>
    <w:rsid w:val="00817796"/>
    <w:rsid w:val="00817BD7"/>
    <w:rsid w:val="00817D0A"/>
    <w:rsid w:val="00817E0D"/>
    <w:rsid w:val="008201C8"/>
    <w:rsid w:val="008206E4"/>
    <w:rsid w:val="00820E5E"/>
    <w:rsid w:val="00821455"/>
    <w:rsid w:val="0082187F"/>
    <w:rsid w:val="008218D0"/>
    <w:rsid w:val="00821ADD"/>
    <w:rsid w:val="00821E84"/>
    <w:rsid w:val="00821F0C"/>
    <w:rsid w:val="0082254C"/>
    <w:rsid w:val="00822610"/>
    <w:rsid w:val="00822935"/>
    <w:rsid w:val="00822CAB"/>
    <w:rsid w:val="00822D17"/>
    <w:rsid w:val="008230DC"/>
    <w:rsid w:val="008231A4"/>
    <w:rsid w:val="00823B69"/>
    <w:rsid w:val="00823E6F"/>
    <w:rsid w:val="0082460E"/>
    <w:rsid w:val="008247B0"/>
    <w:rsid w:val="008253DB"/>
    <w:rsid w:val="00825631"/>
    <w:rsid w:val="008259CD"/>
    <w:rsid w:val="00825BF7"/>
    <w:rsid w:val="0082613D"/>
    <w:rsid w:val="008264A8"/>
    <w:rsid w:val="00826538"/>
    <w:rsid w:val="00827555"/>
    <w:rsid w:val="008278FE"/>
    <w:rsid w:val="00827F18"/>
    <w:rsid w:val="0083040E"/>
    <w:rsid w:val="00830520"/>
    <w:rsid w:val="0083074B"/>
    <w:rsid w:val="00831211"/>
    <w:rsid w:val="008319EC"/>
    <w:rsid w:val="00831F4B"/>
    <w:rsid w:val="00831FEC"/>
    <w:rsid w:val="00832A7C"/>
    <w:rsid w:val="00832E8A"/>
    <w:rsid w:val="00833069"/>
    <w:rsid w:val="00833268"/>
    <w:rsid w:val="008336E5"/>
    <w:rsid w:val="00834181"/>
    <w:rsid w:val="00834B48"/>
    <w:rsid w:val="00834CCC"/>
    <w:rsid w:val="00834E7A"/>
    <w:rsid w:val="00834E88"/>
    <w:rsid w:val="00835318"/>
    <w:rsid w:val="00835576"/>
    <w:rsid w:val="0083570C"/>
    <w:rsid w:val="00835742"/>
    <w:rsid w:val="0083682E"/>
    <w:rsid w:val="0083697F"/>
    <w:rsid w:val="00836B86"/>
    <w:rsid w:val="008370D0"/>
    <w:rsid w:val="008377B5"/>
    <w:rsid w:val="00837D89"/>
    <w:rsid w:val="008402E6"/>
    <w:rsid w:val="00840565"/>
    <w:rsid w:val="008409E7"/>
    <w:rsid w:val="00840D86"/>
    <w:rsid w:val="00840FE2"/>
    <w:rsid w:val="0084116F"/>
    <w:rsid w:val="008416A5"/>
    <w:rsid w:val="00841843"/>
    <w:rsid w:val="00841937"/>
    <w:rsid w:val="0084194A"/>
    <w:rsid w:val="0084267B"/>
    <w:rsid w:val="00843259"/>
    <w:rsid w:val="008437D4"/>
    <w:rsid w:val="00843824"/>
    <w:rsid w:val="008438D3"/>
    <w:rsid w:val="00843F95"/>
    <w:rsid w:val="0084408B"/>
    <w:rsid w:val="00844287"/>
    <w:rsid w:val="008442F3"/>
    <w:rsid w:val="008443C0"/>
    <w:rsid w:val="00844639"/>
    <w:rsid w:val="00844A46"/>
    <w:rsid w:val="00844E50"/>
    <w:rsid w:val="00845354"/>
    <w:rsid w:val="008454FE"/>
    <w:rsid w:val="008456FF"/>
    <w:rsid w:val="00845A7A"/>
    <w:rsid w:val="00845C3C"/>
    <w:rsid w:val="00845DA8"/>
    <w:rsid w:val="00846960"/>
    <w:rsid w:val="00847196"/>
    <w:rsid w:val="00847F43"/>
    <w:rsid w:val="008501A5"/>
    <w:rsid w:val="00850F53"/>
    <w:rsid w:val="00850FCE"/>
    <w:rsid w:val="00851523"/>
    <w:rsid w:val="0085192E"/>
    <w:rsid w:val="008524A9"/>
    <w:rsid w:val="008528E1"/>
    <w:rsid w:val="0085295F"/>
    <w:rsid w:val="0085334B"/>
    <w:rsid w:val="008535F0"/>
    <w:rsid w:val="00853832"/>
    <w:rsid w:val="00853A17"/>
    <w:rsid w:val="0085414B"/>
    <w:rsid w:val="0085416B"/>
    <w:rsid w:val="008542F8"/>
    <w:rsid w:val="008545C4"/>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0A6"/>
    <w:rsid w:val="008603AA"/>
    <w:rsid w:val="008605FE"/>
    <w:rsid w:val="00860629"/>
    <w:rsid w:val="0086081C"/>
    <w:rsid w:val="008616A4"/>
    <w:rsid w:val="008617AF"/>
    <w:rsid w:val="00861833"/>
    <w:rsid w:val="008619FF"/>
    <w:rsid w:val="00861BE6"/>
    <w:rsid w:val="008622C8"/>
    <w:rsid w:val="00862C0C"/>
    <w:rsid w:val="00862D15"/>
    <w:rsid w:val="00863299"/>
    <w:rsid w:val="00864128"/>
    <w:rsid w:val="00864549"/>
    <w:rsid w:val="008645BB"/>
    <w:rsid w:val="00864661"/>
    <w:rsid w:val="008646E6"/>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0762"/>
    <w:rsid w:val="008711F4"/>
    <w:rsid w:val="00871B1E"/>
    <w:rsid w:val="00871FA1"/>
    <w:rsid w:val="00872057"/>
    <w:rsid w:val="00872F7E"/>
    <w:rsid w:val="00873278"/>
    <w:rsid w:val="008733EA"/>
    <w:rsid w:val="008734D4"/>
    <w:rsid w:val="008741A3"/>
    <w:rsid w:val="00874902"/>
    <w:rsid w:val="0087537A"/>
    <w:rsid w:val="008756D8"/>
    <w:rsid w:val="00875988"/>
    <w:rsid w:val="00875B39"/>
    <w:rsid w:val="00875C28"/>
    <w:rsid w:val="00875C42"/>
    <w:rsid w:val="00875E14"/>
    <w:rsid w:val="00876471"/>
    <w:rsid w:val="00876478"/>
    <w:rsid w:val="00876488"/>
    <w:rsid w:val="008766D1"/>
    <w:rsid w:val="00876BB6"/>
    <w:rsid w:val="00876E86"/>
    <w:rsid w:val="00876F19"/>
    <w:rsid w:val="00877368"/>
    <w:rsid w:val="00877399"/>
    <w:rsid w:val="008774A3"/>
    <w:rsid w:val="008777AB"/>
    <w:rsid w:val="00877D81"/>
    <w:rsid w:val="00877E3F"/>
    <w:rsid w:val="00877F9B"/>
    <w:rsid w:val="008800C9"/>
    <w:rsid w:val="008808BC"/>
    <w:rsid w:val="00880DDB"/>
    <w:rsid w:val="00880F69"/>
    <w:rsid w:val="008811E3"/>
    <w:rsid w:val="00881288"/>
    <w:rsid w:val="00881BEA"/>
    <w:rsid w:val="00881EB1"/>
    <w:rsid w:val="0088303A"/>
    <w:rsid w:val="00883085"/>
    <w:rsid w:val="008832EC"/>
    <w:rsid w:val="008838B4"/>
    <w:rsid w:val="00883BAC"/>
    <w:rsid w:val="00884232"/>
    <w:rsid w:val="0088429C"/>
    <w:rsid w:val="008854AB"/>
    <w:rsid w:val="00885726"/>
    <w:rsid w:val="00885B50"/>
    <w:rsid w:val="00885B64"/>
    <w:rsid w:val="00885BBC"/>
    <w:rsid w:val="00886BE6"/>
    <w:rsid w:val="00887759"/>
    <w:rsid w:val="00887B6A"/>
    <w:rsid w:val="00887DDB"/>
    <w:rsid w:val="00890081"/>
    <w:rsid w:val="008900F0"/>
    <w:rsid w:val="008905F2"/>
    <w:rsid w:val="0089061F"/>
    <w:rsid w:val="00890A21"/>
    <w:rsid w:val="00890A76"/>
    <w:rsid w:val="00891360"/>
    <w:rsid w:val="008914DA"/>
    <w:rsid w:val="0089194E"/>
    <w:rsid w:val="00892502"/>
    <w:rsid w:val="00892530"/>
    <w:rsid w:val="0089259D"/>
    <w:rsid w:val="00892F00"/>
    <w:rsid w:val="008930AE"/>
    <w:rsid w:val="0089318C"/>
    <w:rsid w:val="00893222"/>
    <w:rsid w:val="0089335F"/>
    <w:rsid w:val="00893FD3"/>
    <w:rsid w:val="008942F4"/>
    <w:rsid w:val="00894406"/>
    <w:rsid w:val="00894B37"/>
    <w:rsid w:val="00894F9C"/>
    <w:rsid w:val="008951F8"/>
    <w:rsid w:val="00895497"/>
    <w:rsid w:val="008954F5"/>
    <w:rsid w:val="00895B48"/>
    <w:rsid w:val="00895B61"/>
    <w:rsid w:val="00895DA3"/>
    <w:rsid w:val="00895F71"/>
    <w:rsid w:val="00896442"/>
    <w:rsid w:val="008964AE"/>
    <w:rsid w:val="00896620"/>
    <w:rsid w:val="0089694B"/>
    <w:rsid w:val="00896B0A"/>
    <w:rsid w:val="00896EB9"/>
    <w:rsid w:val="00897430"/>
    <w:rsid w:val="008974DF"/>
    <w:rsid w:val="0089771D"/>
    <w:rsid w:val="00897C11"/>
    <w:rsid w:val="00897F29"/>
    <w:rsid w:val="008A0E54"/>
    <w:rsid w:val="008A140B"/>
    <w:rsid w:val="008A144A"/>
    <w:rsid w:val="008A2D56"/>
    <w:rsid w:val="008A2F3C"/>
    <w:rsid w:val="008A3449"/>
    <w:rsid w:val="008A36EB"/>
    <w:rsid w:val="008A38B1"/>
    <w:rsid w:val="008A3A37"/>
    <w:rsid w:val="008A3D03"/>
    <w:rsid w:val="008A41D9"/>
    <w:rsid w:val="008A435B"/>
    <w:rsid w:val="008A48C2"/>
    <w:rsid w:val="008A4ED7"/>
    <w:rsid w:val="008A50B3"/>
    <w:rsid w:val="008A5388"/>
    <w:rsid w:val="008A5B39"/>
    <w:rsid w:val="008A622D"/>
    <w:rsid w:val="008A658A"/>
    <w:rsid w:val="008A6594"/>
    <w:rsid w:val="008A668B"/>
    <w:rsid w:val="008A670D"/>
    <w:rsid w:val="008A6956"/>
    <w:rsid w:val="008A6991"/>
    <w:rsid w:val="008A69A0"/>
    <w:rsid w:val="008A6E1D"/>
    <w:rsid w:val="008A6E82"/>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1E31"/>
    <w:rsid w:val="008B2883"/>
    <w:rsid w:val="008B2A58"/>
    <w:rsid w:val="008B2AC9"/>
    <w:rsid w:val="008B2FBD"/>
    <w:rsid w:val="008B327F"/>
    <w:rsid w:val="008B32C7"/>
    <w:rsid w:val="008B333E"/>
    <w:rsid w:val="008B33D8"/>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72D7"/>
    <w:rsid w:val="008B7C15"/>
    <w:rsid w:val="008B7F95"/>
    <w:rsid w:val="008C0E9B"/>
    <w:rsid w:val="008C18B3"/>
    <w:rsid w:val="008C1ECB"/>
    <w:rsid w:val="008C1EFD"/>
    <w:rsid w:val="008C1F3C"/>
    <w:rsid w:val="008C2037"/>
    <w:rsid w:val="008C239A"/>
    <w:rsid w:val="008C374F"/>
    <w:rsid w:val="008C3A8B"/>
    <w:rsid w:val="008C3B87"/>
    <w:rsid w:val="008C4096"/>
    <w:rsid w:val="008C42C1"/>
    <w:rsid w:val="008C4967"/>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323F"/>
    <w:rsid w:val="008D43DB"/>
    <w:rsid w:val="008D4F2B"/>
    <w:rsid w:val="008D548C"/>
    <w:rsid w:val="008D5959"/>
    <w:rsid w:val="008D596E"/>
    <w:rsid w:val="008D65A7"/>
    <w:rsid w:val="008D6614"/>
    <w:rsid w:val="008D6767"/>
    <w:rsid w:val="008D6916"/>
    <w:rsid w:val="008D6CF5"/>
    <w:rsid w:val="008D70CC"/>
    <w:rsid w:val="008D7129"/>
    <w:rsid w:val="008D750F"/>
    <w:rsid w:val="008D78B7"/>
    <w:rsid w:val="008E0161"/>
    <w:rsid w:val="008E0AD1"/>
    <w:rsid w:val="008E0E76"/>
    <w:rsid w:val="008E1440"/>
    <w:rsid w:val="008E1665"/>
    <w:rsid w:val="008E1941"/>
    <w:rsid w:val="008E2E53"/>
    <w:rsid w:val="008E311C"/>
    <w:rsid w:val="008E31E3"/>
    <w:rsid w:val="008E3ABA"/>
    <w:rsid w:val="008E3C7A"/>
    <w:rsid w:val="008E3DAE"/>
    <w:rsid w:val="008E4034"/>
    <w:rsid w:val="008E473E"/>
    <w:rsid w:val="008E4B3C"/>
    <w:rsid w:val="008E4EB3"/>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19C"/>
    <w:rsid w:val="008F320D"/>
    <w:rsid w:val="008F3855"/>
    <w:rsid w:val="008F39FB"/>
    <w:rsid w:val="008F4099"/>
    <w:rsid w:val="008F4C74"/>
    <w:rsid w:val="008F4DA1"/>
    <w:rsid w:val="008F4E15"/>
    <w:rsid w:val="008F4F5D"/>
    <w:rsid w:val="008F546E"/>
    <w:rsid w:val="008F5C3D"/>
    <w:rsid w:val="008F65CA"/>
    <w:rsid w:val="008F6759"/>
    <w:rsid w:val="008F675F"/>
    <w:rsid w:val="008F68EA"/>
    <w:rsid w:val="008F6ACC"/>
    <w:rsid w:val="008F709A"/>
    <w:rsid w:val="008F73E2"/>
    <w:rsid w:val="008F7460"/>
    <w:rsid w:val="008F7A8B"/>
    <w:rsid w:val="008F7BBC"/>
    <w:rsid w:val="008F7D0C"/>
    <w:rsid w:val="008F7D8E"/>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1C"/>
    <w:rsid w:val="009032D7"/>
    <w:rsid w:val="00903492"/>
    <w:rsid w:val="009035F6"/>
    <w:rsid w:val="00903E52"/>
    <w:rsid w:val="00903EC1"/>
    <w:rsid w:val="00904698"/>
    <w:rsid w:val="009052C0"/>
    <w:rsid w:val="00905FD6"/>
    <w:rsid w:val="009060D2"/>
    <w:rsid w:val="0090637C"/>
    <w:rsid w:val="009064A5"/>
    <w:rsid w:val="009065F3"/>
    <w:rsid w:val="009069E2"/>
    <w:rsid w:val="00906C9A"/>
    <w:rsid w:val="00906FD1"/>
    <w:rsid w:val="00907192"/>
    <w:rsid w:val="00907423"/>
    <w:rsid w:val="00907618"/>
    <w:rsid w:val="00907750"/>
    <w:rsid w:val="009079B3"/>
    <w:rsid w:val="00907D16"/>
    <w:rsid w:val="00910C18"/>
    <w:rsid w:val="00910FB0"/>
    <w:rsid w:val="00911441"/>
    <w:rsid w:val="0091160D"/>
    <w:rsid w:val="00911A5B"/>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5DDF"/>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2DF"/>
    <w:rsid w:val="00922637"/>
    <w:rsid w:val="009229F6"/>
    <w:rsid w:val="00922B9F"/>
    <w:rsid w:val="009235C1"/>
    <w:rsid w:val="00923827"/>
    <w:rsid w:val="00923CEE"/>
    <w:rsid w:val="00923F52"/>
    <w:rsid w:val="00924806"/>
    <w:rsid w:val="009256D8"/>
    <w:rsid w:val="00925778"/>
    <w:rsid w:val="00925E0E"/>
    <w:rsid w:val="00925EF4"/>
    <w:rsid w:val="00925F05"/>
    <w:rsid w:val="00926238"/>
    <w:rsid w:val="00926484"/>
    <w:rsid w:val="0092675E"/>
    <w:rsid w:val="00926A4B"/>
    <w:rsid w:val="009271D2"/>
    <w:rsid w:val="009279D6"/>
    <w:rsid w:val="00927C3E"/>
    <w:rsid w:val="00927C84"/>
    <w:rsid w:val="00927CDC"/>
    <w:rsid w:val="00927DC4"/>
    <w:rsid w:val="00927DE1"/>
    <w:rsid w:val="00927FCB"/>
    <w:rsid w:val="0093009C"/>
    <w:rsid w:val="00930305"/>
    <w:rsid w:val="009308FD"/>
    <w:rsid w:val="00931657"/>
    <w:rsid w:val="00931C3E"/>
    <w:rsid w:val="00931DAF"/>
    <w:rsid w:val="009320A7"/>
    <w:rsid w:val="00932341"/>
    <w:rsid w:val="00932914"/>
    <w:rsid w:val="0093334A"/>
    <w:rsid w:val="00933B1E"/>
    <w:rsid w:val="0093456C"/>
    <w:rsid w:val="009347AE"/>
    <w:rsid w:val="00935C04"/>
    <w:rsid w:val="00935C8D"/>
    <w:rsid w:val="009378D0"/>
    <w:rsid w:val="00937A52"/>
    <w:rsid w:val="009403E3"/>
    <w:rsid w:val="009406BC"/>
    <w:rsid w:val="00940793"/>
    <w:rsid w:val="00940E87"/>
    <w:rsid w:val="00940F2E"/>
    <w:rsid w:val="0094123D"/>
    <w:rsid w:val="0094186C"/>
    <w:rsid w:val="00941C5B"/>
    <w:rsid w:val="0094248C"/>
    <w:rsid w:val="0094276B"/>
    <w:rsid w:val="00942AB8"/>
    <w:rsid w:val="009431BF"/>
    <w:rsid w:val="009438B4"/>
    <w:rsid w:val="0094399F"/>
    <w:rsid w:val="00943A8C"/>
    <w:rsid w:val="00943D98"/>
    <w:rsid w:val="00943E44"/>
    <w:rsid w:val="00944184"/>
    <w:rsid w:val="0094494F"/>
    <w:rsid w:val="00945245"/>
    <w:rsid w:val="009457B9"/>
    <w:rsid w:val="009459BC"/>
    <w:rsid w:val="0094625E"/>
    <w:rsid w:val="00946A62"/>
    <w:rsid w:val="00946C0F"/>
    <w:rsid w:val="00946F32"/>
    <w:rsid w:val="0094761B"/>
    <w:rsid w:val="00947A06"/>
    <w:rsid w:val="00947A51"/>
    <w:rsid w:val="00947F2B"/>
    <w:rsid w:val="00950069"/>
    <w:rsid w:val="009500AE"/>
    <w:rsid w:val="00950124"/>
    <w:rsid w:val="009502AA"/>
    <w:rsid w:val="009505F5"/>
    <w:rsid w:val="00950870"/>
    <w:rsid w:val="009509C1"/>
    <w:rsid w:val="00950E7B"/>
    <w:rsid w:val="009518C4"/>
    <w:rsid w:val="009524AA"/>
    <w:rsid w:val="00953142"/>
    <w:rsid w:val="0095324C"/>
    <w:rsid w:val="00953259"/>
    <w:rsid w:val="009536EF"/>
    <w:rsid w:val="009538B7"/>
    <w:rsid w:val="009544C1"/>
    <w:rsid w:val="009545B9"/>
    <w:rsid w:val="00954804"/>
    <w:rsid w:val="00955715"/>
    <w:rsid w:val="009558AC"/>
    <w:rsid w:val="00955AA1"/>
    <w:rsid w:val="00955CA3"/>
    <w:rsid w:val="00955DE5"/>
    <w:rsid w:val="0095611E"/>
    <w:rsid w:val="0095647D"/>
    <w:rsid w:val="00956AE6"/>
    <w:rsid w:val="00956D29"/>
    <w:rsid w:val="00956FE1"/>
    <w:rsid w:val="009572E4"/>
    <w:rsid w:val="00957548"/>
    <w:rsid w:val="00957699"/>
    <w:rsid w:val="009578CF"/>
    <w:rsid w:val="009578ED"/>
    <w:rsid w:val="00957E25"/>
    <w:rsid w:val="00960500"/>
    <w:rsid w:val="009609B1"/>
    <w:rsid w:val="00960A3B"/>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14B"/>
    <w:rsid w:val="00967E63"/>
    <w:rsid w:val="00967E87"/>
    <w:rsid w:val="0097033D"/>
    <w:rsid w:val="00970402"/>
    <w:rsid w:val="00970655"/>
    <w:rsid w:val="00970A78"/>
    <w:rsid w:val="00970BE7"/>
    <w:rsid w:val="00971009"/>
    <w:rsid w:val="00971891"/>
    <w:rsid w:val="00971EC8"/>
    <w:rsid w:val="00971F4B"/>
    <w:rsid w:val="009722C0"/>
    <w:rsid w:val="0097294C"/>
    <w:rsid w:val="009729D8"/>
    <w:rsid w:val="00972F09"/>
    <w:rsid w:val="009731E2"/>
    <w:rsid w:val="009731EB"/>
    <w:rsid w:val="0097388D"/>
    <w:rsid w:val="00973A2C"/>
    <w:rsid w:val="00973FC9"/>
    <w:rsid w:val="009744FA"/>
    <w:rsid w:val="00974828"/>
    <w:rsid w:val="0097483F"/>
    <w:rsid w:val="00974B12"/>
    <w:rsid w:val="00974C84"/>
    <w:rsid w:val="00975055"/>
    <w:rsid w:val="009754C1"/>
    <w:rsid w:val="00975AFC"/>
    <w:rsid w:val="00975BB3"/>
    <w:rsid w:val="00975E7C"/>
    <w:rsid w:val="00976021"/>
    <w:rsid w:val="009761E0"/>
    <w:rsid w:val="009764AA"/>
    <w:rsid w:val="00976691"/>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32E5"/>
    <w:rsid w:val="00984045"/>
    <w:rsid w:val="009840F0"/>
    <w:rsid w:val="00984531"/>
    <w:rsid w:val="009846F0"/>
    <w:rsid w:val="0098483C"/>
    <w:rsid w:val="00984BF2"/>
    <w:rsid w:val="00984EE6"/>
    <w:rsid w:val="009853FC"/>
    <w:rsid w:val="009859BB"/>
    <w:rsid w:val="00985B69"/>
    <w:rsid w:val="00985BE7"/>
    <w:rsid w:val="00986AD8"/>
    <w:rsid w:val="009870BD"/>
    <w:rsid w:val="009873FD"/>
    <w:rsid w:val="0098769F"/>
    <w:rsid w:val="00990036"/>
    <w:rsid w:val="00990058"/>
    <w:rsid w:val="009903FC"/>
    <w:rsid w:val="00990928"/>
    <w:rsid w:val="009914BB"/>
    <w:rsid w:val="00991788"/>
    <w:rsid w:val="00991D9D"/>
    <w:rsid w:val="00991FDB"/>
    <w:rsid w:val="0099214A"/>
    <w:rsid w:val="00992277"/>
    <w:rsid w:val="009929A7"/>
    <w:rsid w:val="00992C26"/>
    <w:rsid w:val="00992E5F"/>
    <w:rsid w:val="009932EB"/>
    <w:rsid w:val="00993CAE"/>
    <w:rsid w:val="00993EA7"/>
    <w:rsid w:val="00994498"/>
    <w:rsid w:val="0099494A"/>
    <w:rsid w:val="00994C12"/>
    <w:rsid w:val="00994D1A"/>
    <w:rsid w:val="00994D8E"/>
    <w:rsid w:val="00994E56"/>
    <w:rsid w:val="00995C43"/>
    <w:rsid w:val="00995E7B"/>
    <w:rsid w:val="00996127"/>
    <w:rsid w:val="009961AE"/>
    <w:rsid w:val="009964EE"/>
    <w:rsid w:val="00996C72"/>
    <w:rsid w:val="00996F1C"/>
    <w:rsid w:val="00996F4F"/>
    <w:rsid w:val="0099707A"/>
    <w:rsid w:val="009971B4"/>
    <w:rsid w:val="00997A8C"/>
    <w:rsid w:val="009A01EC"/>
    <w:rsid w:val="009A027E"/>
    <w:rsid w:val="009A0402"/>
    <w:rsid w:val="009A1AA3"/>
    <w:rsid w:val="009A1DD4"/>
    <w:rsid w:val="009A225B"/>
    <w:rsid w:val="009A34FC"/>
    <w:rsid w:val="009A3745"/>
    <w:rsid w:val="009A3B64"/>
    <w:rsid w:val="009A3D8F"/>
    <w:rsid w:val="009A3FB2"/>
    <w:rsid w:val="009A43CB"/>
    <w:rsid w:val="009A47CF"/>
    <w:rsid w:val="009A47D7"/>
    <w:rsid w:val="009A4F1E"/>
    <w:rsid w:val="009A517B"/>
    <w:rsid w:val="009A5324"/>
    <w:rsid w:val="009A555F"/>
    <w:rsid w:val="009A5D4A"/>
    <w:rsid w:val="009A6064"/>
    <w:rsid w:val="009A621A"/>
    <w:rsid w:val="009A67E4"/>
    <w:rsid w:val="009A6846"/>
    <w:rsid w:val="009A6A65"/>
    <w:rsid w:val="009A7374"/>
    <w:rsid w:val="009A7DDB"/>
    <w:rsid w:val="009A7E41"/>
    <w:rsid w:val="009B0532"/>
    <w:rsid w:val="009B0759"/>
    <w:rsid w:val="009B0D27"/>
    <w:rsid w:val="009B0DF8"/>
    <w:rsid w:val="009B118C"/>
    <w:rsid w:val="009B15BA"/>
    <w:rsid w:val="009B1776"/>
    <w:rsid w:val="009B18E3"/>
    <w:rsid w:val="009B236D"/>
    <w:rsid w:val="009B23FC"/>
    <w:rsid w:val="009B2A3B"/>
    <w:rsid w:val="009B2C0B"/>
    <w:rsid w:val="009B3555"/>
    <w:rsid w:val="009B3749"/>
    <w:rsid w:val="009B3BCB"/>
    <w:rsid w:val="009B455A"/>
    <w:rsid w:val="009B4C4B"/>
    <w:rsid w:val="009B511E"/>
    <w:rsid w:val="009B5273"/>
    <w:rsid w:val="009B5301"/>
    <w:rsid w:val="009B5AC0"/>
    <w:rsid w:val="009B6107"/>
    <w:rsid w:val="009B6337"/>
    <w:rsid w:val="009B646F"/>
    <w:rsid w:val="009B6D33"/>
    <w:rsid w:val="009B777D"/>
    <w:rsid w:val="009B7886"/>
    <w:rsid w:val="009B7C7D"/>
    <w:rsid w:val="009C016F"/>
    <w:rsid w:val="009C04DC"/>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3F40"/>
    <w:rsid w:val="009C43CE"/>
    <w:rsid w:val="009C4F77"/>
    <w:rsid w:val="009C51DB"/>
    <w:rsid w:val="009C5208"/>
    <w:rsid w:val="009C5396"/>
    <w:rsid w:val="009C566B"/>
    <w:rsid w:val="009C5907"/>
    <w:rsid w:val="009C5A0C"/>
    <w:rsid w:val="009C5C52"/>
    <w:rsid w:val="009C5CC3"/>
    <w:rsid w:val="009C63F4"/>
    <w:rsid w:val="009C6498"/>
    <w:rsid w:val="009C6758"/>
    <w:rsid w:val="009C6A45"/>
    <w:rsid w:val="009C6AC9"/>
    <w:rsid w:val="009C6BEE"/>
    <w:rsid w:val="009C6C6E"/>
    <w:rsid w:val="009C6D07"/>
    <w:rsid w:val="009C6D88"/>
    <w:rsid w:val="009C711F"/>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2C8"/>
    <w:rsid w:val="009D2770"/>
    <w:rsid w:val="009D311C"/>
    <w:rsid w:val="009D353A"/>
    <w:rsid w:val="009D3A02"/>
    <w:rsid w:val="009D3CEA"/>
    <w:rsid w:val="009D3E83"/>
    <w:rsid w:val="009D4BBC"/>
    <w:rsid w:val="009D4D01"/>
    <w:rsid w:val="009D4F18"/>
    <w:rsid w:val="009D545A"/>
    <w:rsid w:val="009D5474"/>
    <w:rsid w:val="009D57F8"/>
    <w:rsid w:val="009D587A"/>
    <w:rsid w:val="009D5CFB"/>
    <w:rsid w:val="009D5D11"/>
    <w:rsid w:val="009D5F1D"/>
    <w:rsid w:val="009D65DD"/>
    <w:rsid w:val="009D683F"/>
    <w:rsid w:val="009D6DD9"/>
    <w:rsid w:val="009D77CA"/>
    <w:rsid w:val="009D7A7E"/>
    <w:rsid w:val="009D7B6E"/>
    <w:rsid w:val="009D7BE4"/>
    <w:rsid w:val="009D7EDC"/>
    <w:rsid w:val="009D7F74"/>
    <w:rsid w:val="009E0C76"/>
    <w:rsid w:val="009E10CD"/>
    <w:rsid w:val="009E1FFF"/>
    <w:rsid w:val="009E24A4"/>
    <w:rsid w:val="009E2888"/>
    <w:rsid w:val="009E2A59"/>
    <w:rsid w:val="009E2F44"/>
    <w:rsid w:val="009E32AD"/>
    <w:rsid w:val="009E3C69"/>
    <w:rsid w:val="009E3E1F"/>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1596"/>
    <w:rsid w:val="009F1FC0"/>
    <w:rsid w:val="009F2087"/>
    <w:rsid w:val="009F2155"/>
    <w:rsid w:val="009F23AD"/>
    <w:rsid w:val="009F245C"/>
    <w:rsid w:val="009F24A8"/>
    <w:rsid w:val="009F2860"/>
    <w:rsid w:val="009F2919"/>
    <w:rsid w:val="009F2A1D"/>
    <w:rsid w:val="009F2E32"/>
    <w:rsid w:val="009F2E60"/>
    <w:rsid w:val="009F2EF8"/>
    <w:rsid w:val="009F3250"/>
    <w:rsid w:val="009F35FC"/>
    <w:rsid w:val="009F3BDA"/>
    <w:rsid w:val="009F3EB3"/>
    <w:rsid w:val="009F3FF9"/>
    <w:rsid w:val="009F43E1"/>
    <w:rsid w:val="009F46EF"/>
    <w:rsid w:val="009F4CE6"/>
    <w:rsid w:val="009F58E2"/>
    <w:rsid w:val="009F597F"/>
    <w:rsid w:val="009F59D9"/>
    <w:rsid w:val="009F5BF9"/>
    <w:rsid w:val="009F5D4F"/>
    <w:rsid w:val="009F5DD3"/>
    <w:rsid w:val="009F6352"/>
    <w:rsid w:val="009F7B92"/>
    <w:rsid w:val="009F7BC4"/>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40E"/>
    <w:rsid w:val="00A04BDB"/>
    <w:rsid w:val="00A04E73"/>
    <w:rsid w:val="00A0586A"/>
    <w:rsid w:val="00A063B2"/>
    <w:rsid w:val="00A067D4"/>
    <w:rsid w:val="00A068C9"/>
    <w:rsid w:val="00A06921"/>
    <w:rsid w:val="00A06D49"/>
    <w:rsid w:val="00A077FD"/>
    <w:rsid w:val="00A07E07"/>
    <w:rsid w:val="00A102C6"/>
    <w:rsid w:val="00A10304"/>
    <w:rsid w:val="00A10637"/>
    <w:rsid w:val="00A107E1"/>
    <w:rsid w:val="00A11299"/>
    <w:rsid w:val="00A117EF"/>
    <w:rsid w:val="00A11B24"/>
    <w:rsid w:val="00A11E9C"/>
    <w:rsid w:val="00A11ECC"/>
    <w:rsid w:val="00A127EE"/>
    <w:rsid w:val="00A12AF7"/>
    <w:rsid w:val="00A12C9A"/>
    <w:rsid w:val="00A12CB5"/>
    <w:rsid w:val="00A12E9D"/>
    <w:rsid w:val="00A131A3"/>
    <w:rsid w:val="00A1321F"/>
    <w:rsid w:val="00A13747"/>
    <w:rsid w:val="00A13B02"/>
    <w:rsid w:val="00A13B3B"/>
    <w:rsid w:val="00A147AD"/>
    <w:rsid w:val="00A1532F"/>
    <w:rsid w:val="00A15499"/>
    <w:rsid w:val="00A15803"/>
    <w:rsid w:val="00A16123"/>
    <w:rsid w:val="00A16821"/>
    <w:rsid w:val="00A16A61"/>
    <w:rsid w:val="00A16B41"/>
    <w:rsid w:val="00A16DD9"/>
    <w:rsid w:val="00A16EAC"/>
    <w:rsid w:val="00A17201"/>
    <w:rsid w:val="00A172BB"/>
    <w:rsid w:val="00A1760D"/>
    <w:rsid w:val="00A17652"/>
    <w:rsid w:val="00A178DA"/>
    <w:rsid w:val="00A202A9"/>
    <w:rsid w:val="00A20A36"/>
    <w:rsid w:val="00A20ECB"/>
    <w:rsid w:val="00A215A5"/>
    <w:rsid w:val="00A21FA8"/>
    <w:rsid w:val="00A223D7"/>
    <w:rsid w:val="00A2241F"/>
    <w:rsid w:val="00A2251D"/>
    <w:rsid w:val="00A22BD0"/>
    <w:rsid w:val="00A22CA0"/>
    <w:rsid w:val="00A236BA"/>
    <w:rsid w:val="00A240D4"/>
    <w:rsid w:val="00A24F4A"/>
    <w:rsid w:val="00A253E1"/>
    <w:rsid w:val="00A254A8"/>
    <w:rsid w:val="00A258CE"/>
    <w:rsid w:val="00A2635C"/>
    <w:rsid w:val="00A265AC"/>
    <w:rsid w:val="00A2669F"/>
    <w:rsid w:val="00A26BBB"/>
    <w:rsid w:val="00A273DD"/>
    <w:rsid w:val="00A27965"/>
    <w:rsid w:val="00A27A99"/>
    <w:rsid w:val="00A27CA1"/>
    <w:rsid w:val="00A27D06"/>
    <w:rsid w:val="00A31567"/>
    <w:rsid w:val="00A31E37"/>
    <w:rsid w:val="00A328AC"/>
    <w:rsid w:val="00A32A9D"/>
    <w:rsid w:val="00A32B0A"/>
    <w:rsid w:val="00A32D29"/>
    <w:rsid w:val="00A332F9"/>
    <w:rsid w:val="00A3352E"/>
    <w:rsid w:val="00A337AA"/>
    <w:rsid w:val="00A33AF8"/>
    <w:rsid w:val="00A33FE1"/>
    <w:rsid w:val="00A344AD"/>
    <w:rsid w:val="00A34873"/>
    <w:rsid w:val="00A354CF"/>
    <w:rsid w:val="00A355B5"/>
    <w:rsid w:val="00A35E3A"/>
    <w:rsid w:val="00A362A1"/>
    <w:rsid w:val="00A362DE"/>
    <w:rsid w:val="00A3641F"/>
    <w:rsid w:val="00A36A7D"/>
    <w:rsid w:val="00A3719A"/>
    <w:rsid w:val="00A37332"/>
    <w:rsid w:val="00A37423"/>
    <w:rsid w:val="00A379C5"/>
    <w:rsid w:val="00A37B09"/>
    <w:rsid w:val="00A37BD2"/>
    <w:rsid w:val="00A37E1A"/>
    <w:rsid w:val="00A4091E"/>
    <w:rsid w:val="00A40E32"/>
    <w:rsid w:val="00A412B1"/>
    <w:rsid w:val="00A413CD"/>
    <w:rsid w:val="00A418C3"/>
    <w:rsid w:val="00A4242C"/>
    <w:rsid w:val="00A4258D"/>
    <w:rsid w:val="00A42919"/>
    <w:rsid w:val="00A429EE"/>
    <w:rsid w:val="00A42A73"/>
    <w:rsid w:val="00A42DCB"/>
    <w:rsid w:val="00A4334F"/>
    <w:rsid w:val="00A434E2"/>
    <w:rsid w:val="00A4353A"/>
    <w:rsid w:val="00A438D8"/>
    <w:rsid w:val="00A439FD"/>
    <w:rsid w:val="00A43D7F"/>
    <w:rsid w:val="00A4402D"/>
    <w:rsid w:val="00A4425E"/>
    <w:rsid w:val="00A448CA"/>
    <w:rsid w:val="00A44F61"/>
    <w:rsid w:val="00A456FC"/>
    <w:rsid w:val="00A4624F"/>
    <w:rsid w:val="00A467B6"/>
    <w:rsid w:val="00A46A07"/>
    <w:rsid w:val="00A46B72"/>
    <w:rsid w:val="00A46BBC"/>
    <w:rsid w:val="00A46D4D"/>
    <w:rsid w:val="00A4701E"/>
    <w:rsid w:val="00A47370"/>
    <w:rsid w:val="00A4738E"/>
    <w:rsid w:val="00A4758B"/>
    <w:rsid w:val="00A4792B"/>
    <w:rsid w:val="00A479E5"/>
    <w:rsid w:val="00A47E40"/>
    <w:rsid w:val="00A47F3F"/>
    <w:rsid w:val="00A506D1"/>
    <w:rsid w:val="00A5089F"/>
    <w:rsid w:val="00A50AF8"/>
    <w:rsid w:val="00A50FA1"/>
    <w:rsid w:val="00A51031"/>
    <w:rsid w:val="00A51AC4"/>
    <w:rsid w:val="00A52347"/>
    <w:rsid w:val="00A52727"/>
    <w:rsid w:val="00A52A85"/>
    <w:rsid w:val="00A535EE"/>
    <w:rsid w:val="00A53724"/>
    <w:rsid w:val="00A53BE2"/>
    <w:rsid w:val="00A54443"/>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57C5C"/>
    <w:rsid w:val="00A60246"/>
    <w:rsid w:val="00A60352"/>
    <w:rsid w:val="00A603D0"/>
    <w:rsid w:val="00A60E16"/>
    <w:rsid w:val="00A61083"/>
    <w:rsid w:val="00A616AD"/>
    <w:rsid w:val="00A61CFC"/>
    <w:rsid w:val="00A61D44"/>
    <w:rsid w:val="00A620BD"/>
    <w:rsid w:val="00A62253"/>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5E6"/>
    <w:rsid w:val="00A6766B"/>
    <w:rsid w:val="00A67D4E"/>
    <w:rsid w:val="00A67EFB"/>
    <w:rsid w:val="00A701C7"/>
    <w:rsid w:val="00A704A2"/>
    <w:rsid w:val="00A7051B"/>
    <w:rsid w:val="00A7052A"/>
    <w:rsid w:val="00A70C55"/>
    <w:rsid w:val="00A70E86"/>
    <w:rsid w:val="00A713B5"/>
    <w:rsid w:val="00A71B3F"/>
    <w:rsid w:val="00A71DFD"/>
    <w:rsid w:val="00A7214E"/>
    <w:rsid w:val="00A727FC"/>
    <w:rsid w:val="00A73063"/>
    <w:rsid w:val="00A73136"/>
    <w:rsid w:val="00A735CD"/>
    <w:rsid w:val="00A73FBA"/>
    <w:rsid w:val="00A74426"/>
    <w:rsid w:val="00A74B26"/>
    <w:rsid w:val="00A74BDB"/>
    <w:rsid w:val="00A750C3"/>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129"/>
    <w:rsid w:val="00A825E7"/>
    <w:rsid w:val="00A82604"/>
    <w:rsid w:val="00A83779"/>
    <w:rsid w:val="00A8380D"/>
    <w:rsid w:val="00A83A40"/>
    <w:rsid w:val="00A83C53"/>
    <w:rsid w:val="00A84073"/>
    <w:rsid w:val="00A841AE"/>
    <w:rsid w:val="00A84C9B"/>
    <w:rsid w:val="00A853DC"/>
    <w:rsid w:val="00A859C3"/>
    <w:rsid w:val="00A85CCD"/>
    <w:rsid w:val="00A862CF"/>
    <w:rsid w:val="00A86667"/>
    <w:rsid w:val="00A86A4C"/>
    <w:rsid w:val="00A86C48"/>
    <w:rsid w:val="00A86D93"/>
    <w:rsid w:val="00A86E37"/>
    <w:rsid w:val="00A8766C"/>
    <w:rsid w:val="00A87697"/>
    <w:rsid w:val="00A87BEA"/>
    <w:rsid w:val="00A87E2C"/>
    <w:rsid w:val="00A87E59"/>
    <w:rsid w:val="00A9032B"/>
    <w:rsid w:val="00A90B87"/>
    <w:rsid w:val="00A90D4D"/>
    <w:rsid w:val="00A91AE6"/>
    <w:rsid w:val="00A91DF0"/>
    <w:rsid w:val="00A91F42"/>
    <w:rsid w:val="00A92BBE"/>
    <w:rsid w:val="00A936E0"/>
    <w:rsid w:val="00A93C59"/>
    <w:rsid w:val="00A93EFE"/>
    <w:rsid w:val="00A94626"/>
    <w:rsid w:val="00A95282"/>
    <w:rsid w:val="00A953B0"/>
    <w:rsid w:val="00A95517"/>
    <w:rsid w:val="00A96049"/>
    <w:rsid w:val="00A962BD"/>
    <w:rsid w:val="00A96342"/>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1C24"/>
    <w:rsid w:val="00AA21BE"/>
    <w:rsid w:val="00AA244B"/>
    <w:rsid w:val="00AA2560"/>
    <w:rsid w:val="00AA2D81"/>
    <w:rsid w:val="00AA2E57"/>
    <w:rsid w:val="00AA2F13"/>
    <w:rsid w:val="00AA308F"/>
    <w:rsid w:val="00AA3711"/>
    <w:rsid w:val="00AA3AC4"/>
    <w:rsid w:val="00AA3BC4"/>
    <w:rsid w:val="00AA3C35"/>
    <w:rsid w:val="00AA406E"/>
    <w:rsid w:val="00AA4361"/>
    <w:rsid w:val="00AA43A8"/>
    <w:rsid w:val="00AA48B8"/>
    <w:rsid w:val="00AA499C"/>
    <w:rsid w:val="00AA4D2D"/>
    <w:rsid w:val="00AA5D24"/>
    <w:rsid w:val="00AA5FCA"/>
    <w:rsid w:val="00AA63F5"/>
    <w:rsid w:val="00AA67BA"/>
    <w:rsid w:val="00AA6983"/>
    <w:rsid w:val="00AA6FDD"/>
    <w:rsid w:val="00AA731F"/>
    <w:rsid w:val="00AA7DB9"/>
    <w:rsid w:val="00AB081B"/>
    <w:rsid w:val="00AB08A5"/>
    <w:rsid w:val="00AB118C"/>
    <w:rsid w:val="00AB1376"/>
    <w:rsid w:val="00AB1A09"/>
    <w:rsid w:val="00AB1CAA"/>
    <w:rsid w:val="00AB1FBD"/>
    <w:rsid w:val="00AB2065"/>
    <w:rsid w:val="00AB2110"/>
    <w:rsid w:val="00AB261C"/>
    <w:rsid w:val="00AB2829"/>
    <w:rsid w:val="00AB2B29"/>
    <w:rsid w:val="00AB3264"/>
    <w:rsid w:val="00AB37E5"/>
    <w:rsid w:val="00AB3918"/>
    <w:rsid w:val="00AB40DC"/>
    <w:rsid w:val="00AB4B62"/>
    <w:rsid w:val="00AB4DFB"/>
    <w:rsid w:val="00AB4FFE"/>
    <w:rsid w:val="00AB55C1"/>
    <w:rsid w:val="00AB5DD6"/>
    <w:rsid w:val="00AB61AF"/>
    <w:rsid w:val="00AB627C"/>
    <w:rsid w:val="00AB62EE"/>
    <w:rsid w:val="00AB64BE"/>
    <w:rsid w:val="00AB6CA3"/>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250"/>
    <w:rsid w:val="00AC6394"/>
    <w:rsid w:val="00AC6F69"/>
    <w:rsid w:val="00AC75C5"/>
    <w:rsid w:val="00AC7697"/>
    <w:rsid w:val="00AC7AE6"/>
    <w:rsid w:val="00AD0B12"/>
    <w:rsid w:val="00AD0F0D"/>
    <w:rsid w:val="00AD119D"/>
    <w:rsid w:val="00AD1264"/>
    <w:rsid w:val="00AD1405"/>
    <w:rsid w:val="00AD164C"/>
    <w:rsid w:val="00AD18FD"/>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3C"/>
    <w:rsid w:val="00AD524E"/>
    <w:rsid w:val="00AD53FD"/>
    <w:rsid w:val="00AD5741"/>
    <w:rsid w:val="00AD57D8"/>
    <w:rsid w:val="00AD598F"/>
    <w:rsid w:val="00AD5A53"/>
    <w:rsid w:val="00AD6173"/>
    <w:rsid w:val="00AD6646"/>
    <w:rsid w:val="00AD6BE3"/>
    <w:rsid w:val="00AD70AE"/>
    <w:rsid w:val="00AD7547"/>
    <w:rsid w:val="00AD7738"/>
    <w:rsid w:val="00AD790F"/>
    <w:rsid w:val="00AD7C73"/>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B34"/>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50B"/>
    <w:rsid w:val="00AF3894"/>
    <w:rsid w:val="00AF3DC1"/>
    <w:rsid w:val="00AF3F6A"/>
    <w:rsid w:val="00AF44F6"/>
    <w:rsid w:val="00AF465C"/>
    <w:rsid w:val="00AF47AA"/>
    <w:rsid w:val="00AF4C49"/>
    <w:rsid w:val="00AF4C9E"/>
    <w:rsid w:val="00AF4E28"/>
    <w:rsid w:val="00AF518C"/>
    <w:rsid w:val="00AF603C"/>
    <w:rsid w:val="00AF76AB"/>
    <w:rsid w:val="00AF76DF"/>
    <w:rsid w:val="00AF7D00"/>
    <w:rsid w:val="00B0053C"/>
    <w:rsid w:val="00B010AB"/>
    <w:rsid w:val="00B01199"/>
    <w:rsid w:val="00B013E8"/>
    <w:rsid w:val="00B01B7D"/>
    <w:rsid w:val="00B02322"/>
    <w:rsid w:val="00B0235F"/>
    <w:rsid w:val="00B0359D"/>
    <w:rsid w:val="00B03729"/>
    <w:rsid w:val="00B03C2C"/>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3CD"/>
    <w:rsid w:val="00B10465"/>
    <w:rsid w:val="00B11528"/>
    <w:rsid w:val="00B118AF"/>
    <w:rsid w:val="00B11CEE"/>
    <w:rsid w:val="00B11E90"/>
    <w:rsid w:val="00B123B7"/>
    <w:rsid w:val="00B12561"/>
    <w:rsid w:val="00B125E3"/>
    <w:rsid w:val="00B12BB9"/>
    <w:rsid w:val="00B12FC6"/>
    <w:rsid w:val="00B13286"/>
    <w:rsid w:val="00B1360E"/>
    <w:rsid w:val="00B1362B"/>
    <w:rsid w:val="00B139AD"/>
    <w:rsid w:val="00B13E06"/>
    <w:rsid w:val="00B14389"/>
    <w:rsid w:val="00B14518"/>
    <w:rsid w:val="00B1481B"/>
    <w:rsid w:val="00B15920"/>
    <w:rsid w:val="00B15BA3"/>
    <w:rsid w:val="00B15DE0"/>
    <w:rsid w:val="00B16031"/>
    <w:rsid w:val="00B160A2"/>
    <w:rsid w:val="00B16748"/>
    <w:rsid w:val="00B16810"/>
    <w:rsid w:val="00B16D95"/>
    <w:rsid w:val="00B16E18"/>
    <w:rsid w:val="00B171A4"/>
    <w:rsid w:val="00B1736B"/>
    <w:rsid w:val="00B203DE"/>
    <w:rsid w:val="00B21642"/>
    <w:rsid w:val="00B2199C"/>
    <w:rsid w:val="00B21B58"/>
    <w:rsid w:val="00B21CE3"/>
    <w:rsid w:val="00B22103"/>
    <w:rsid w:val="00B2241D"/>
    <w:rsid w:val="00B227D9"/>
    <w:rsid w:val="00B22945"/>
    <w:rsid w:val="00B22E8C"/>
    <w:rsid w:val="00B23373"/>
    <w:rsid w:val="00B23FA1"/>
    <w:rsid w:val="00B24B4E"/>
    <w:rsid w:val="00B24F99"/>
    <w:rsid w:val="00B25774"/>
    <w:rsid w:val="00B2585F"/>
    <w:rsid w:val="00B259AD"/>
    <w:rsid w:val="00B25DA6"/>
    <w:rsid w:val="00B260F8"/>
    <w:rsid w:val="00B2665E"/>
    <w:rsid w:val="00B26742"/>
    <w:rsid w:val="00B26A92"/>
    <w:rsid w:val="00B26AAB"/>
    <w:rsid w:val="00B26B46"/>
    <w:rsid w:val="00B26DF6"/>
    <w:rsid w:val="00B2734A"/>
    <w:rsid w:val="00B27469"/>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9A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77"/>
    <w:rsid w:val="00B423D1"/>
    <w:rsid w:val="00B42640"/>
    <w:rsid w:val="00B42CBF"/>
    <w:rsid w:val="00B4306D"/>
    <w:rsid w:val="00B43DE1"/>
    <w:rsid w:val="00B43F3D"/>
    <w:rsid w:val="00B44340"/>
    <w:rsid w:val="00B44422"/>
    <w:rsid w:val="00B4528D"/>
    <w:rsid w:val="00B452D8"/>
    <w:rsid w:val="00B45783"/>
    <w:rsid w:val="00B46004"/>
    <w:rsid w:val="00B46241"/>
    <w:rsid w:val="00B4627F"/>
    <w:rsid w:val="00B4671F"/>
    <w:rsid w:val="00B467A2"/>
    <w:rsid w:val="00B46E80"/>
    <w:rsid w:val="00B47399"/>
    <w:rsid w:val="00B474D7"/>
    <w:rsid w:val="00B478FD"/>
    <w:rsid w:val="00B47F59"/>
    <w:rsid w:val="00B509A2"/>
    <w:rsid w:val="00B5145E"/>
    <w:rsid w:val="00B51590"/>
    <w:rsid w:val="00B5159B"/>
    <w:rsid w:val="00B517A0"/>
    <w:rsid w:val="00B52628"/>
    <w:rsid w:val="00B528FD"/>
    <w:rsid w:val="00B52B84"/>
    <w:rsid w:val="00B52CBC"/>
    <w:rsid w:val="00B52CFB"/>
    <w:rsid w:val="00B52FFB"/>
    <w:rsid w:val="00B53ED5"/>
    <w:rsid w:val="00B542CD"/>
    <w:rsid w:val="00B54931"/>
    <w:rsid w:val="00B54CF6"/>
    <w:rsid w:val="00B550E6"/>
    <w:rsid w:val="00B55DB0"/>
    <w:rsid w:val="00B56080"/>
    <w:rsid w:val="00B56167"/>
    <w:rsid w:val="00B56861"/>
    <w:rsid w:val="00B56943"/>
    <w:rsid w:val="00B569E0"/>
    <w:rsid w:val="00B56A8A"/>
    <w:rsid w:val="00B56F42"/>
    <w:rsid w:val="00B57911"/>
    <w:rsid w:val="00B603F5"/>
    <w:rsid w:val="00B60B85"/>
    <w:rsid w:val="00B61338"/>
    <w:rsid w:val="00B61719"/>
    <w:rsid w:val="00B6187F"/>
    <w:rsid w:val="00B618B1"/>
    <w:rsid w:val="00B61938"/>
    <w:rsid w:val="00B61ED3"/>
    <w:rsid w:val="00B61F92"/>
    <w:rsid w:val="00B624AB"/>
    <w:rsid w:val="00B624C7"/>
    <w:rsid w:val="00B627DF"/>
    <w:rsid w:val="00B62813"/>
    <w:rsid w:val="00B628BB"/>
    <w:rsid w:val="00B629B0"/>
    <w:rsid w:val="00B62A0E"/>
    <w:rsid w:val="00B63030"/>
    <w:rsid w:val="00B6335F"/>
    <w:rsid w:val="00B633CA"/>
    <w:rsid w:val="00B63780"/>
    <w:rsid w:val="00B63876"/>
    <w:rsid w:val="00B639DE"/>
    <w:rsid w:val="00B63BD1"/>
    <w:rsid w:val="00B63C41"/>
    <w:rsid w:val="00B63E76"/>
    <w:rsid w:val="00B642C2"/>
    <w:rsid w:val="00B64327"/>
    <w:rsid w:val="00B64B06"/>
    <w:rsid w:val="00B64C0D"/>
    <w:rsid w:val="00B65172"/>
    <w:rsid w:val="00B65505"/>
    <w:rsid w:val="00B65AF6"/>
    <w:rsid w:val="00B662D7"/>
    <w:rsid w:val="00B66CEC"/>
    <w:rsid w:val="00B66D90"/>
    <w:rsid w:val="00B66E3C"/>
    <w:rsid w:val="00B677FE"/>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54B"/>
    <w:rsid w:val="00B73A86"/>
    <w:rsid w:val="00B73B0F"/>
    <w:rsid w:val="00B73EDF"/>
    <w:rsid w:val="00B73F36"/>
    <w:rsid w:val="00B73F6E"/>
    <w:rsid w:val="00B746FF"/>
    <w:rsid w:val="00B74708"/>
    <w:rsid w:val="00B74B03"/>
    <w:rsid w:val="00B74B92"/>
    <w:rsid w:val="00B74C1B"/>
    <w:rsid w:val="00B754F7"/>
    <w:rsid w:val="00B7581C"/>
    <w:rsid w:val="00B75AB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B13"/>
    <w:rsid w:val="00B82C85"/>
    <w:rsid w:val="00B82CF1"/>
    <w:rsid w:val="00B82DC5"/>
    <w:rsid w:val="00B82F23"/>
    <w:rsid w:val="00B83169"/>
    <w:rsid w:val="00B832E6"/>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ACF"/>
    <w:rsid w:val="00B90DE3"/>
    <w:rsid w:val="00B90E2D"/>
    <w:rsid w:val="00B90EBE"/>
    <w:rsid w:val="00B91090"/>
    <w:rsid w:val="00B91123"/>
    <w:rsid w:val="00B91287"/>
    <w:rsid w:val="00B917BC"/>
    <w:rsid w:val="00B91C77"/>
    <w:rsid w:val="00B92188"/>
    <w:rsid w:val="00B9231C"/>
    <w:rsid w:val="00B92CBE"/>
    <w:rsid w:val="00B92F7A"/>
    <w:rsid w:val="00B940F4"/>
    <w:rsid w:val="00B94129"/>
    <w:rsid w:val="00B943B3"/>
    <w:rsid w:val="00B94CB2"/>
    <w:rsid w:val="00B94ECF"/>
    <w:rsid w:val="00B94EFB"/>
    <w:rsid w:val="00B955BF"/>
    <w:rsid w:val="00B959D1"/>
    <w:rsid w:val="00B96EE6"/>
    <w:rsid w:val="00B97918"/>
    <w:rsid w:val="00B9791D"/>
    <w:rsid w:val="00B97AE5"/>
    <w:rsid w:val="00BA0312"/>
    <w:rsid w:val="00BA0897"/>
    <w:rsid w:val="00BA1210"/>
    <w:rsid w:val="00BA1544"/>
    <w:rsid w:val="00BA15C8"/>
    <w:rsid w:val="00BA16CA"/>
    <w:rsid w:val="00BA1734"/>
    <w:rsid w:val="00BA1865"/>
    <w:rsid w:val="00BA1B97"/>
    <w:rsid w:val="00BA1DC6"/>
    <w:rsid w:val="00BA2135"/>
    <w:rsid w:val="00BA2457"/>
    <w:rsid w:val="00BA28DF"/>
    <w:rsid w:val="00BA2C90"/>
    <w:rsid w:val="00BA2D1C"/>
    <w:rsid w:val="00BA31E6"/>
    <w:rsid w:val="00BA3268"/>
    <w:rsid w:val="00BA3A74"/>
    <w:rsid w:val="00BA3D96"/>
    <w:rsid w:val="00BA3DBE"/>
    <w:rsid w:val="00BA429D"/>
    <w:rsid w:val="00BA4A85"/>
    <w:rsid w:val="00BA55A2"/>
    <w:rsid w:val="00BA621A"/>
    <w:rsid w:val="00BA63E1"/>
    <w:rsid w:val="00BA668F"/>
    <w:rsid w:val="00BA673E"/>
    <w:rsid w:val="00BA6DC3"/>
    <w:rsid w:val="00BA74FB"/>
    <w:rsid w:val="00BA7593"/>
    <w:rsid w:val="00BA77D4"/>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52"/>
    <w:rsid w:val="00BB2895"/>
    <w:rsid w:val="00BB29B4"/>
    <w:rsid w:val="00BB2A57"/>
    <w:rsid w:val="00BB2B38"/>
    <w:rsid w:val="00BB2B71"/>
    <w:rsid w:val="00BB2CAD"/>
    <w:rsid w:val="00BB2F4F"/>
    <w:rsid w:val="00BB3C13"/>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00C"/>
    <w:rsid w:val="00BB7295"/>
    <w:rsid w:val="00BB78BF"/>
    <w:rsid w:val="00BB791D"/>
    <w:rsid w:val="00BB7A4D"/>
    <w:rsid w:val="00BC02ED"/>
    <w:rsid w:val="00BC05D3"/>
    <w:rsid w:val="00BC0B50"/>
    <w:rsid w:val="00BC0BD9"/>
    <w:rsid w:val="00BC13EE"/>
    <w:rsid w:val="00BC1618"/>
    <w:rsid w:val="00BC1914"/>
    <w:rsid w:val="00BC1C25"/>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511"/>
    <w:rsid w:val="00BC7C0E"/>
    <w:rsid w:val="00BD012E"/>
    <w:rsid w:val="00BD02EA"/>
    <w:rsid w:val="00BD083F"/>
    <w:rsid w:val="00BD0DD7"/>
    <w:rsid w:val="00BD1227"/>
    <w:rsid w:val="00BD255D"/>
    <w:rsid w:val="00BD2DB2"/>
    <w:rsid w:val="00BD30B9"/>
    <w:rsid w:val="00BD32B3"/>
    <w:rsid w:val="00BD3445"/>
    <w:rsid w:val="00BD40D2"/>
    <w:rsid w:val="00BD43F0"/>
    <w:rsid w:val="00BD49C7"/>
    <w:rsid w:val="00BD50C9"/>
    <w:rsid w:val="00BD5350"/>
    <w:rsid w:val="00BD5369"/>
    <w:rsid w:val="00BD5377"/>
    <w:rsid w:val="00BD581D"/>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2EDE"/>
    <w:rsid w:val="00BE39E0"/>
    <w:rsid w:val="00BE427D"/>
    <w:rsid w:val="00BE45E0"/>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5F75"/>
    <w:rsid w:val="00BE60EF"/>
    <w:rsid w:val="00BE79DB"/>
    <w:rsid w:val="00BE7B96"/>
    <w:rsid w:val="00BF0000"/>
    <w:rsid w:val="00BF07E3"/>
    <w:rsid w:val="00BF09DE"/>
    <w:rsid w:val="00BF0C07"/>
    <w:rsid w:val="00BF0CE2"/>
    <w:rsid w:val="00BF1279"/>
    <w:rsid w:val="00BF1BAC"/>
    <w:rsid w:val="00BF1DB1"/>
    <w:rsid w:val="00BF1EB9"/>
    <w:rsid w:val="00BF2240"/>
    <w:rsid w:val="00BF22D3"/>
    <w:rsid w:val="00BF25D3"/>
    <w:rsid w:val="00BF27A3"/>
    <w:rsid w:val="00BF2883"/>
    <w:rsid w:val="00BF2A6A"/>
    <w:rsid w:val="00BF2BAC"/>
    <w:rsid w:val="00BF2FBE"/>
    <w:rsid w:val="00BF3010"/>
    <w:rsid w:val="00BF3180"/>
    <w:rsid w:val="00BF3478"/>
    <w:rsid w:val="00BF38B1"/>
    <w:rsid w:val="00BF3A53"/>
    <w:rsid w:val="00BF3DC1"/>
    <w:rsid w:val="00BF3F75"/>
    <w:rsid w:val="00BF492C"/>
    <w:rsid w:val="00BF5998"/>
    <w:rsid w:val="00BF5A15"/>
    <w:rsid w:val="00BF5B9D"/>
    <w:rsid w:val="00BF5CCB"/>
    <w:rsid w:val="00BF6A38"/>
    <w:rsid w:val="00BF6B00"/>
    <w:rsid w:val="00BF6C8C"/>
    <w:rsid w:val="00BF6C8F"/>
    <w:rsid w:val="00BF6D93"/>
    <w:rsid w:val="00BF6F1D"/>
    <w:rsid w:val="00BF702B"/>
    <w:rsid w:val="00BF71A7"/>
    <w:rsid w:val="00BF767C"/>
    <w:rsid w:val="00BF7A28"/>
    <w:rsid w:val="00BF7F9B"/>
    <w:rsid w:val="00C00413"/>
    <w:rsid w:val="00C00A67"/>
    <w:rsid w:val="00C00F78"/>
    <w:rsid w:val="00C0102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EB9"/>
    <w:rsid w:val="00C06F8E"/>
    <w:rsid w:val="00C07397"/>
    <w:rsid w:val="00C07645"/>
    <w:rsid w:val="00C07A8B"/>
    <w:rsid w:val="00C07D2B"/>
    <w:rsid w:val="00C07EF7"/>
    <w:rsid w:val="00C07FE2"/>
    <w:rsid w:val="00C1003B"/>
    <w:rsid w:val="00C10093"/>
    <w:rsid w:val="00C1012C"/>
    <w:rsid w:val="00C1051D"/>
    <w:rsid w:val="00C105C6"/>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4CAE"/>
    <w:rsid w:val="00C15923"/>
    <w:rsid w:val="00C15FE3"/>
    <w:rsid w:val="00C160C3"/>
    <w:rsid w:val="00C1666F"/>
    <w:rsid w:val="00C16CAA"/>
    <w:rsid w:val="00C16D0E"/>
    <w:rsid w:val="00C16E63"/>
    <w:rsid w:val="00C17384"/>
    <w:rsid w:val="00C175BE"/>
    <w:rsid w:val="00C17623"/>
    <w:rsid w:val="00C178DB"/>
    <w:rsid w:val="00C17D1F"/>
    <w:rsid w:val="00C20219"/>
    <w:rsid w:val="00C2090E"/>
    <w:rsid w:val="00C20E1F"/>
    <w:rsid w:val="00C2139D"/>
    <w:rsid w:val="00C2159D"/>
    <w:rsid w:val="00C21EEE"/>
    <w:rsid w:val="00C22257"/>
    <w:rsid w:val="00C226F6"/>
    <w:rsid w:val="00C22F9B"/>
    <w:rsid w:val="00C23437"/>
    <w:rsid w:val="00C2385A"/>
    <w:rsid w:val="00C23D15"/>
    <w:rsid w:val="00C24685"/>
    <w:rsid w:val="00C246F1"/>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5A"/>
    <w:rsid w:val="00C3607E"/>
    <w:rsid w:val="00C36277"/>
    <w:rsid w:val="00C363F6"/>
    <w:rsid w:val="00C364E0"/>
    <w:rsid w:val="00C36845"/>
    <w:rsid w:val="00C375AB"/>
    <w:rsid w:val="00C37CA0"/>
    <w:rsid w:val="00C4003C"/>
    <w:rsid w:val="00C40044"/>
    <w:rsid w:val="00C4009D"/>
    <w:rsid w:val="00C40875"/>
    <w:rsid w:val="00C40C6D"/>
    <w:rsid w:val="00C41434"/>
    <w:rsid w:val="00C417AF"/>
    <w:rsid w:val="00C420B5"/>
    <w:rsid w:val="00C421F3"/>
    <w:rsid w:val="00C42B14"/>
    <w:rsid w:val="00C42B51"/>
    <w:rsid w:val="00C4328E"/>
    <w:rsid w:val="00C441B7"/>
    <w:rsid w:val="00C45405"/>
    <w:rsid w:val="00C454B0"/>
    <w:rsid w:val="00C45A10"/>
    <w:rsid w:val="00C45B88"/>
    <w:rsid w:val="00C45C20"/>
    <w:rsid w:val="00C4693B"/>
    <w:rsid w:val="00C46D97"/>
    <w:rsid w:val="00C46FC2"/>
    <w:rsid w:val="00C470CB"/>
    <w:rsid w:val="00C47275"/>
    <w:rsid w:val="00C473A1"/>
    <w:rsid w:val="00C50052"/>
    <w:rsid w:val="00C501EA"/>
    <w:rsid w:val="00C50481"/>
    <w:rsid w:val="00C50620"/>
    <w:rsid w:val="00C50CE0"/>
    <w:rsid w:val="00C50D29"/>
    <w:rsid w:val="00C50E43"/>
    <w:rsid w:val="00C50ECA"/>
    <w:rsid w:val="00C518AE"/>
    <w:rsid w:val="00C51918"/>
    <w:rsid w:val="00C52276"/>
    <w:rsid w:val="00C527F7"/>
    <w:rsid w:val="00C52A65"/>
    <w:rsid w:val="00C52CBF"/>
    <w:rsid w:val="00C53167"/>
    <w:rsid w:val="00C53254"/>
    <w:rsid w:val="00C534AA"/>
    <w:rsid w:val="00C53A1A"/>
    <w:rsid w:val="00C53A45"/>
    <w:rsid w:val="00C53D16"/>
    <w:rsid w:val="00C53D78"/>
    <w:rsid w:val="00C53FF1"/>
    <w:rsid w:val="00C54158"/>
    <w:rsid w:val="00C54524"/>
    <w:rsid w:val="00C545E4"/>
    <w:rsid w:val="00C54C56"/>
    <w:rsid w:val="00C55575"/>
    <w:rsid w:val="00C5599E"/>
    <w:rsid w:val="00C559FD"/>
    <w:rsid w:val="00C561C4"/>
    <w:rsid w:val="00C563EB"/>
    <w:rsid w:val="00C564A4"/>
    <w:rsid w:val="00C5652F"/>
    <w:rsid w:val="00C56AF2"/>
    <w:rsid w:val="00C5717F"/>
    <w:rsid w:val="00C57A40"/>
    <w:rsid w:val="00C60222"/>
    <w:rsid w:val="00C6101B"/>
    <w:rsid w:val="00C6119E"/>
    <w:rsid w:val="00C61327"/>
    <w:rsid w:val="00C6164C"/>
    <w:rsid w:val="00C61A25"/>
    <w:rsid w:val="00C62169"/>
    <w:rsid w:val="00C62879"/>
    <w:rsid w:val="00C62AD0"/>
    <w:rsid w:val="00C62BDF"/>
    <w:rsid w:val="00C62C24"/>
    <w:rsid w:val="00C62C57"/>
    <w:rsid w:val="00C62E8F"/>
    <w:rsid w:val="00C62F2B"/>
    <w:rsid w:val="00C638AA"/>
    <w:rsid w:val="00C63968"/>
    <w:rsid w:val="00C63E0F"/>
    <w:rsid w:val="00C63E9F"/>
    <w:rsid w:val="00C63EE8"/>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11FE"/>
    <w:rsid w:val="00C7210A"/>
    <w:rsid w:val="00C7296C"/>
    <w:rsid w:val="00C72B53"/>
    <w:rsid w:val="00C72E3E"/>
    <w:rsid w:val="00C731C2"/>
    <w:rsid w:val="00C7331A"/>
    <w:rsid w:val="00C734F5"/>
    <w:rsid w:val="00C73ABA"/>
    <w:rsid w:val="00C73BD4"/>
    <w:rsid w:val="00C742DF"/>
    <w:rsid w:val="00C74C81"/>
    <w:rsid w:val="00C74D17"/>
    <w:rsid w:val="00C74E52"/>
    <w:rsid w:val="00C74F8D"/>
    <w:rsid w:val="00C7507C"/>
    <w:rsid w:val="00C7559A"/>
    <w:rsid w:val="00C75848"/>
    <w:rsid w:val="00C75B6F"/>
    <w:rsid w:val="00C75BCE"/>
    <w:rsid w:val="00C75FCD"/>
    <w:rsid w:val="00C760A4"/>
    <w:rsid w:val="00C7639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3710"/>
    <w:rsid w:val="00C8446F"/>
    <w:rsid w:val="00C84620"/>
    <w:rsid w:val="00C84A9A"/>
    <w:rsid w:val="00C853E0"/>
    <w:rsid w:val="00C854E2"/>
    <w:rsid w:val="00C854F5"/>
    <w:rsid w:val="00C858DC"/>
    <w:rsid w:val="00C85C17"/>
    <w:rsid w:val="00C85E01"/>
    <w:rsid w:val="00C85F9D"/>
    <w:rsid w:val="00C86422"/>
    <w:rsid w:val="00C86797"/>
    <w:rsid w:val="00C86F72"/>
    <w:rsid w:val="00C8739C"/>
    <w:rsid w:val="00C8782D"/>
    <w:rsid w:val="00C87CAF"/>
    <w:rsid w:val="00C9001C"/>
    <w:rsid w:val="00C90EBD"/>
    <w:rsid w:val="00C90FB8"/>
    <w:rsid w:val="00C9103A"/>
    <w:rsid w:val="00C91205"/>
    <w:rsid w:val="00C91245"/>
    <w:rsid w:val="00C9138D"/>
    <w:rsid w:val="00C91590"/>
    <w:rsid w:val="00C91695"/>
    <w:rsid w:val="00C91AB6"/>
    <w:rsid w:val="00C92801"/>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497"/>
    <w:rsid w:val="00C96F47"/>
    <w:rsid w:val="00C972AD"/>
    <w:rsid w:val="00C97573"/>
    <w:rsid w:val="00C978C5"/>
    <w:rsid w:val="00C97933"/>
    <w:rsid w:val="00C97A4D"/>
    <w:rsid w:val="00C97C67"/>
    <w:rsid w:val="00CA0593"/>
    <w:rsid w:val="00CA11BB"/>
    <w:rsid w:val="00CA14F7"/>
    <w:rsid w:val="00CA1538"/>
    <w:rsid w:val="00CA1574"/>
    <w:rsid w:val="00CA1968"/>
    <w:rsid w:val="00CA1EEB"/>
    <w:rsid w:val="00CA2099"/>
    <w:rsid w:val="00CA2325"/>
    <w:rsid w:val="00CA28CB"/>
    <w:rsid w:val="00CA2FA7"/>
    <w:rsid w:val="00CA349F"/>
    <w:rsid w:val="00CA3B9A"/>
    <w:rsid w:val="00CA4275"/>
    <w:rsid w:val="00CA4568"/>
    <w:rsid w:val="00CA46AD"/>
    <w:rsid w:val="00CA4ABF"/>
    <w:rsid w:val="00CA4EAE"/>
    <w:rsid w:val="00CA4FD6"/>
    <w:rsid w:val="00CA5122"/>
    <w:rsid w:val="00CA533B"/>
    <w:rsid w:val="00CA5513"/>
    <w:rsid w:val="00CA5776"/>
    <w:rsid w:val="00CA581E"/>
    <w:rsid w:val="00CA5FE0"/>
    <w:rsid w:val="00CA684A"/>
    <w:rsid w:val="00CA726B"/>
    <w:rsid w:val="00CA730D"/>
    <w:rsid w:val="00CA78F6"/>
    <w:rsid w:val="00CB025E"/>
    <w:rsid w:val="00CB0405"/>
    <w:rsid w:val="00CB0537"/>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4DF0"/>
    <w:rsid w:val="00CB538C"/>
    <w:rsid w:val="00CB53B4"/>
    <w:rsid w:val="00CB5AE6"/>
    <w:rsid w:val="00CB5BC4"/>
    <w:rsid w:val="00CB5C87"/>
    <w:rsid w:val="00CB5E53"/>
    <w:rsid w:val="00CB6589"/>
    <w:rsid w:val="00CB686F"/>
    <w:rsid w:val="00CB69A9"/>
    <w:rsid w:val="00CB6B2F"/>
    <w:rsid w:val="00CB70FD"/>
    <w:rsid w:val="00CB71A9"/>
    <w:rsid w:val="00CB769C"/>
    <w:rsid w:val="00CB79EA"/>
    <w:rsid w:val="00CB7F18"/>
    <w:rsid w:val="00CB7FCF"/>
    <w:rsid w:val="00CC0013"/>
    <w:rsid w:val="00CC00B4"/>
    <w:rsid w:val="00CC01F6"/>
    <w:rsid w:val="00CC05A6"/>
    <w:rsid w:val="00CC05B8"/>
    <w:rsid w:val="00CC0BDF"/>
    <w:rsid w:val="00CC0D61"/>
    <w:rsid w:val="00CC1087"/>
    <w:rsid w:val="00CC144A"/>
    <w:rsid w:val="00CC1642"/>
    <w:rsid w:val="00CC1670"/>
    <w:rsid w:val="00CC16F7"/>
    <w:rsid w:val="00CC245B"/>
    <w:rsid w:val="00CC2484"/>
    <w:rsid w:val="00CC26F1"/>
    <w:rsid w:val="00CC3185"/>
    <w:rsid w:val="00CC35C4"/>
    <w:rsid w:val="00CC3AFC"/>
    <w:rsid w:val="00CC4340"/>
    <w:rsid w:val="00CC4734"/>
    <w:rsid w:val="00CC477D"/>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98A"/>
    <w:rsid w:val="00CD1C77"/>
    <w:rsid w:val="00CD21D8"/>
    <w:rsid w:val="00CD2467"/>
    <w:rsid w:val="00CD29EF"/>
    <w:rsid w:val="00CD3316"/>
    <w:rsid w:val="00CD3C05"/>
    <w:rsid w:val="00CD4904"/>
    <w:rsid w:val="00CD4BE8"/>
    <w:rsid w:val="00CD4E69"/>
    <w:rsid w:val="00CD50DC"/>
    <w:rsid w:val="00CD59EB"/>
    <w:rsid w:val="00CD5A2E"/>
    <w:rsid w:val="00CD5FCC"/>
    <w:rsid w:val="00CD6465"/>
    <w:rsid w:val="00CD652C"/>
    <w:rsid w:val="00CD6587"/>
    <w:rsid w:val="00CD6639"/>
    <w:rsid w:val="00CD6BEC"/>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25"/>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0DE"/>
    <w:rsid w:val="00CE74DC"/>
    <w:rsid w:val="00CE754B"/>
    <w:rsid w:val="00CE7CA2"/>
    <w:rsid w:val="00CE7D7E"/>
    <w:rsid w:val="00CE7EC4"/>
    <w:rsid w:val="00CF039E"/>
    <w:rsid w:val="00CF05D5"/>
    <w:rsid w:val="00CF06C9"/>
    <w:rsid w:val="00CF0926"/>
    <w:rsid w:val="00CF11CB"/>
    <w:rsid w:val="00CF1813"/>
    <w:rsid w:val="00CF1D54"/>
    <w:rsid w:val="00CF1F07"/>
    <w:rsid w:val="00CF20A4"/>
    <w:rsid w:val="00CF211F"/>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6A4F"/>
    <w:rsid w:val="00CF6EA9"/>
    <w:rsid w:val="00CF7931"/>
    <w:rsid w:val="00CF7C91"/>
    <w:rsid w:val="00CF7DCA"/>
    <w:rsid w:val="00CF7F40"/>
    <w:rsid w:val="00D001CE"/>
    <w:rsid w:val="00D00488"/>
    <w:rsid w:val="00D007A5"/>
    <w:rsid w:val="00D00A91"/>
    <w:rsid w:val="00D00B76"/>
    <w:rsid w:val="00D00EAA"/>
    <w:rsid w:val="00D010A0"/>
    <w:rsid w:val="00D01239"/>
    <w:rsid w:val="00D013A1"/>
    <w:rsid w:val="00D01406"/>
    <w:rsid w:val="00D017C4"/>
    <w:rsid w:val="00D01A64"/>
    <w:rsid w:val="00D01CAB"/>
    <w:rsid w:val="00D029AB"/>
    <w:rsid w:val="00D02A29"/>
    <w:rsid w:val="00D02B49"/>
    <w:rsid w:val="00D03880"/>
    <w:rsid w:val="00D039A5"/>
    <w:rsid w:val="00D039F7"/>
    <w:rsid w:val="00D03F90"/>
    <w:rsid w:val="00D04209"/>
    <w:rsid w:val="00D04224"/>
    <w:rsid w:val="00D056A1"/>
    <w:rsid w:val="00D05743"/>
    <w:rsid w:val="00D05DC0"/>
    <w:rsid w:val="00D06063"/>
    <w:rsid w:val="00D061E8"/>
    <w:rsid w:val="00D06460"/>
    <w:rsid w:val="00D06461"/>
    <w:rsid w:val="00D065E3"/>
    <w:rsid w:val="00D0719C"/>
    <w:rsid w:val="00D07625"/>
    <w:rsid w:val="00D07D74"/>
    <w:rsid w:val="00D100A5"/>
    <w:rsid w:val="00D1074A"/>
    <w:rsid w:val="00D10887"/>
    <w:rsid w:val="00D109F9"/>
    <w:rsid w:val="00D115AE"/>
    <w:rsid w:val="00D119C3"/>
    <w:rsid w:val="00D11AE8"/>
    <w:rsid w:val="00D11C85"/>
    <w:rsid w:val="00D11EF7"/>
    <w:rsid w:val="00D124FD"/>
    <w:rsid w:val="00D12A3E"/>
    <w:rsid w:val="00D12AEF"/>
    <w:rsid w:val="00D12D51"/>
    <w:rsid w:val="00D12DE9"/>
    <w:rsid w:val="00D12F5E"/>
    <w:rsid w:val="00D12FFE"/>
    <w:rsid w:val="00D1309D"/>
    <w:rsid w:val="00D1315D"/>
    <w:rsid w:val="00D13494"/>
    <w:rsid w:val="00D13ADC"/>
    <w:rsid w:val="00D1439C"/>
    <w:rsid w:val="00D14764"/>
    <w:rsid w:val="00D14CDD"/>
    <w:rsid w:val="00D152CC"/>
    <w:rsid w:val="00D1544C"/>
    <w:rsid w:val="00D1576D"/>
    <w:rsid w:val="00D165B1"/>
    <w:rsid w:val="00D165CB"/>
    <w:rsid w:val="00D17786"/>
    <w:rsid w:val="00D17D77"/>
    <w:rsid w:val="00D2051C"/>
    <w:rsid w:val="00D20E5B"/>
    <w:rsid w:val="00D21210"/>
    <w:rsid w:val="00D2167F"/>
    <w:rsid w:val="00D2190F"/>
    <w:rsid w:val="00D21E1C"/>
    <w:rsid w:val="00D224E4"/>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0DEB"/>
    <w:rsid w:val="00D31BFA"/>
    <w:rsid w:val="00D3204C"/>
    <w:rsid w:val="00D321E2"/>
    <w:rsid w:val="00D32235"/>
    <w:rsid w:val="00D323FA"/>
    <w:rsid w:val="00D3241D"/>
    <w:rsid w:val="00D3280C"/>
    <w:rsid w:val="00D339CF"/>
    <w:rsid w:val="00D33A49"/>
    <w:rsid w:val="00D33BB9"/>
    <w:rsid w:val="00D341FA"/>
    <w:rsid w:val="00D34228"/>
    <w:rsid w:val="00D34377"/>
    <w:rsid w:val="00D344E5"/>
    <w:rsid w:val="00D34671"/>
    <w:rsid w:val="00D3470D"/>
    <w:rsid w:val="00D35911"/>
    <w:rsid w:val="00D35FB9"/>
    <w:rsid w:val="00D361B7"/>
    <w:rsid w:val="00D36AEF"/>
    <w:rsid w:val="00D36BD2"/>
    <w:rsid w:val="00D36E06"/>
    <w:rsid w:val="00D36E6F"/>
    <w:rsid w:val="00D3705A"/>
    <w:rsid w:val="00D373C2"/>
    <w:rsid w:val="00D3757D"/>
    <w:rsid w:val="00D37AE0"/>
    <w:rsid w:val="00D403FA"/>
    <w:rsid w:val="00D409FE"/>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610"/>
    <w:rsid w:val="00D458B1"/>
    <w:rsid w:val="00D4597F"/>
    <w:rsid w:val="00D459A1"/>
    <w:rsid w:val="00D45CBC"/>
    <w:rsid w:val="00D46A0D"/>
    <w:rsid w:val="00D46FA8"/>
    <w:rsid w:val="00D47194"/>
    <w:rsid w:val="00D476C4"/>
    <w:rsid w:val="00D47A8C"/>
    <w:rsid w:val="00D47B45"/>
    <w:rsid w:val="00D502F7"/>
    <w:rsid w:val="00D5044D"/>
    <w:rsid w:val="00D50477"/>
    <w:rsid w:val="00D50499"/>
    <w:rsid w:val="00D5082A"/>
    <w:rsid w:val="00D509AE"/>
    <w:rsid w:val="00D50A97"/>
    <w:rsid w:val="00D50E61"/>
    <w:rsid w:val="00D50FA7"/>
    <w:rsid w:val="00D5101F"/>
    <w:rsid w:val="00D51E9E"/>
    <w:rsid w:val="00D51FE1"/>
    <w:rsid w:val="00D52D42"/>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44A"/>
    <w:rsid w:val="00D575F8"/>
    <w:rsid w:val="00D600FC"/>
    <w:rsid w:val="00D604B4"/>
    <w:rsid w:val="00D6052E"/>
    <w:rsid w:val="00D60575"/>
    <w:rsid w:val="00D606B1"/>
    <w:rsid w:val="00D60736"/>
    <w:rsid w:val="00D609C0"/>
    <w:rsid w:val="00D60B80"/>
    <w:rsid w:val="00D616BD"/>
    <w:rsid w:val="00D617B5"/>
    <w:rsid w:val="00D618FB"/>
    <w:rsid w:val="00D6198A"/>
    <w:rsid w:val="00D6217D"/>
    <w:rsid w:val="00D622C0"/>
    <w:rsid w:val="00D62324"/>
    <w:rsid w:val="00D625AB"/>
    <w:rsid w:val="00D629B0"/>
    <w:rsid w:val="00D62A9D"/>
    <w:rsid w:val="00D6365A"/>
    <w:rsid w:val="00D63866"/>
    <w:rsid w:val="00D6394D"/>
    <w:rsid w:val="00D63ACC"/>
    <w:rsid w:val="00D63B77"/>
    <w:rsid w:val="00D6406C"/>
    <w:rsid w:val="00D64096"/>
    <w:rsid w:val="00D64908"/>
    <w:rsid w:val="00D64EF3"/>
    <w:rsid w:val="00D6524B"/>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148"/>
    <w:rsid w:val="00D7581F"/>
    <w:rsid w:val="00D75C3A"/>
    <w:rsid w:val="00D75F46"/>
    <w:rsid w:val="00D76768"/>
    <w:rsid w:val="00D767B2"/>
    <w:rsid w:val="00D76B5A"/>
    <w:rsid w:val="00D7728D"/>
    <w:rsid w:val="00D775B2"/>
    <w:rsid w:val="00D77E8D"/>
    <w:rsid w:val="00D804F1"/>
    <w:rsid w:val="00D80530"/>
    <w:rsid w:val="00D81113"/>
    <w:rsid w:val="00D81412"/>
    <w:rsid w:val="00D81697"/>
    <w:rsid w:val="00D816A0"/>
    <w:rsid w:val="00D81FEB"/>
    <w:rsid w:val="00D825BB"/>
    <w:rsid w:val="00D8261D"/>
    <w:rsid w:val="00D82795"/>
    <w:rsid w:val="00D835A5"/>
    <w:rsid w:val="00D835DF"/>
    <w:rsid w:val="00D8365D"/>
    <w:rsid w:val="00D83706"/>
    <w:rsid w:val="00D83775"/>
    <w:rsid w:val="00D83EE2"/>
    <w:rsid w:val="00D842CB"/>
    <w:rsid w:val="00D84398"/>
    <w:rsid w:val="00D84868"/>
    <w:rsid w:val="00D84B38"/>
    <w:rsid w:val="00D84BB5"/>
    <w:rsid w:val="00D85A5F"/>
    <w:rsid w:val="00D85B35"/>
    <w:rsid w:val="00D862E6"/>
    <w:rsid w:val="00D8692A"/>
    <w:rsid w:val="00D86D30"/>
    <w:rsid w:val="00D870BB"/>
    <w:rsid w:val="00D87395"/>
    <w:rsid w:val="00D87AF1"/>
    <w:rsid w:val="00D87F7A"/>
    <w:rsid w:val="00D90085"/>
    <w:rsid w:val="00D9023E"/>
    <w:rsid w:val="00D90413"/>
    <w:rsid w:val="00D90614"/>
    <w:rsid w:val="00D90BE1"/>
    <w:rsid w:val="00D913E3"/>
    <w:rsid w:val="00D913F7"/>
    <w:rsid w:val="00D91418"/>
    <w:rsid w:val="00D914F2"/>
    <w:rsid w:val="00D917D5"/>
    <w:rsid w:val="00D91B6B"/>
    <w:rsid w:val="00D91DF1"/>
    <w:rsid w:val="00D91E97"/>
    <w:rsid w:val="00D91FAB"/>
    <w:rsid w:val="00D9280B"/>
    <w:rsid w:val="00D92D86"/>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C3F"/>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E19"/>
    <w:rsid w:val="00DA3AAA"/>
    <w:rsid w:val="00DA3D27"/>
    <w:rsid w:val="00DA436F"/>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16C9"/>
    <w:rsid w:val="00DB16E7"/>
    <w:rsid w:val="00DB1956"/>
    <w:rsid w:val="00DB1D39"/>
    <w:rsid w:val="00DB2265"/>
    <w:rsid w:val="00DB28F0"/>
    <w:rsid w:val="00DB2AAC"/>
    <w:rsid w:val="00DB30BB"/>
    <w:rsid w:val="00DB325C"/>
    <w:rsid w:val="00DB33A4"/>
    <w:rsid w:val="00DB33BD"/>
    <w:rsid w:val="00DB357E"/>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08B"/>
    <w:rsid w:val="00DB717E"/>
    <w:rsid w:val="00DB77BB"/>
    <w:rsid w:val="00DB78C1"/>
    <w:rsid w:val="00DB7D5B"/>
    <w:rsid w:val="00DB7D8A"/>
    <w:rsid w:val="00DC0279"/>
    <w:rsid w:val="00DC0400"/>
    <w:rsid w:val="00DC0A4E"/>
    <w:rsid w:val="00DC1700"/>
    <w:rsid w:val="00DC1C5F"/>
    <w:rsid w:val="00DC243A"/>
    <w:rsid w:val="00DC27F9"/>
    <w:rsid w:val="00DC2AF3"/>
    <w:rsid w:val="00DC2E16"/>
    <w:rsid w:val="00DC2ED2"/>
    <w:rsid w:val="00DC2EDE"/>
    <w:rsid w:val="00DC302C"/>
    <w:rsid w:val="00DC325F"/>
    <w:rsid w:val="00DC424C"/>
    <w:rsid w:val="00DC4783"/>
    <w:rsid w:val="00DC4C3E"/>
    <w:rsid w:val="00DC4CE8"/>
    <w:rsid w:val="00DC51D6"/>
    <w:rsid w:val="00DC524F"/>
    <w:rsid w:val="00DC55CD"/>
    <w:rsid w:val="00DC5DB3"/>
    <w:rsid w:val="00DC5EA9"/>
    <w:rsid w:val="00DC6262"/>
    <w:rsid w:val="00DC681C"/>
    <w:rsid w:val="00DC6FCE"/>
    <w:rsid w:val="00DC787D"/>
    <w:rsid w:val="00DC7EBD"/>
    <w:rsid w:val="00DD01C8"/>
    <w:rsid w:val="00DD0B0D"/>
    <w:rsid w:val="00DD0E03"/>
    <w:rsid w:val="00DD1265"/>
    <w:rsid w:val="00DD12FC"/>
    <w:rsid w:val="00DD152E"/>
    <w:rsid w:val="00DD185D"/>
    <w:rsid w:val="00DD1977"/>
    <w:rsid w:val="00DD226B"/>
    <w:rsid w:val="00DD2CA5"/>
    <w:rsid w:val="00DD340A"/>
    <w:rsid w:val="00DD3471"/>
    <w:rsid w:val="00DD3A10"/>
    <w:rsid w:val="00DD474B"/>
    <w:rsid w:val="00DD4A99"/>
    <w:rsid w:val="00DD50C2"/>
    <w:rsid w:val="00DD5851"/>
    <w:rsid w:val="00DD5946"/>
    <w:rsid w:val="00DD5C09"/>
    <w:rsid w:val="00DD6479"/>
    <w:rsid w:val="00DD681D"/>
    <w:rsid w:val="00DD7183"/>
    <w:rsid w:val="00DD72F4"/>
    <w:rsid w:val="00DD7388"/>
    <w:rsid w:val="00DD7610"/>
    <w:rsid w:val="00DD765F"/>
    <w:rsid w:val="00DD77E5"/>
    <w:rsid w:val="00DD7C77"/>
    <w:rsid w:val="00DE0780"/>
    <w:rsid w:val="00DE18A4"/>
    <w:rsid w:val="00DE2130"/>
    <w:rsid w:val="00DE238E"/>
    <w:rsid w:val="00DE2775"/>
    <w:rsid w:val="00DE2BE0"/>
    <w:rsid w:val="00DE2C22"/>
    <w:rsid w:val="00DE3259"/>
    <w:rsid w:val="00DE33D0"/>
    <w:rsid w:val="00DE34A3"/>
    <w:rsid w:val="00DE3794"/>
    <w:rsid w:val="00DE3824"/>
    <w:rsid w:val="00DE43DA"/>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795"/>
    <w:rsid w:val="00DF294D"/>
    <w:rsid w:val="00DF3117"/>
    <w:rsid w:val="00DF3C33"/>
    <w:rsid w:val="00DF41C6"/>
    <w:rsid w:val="00DF41EB"/>
    <w:rsid w:val="00DF44D9"/>
    <w:rsid w:val="00DF4539"/>
    <w:rsid w:val="00DF47AC"/>
    <w:rsid w:val="00DF4D04"/>
    <w:rsid w:val="00DF5D3C"/>
    <w:rsid w:val="00DF5D7E"/>
    <w:rsid w:val="00DF5E4E"/>
    <w:rsid w:val="00DF641A"/>
    <w:rsid w:val="00DF678A"/>
    <w:rsid w:val="00DF72D4"/>
    <w:rsid w:val="00DF7338"/>
    <w:rsid w:val="00DF736D"/>
    <w:rsid w:val="00DF7863"/>
    <w:rsid w:val="00DF7994"/>
    <w:rsid w:val="00E0004B"/>
    <w:rsid w:val="00E00186"/>
    <w:rsid w:val="00E0027A"/>
    <w:rsid w:val="00E00468"/>
    <w:rsid w:val="00E00933"/>
    <w:rsid w:val="00E00A40"/>
    <w:rsid w:val="00E0129D"/>
    <w:rsid w:val="00E015EC"/>
    <w:rsid w:val="00E018BF"/>
    <w:rsid w:val="00E01AD5"/>
    <w:rsid w:val="00E01B37"/>
    <w:rsid w:val="00E02230"/>
    <w:rsid w:val="00E02A0D"/>
    <w:rsid w:val="00E02D93"/>
    <w:rsid w:val="00E02F5A"/>
    <w:rsid w:val="00E0304B"/>
    <w:rsid w:val="00E03183"/>
    <w:rsid w:val="00E037EA"/>
    <w:rsid w:val="00E03ED2"/>
    <w:rsid w:val="00E0416E"/>
    <w:rsid w:val="00E04208"/>
    <w:rsid w:val="00E042EF"/>
    <w:rsid w:val="00E04B72"/>
    <w:rsid w:val="00E051F3"/>
    <w:rsid w:val="00E055DC"/>
    <w:rsid w:val="00E05C88"/>
    <w:rsid w:val="00E06726"/>
    <w:rsid w:val="00E067AC"/>
    <w:rsid w:val="00E07053"/>
    <w:rsid w:val="00E07125"/>
    <w:rsid w:val="00E072A4"/>
    <w:rsid w:val="00E0764B"/>
    <w:rsid w:val="00E07732"/>
    <w:rsid w:val="00E07B0F"/>
    <w:rsid w:val="00E100BC"/>
    <w:rsid w:val="00E1021A"/>
    <w:rsid w:val="00E1035C"/>
    <w:rsid w:val="00E10FD4"/>
    <w:rsid w:val="00E1100B"/>
    <w:rsid w:val="00E1133E"/>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6EC"/>
    <w:rsid w:val="00E14FC4"/>
    <w:rsid w:val="00E15910"/>
    <w:rsid w:val="00E1596F"/>
    <w:rsid w:val="00E15C31"/>
    <w:rsid w:val="00E15C9B"/>
    <w:rsid w:val="00E161C8"/>
    <w:rsid w:val="00E163AE"/>
    <w:rsid w:val="00E1643A"/>
    <w:rsid w:val="00E16523"/>
    <w:rsid w:val="00E16897"/>
    <w:rsid w:val="00E16AB0"/>
    <w:rsid w:val="00E16E25"/>
    <w:rsid w:val="00E17045"/>
    <w:rsid w:val="00E1708D"/>
    <w:rsid w:val="00E17221"/>
    <w:rsid w:val="00E1744A"/>
    <w:rsid w:val="00E17882"/>
    <w:rsid w:val="00E17CAF"/>
    <w:rsid w:val="00E17D86"/>
    <w:rsid w:val="00E17DD2"/>
    <w:rsid w:val="00E17EBF"/>
    <w:rsid w:val="00E20589"/>
    <w:rsid w:val="00E209C8"/>
    <w:rsid w:val="00E20C69"/>
    <w:rsid w:val="00E2134B"/>
    <w:rsid w:val="00E2169B"/>
    <w:rsid w:val="00E2191F"/>
    <w:rsid w:val="00E21F78"/>
    <w:rsid w:val="00E2201E"/>
    <w:rsid w:val="00E223B2"/>
    <w:rsid w:val="00E22699"/>
    <w:rsid w:val="00E232AA"/>
    <w:rsid w:val="00E23585"/>
    <w:rsid w:val="00E2381B"/>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27744"/>
    <w:rsid w:val="00E27ACB"/>
    <w:rsid w:val="00E303CF"/>
    <w:rsid w:val="00E304F7"/>
    <w:rsid w:val="00E30722"/>
    <w:rsid w:val="00E30788"/>
    <w:rsid w:val="00E3085E"/>
    <w:rsid w:val="00E30B18"/>
    <w:rsid w:val="00E30BE7"/>
    <w:rsid w:val="00E30CB7"/>
    <w:rsid w:val="00E31846"/>
    <w:rsid w:val="00E31FEF"/>
    <w:rsid w:val="00E320FB"/>
    <w:rsid w:val="00E32505"/>
    <w:rsid w:val="00E3298F"/>
    <w:rsid w:val="00E32AB5"/>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810"/>
    <w:rsid w:val="00E37931"/>
    <w:rsid w:val="00E37DA8"/>
    <w:rsid w:val="00E402CA"/>
    <w:rsid w:val="00E40392"/>
    <w:rsid w:val="00E40ADF"/>
    <w:rsid w:val="00E40C02"/>
    <w:rsid w:val="00E40C85"/>
    <w:rsid w:val="00E40E97"/>
    <w:rsid w:val="00E41203"/>
    <w:rsid w:val="00E41263"/>
    <w:rsid w:val="00E412B9"/>
    <w:rsid w:val="00E41639"/>
    <w:rsid w:val="00E41ADC"/>
    <w:rsid w:val="00E41CAE"/>
    <w:rsid w:val="00E4252D"/>
    <w:rsid w:val="00E4290D"/>
    <w:rsid w:val="00E42CBB"/>
    <w:rsid w:val="00E451E3"/>
    <w:rsid w:val="00E453DF"/>
    <w:rsid w:val="00E4566C"/>
    <w:rsid w:val="00E457AC"/>
    <w:rsid w:val="00E45B54"/>
    <w:rsid w:val="00E45D68"/>
    <w:rsid w:val="00E46558"/>
    <w:rsid w:val="00E46574"/>
    <w:rsid w:val="00E473F2"/>
    <w:rsid w:val="00E47D8B"/>
    <w:rsid w:val="00E47DC9"/>
    <w:rsid w:val="00E50721"/>
    <w:rsid w:val="00E50761"/>
    <w:rsid w:val="00E508E1"/>
    <w:rsid w:val="00E50C80"/>
    <w:rsid w:val="00E50E67"/>
    <w:rsid w:val="00E5157D"/>
    <w:rsid w:val="00E51EAD"/>
    <w:rsid w:val="00E52A41"/>
    <w:rsid w:val="00E52AAF"/>
    <w:rsid w:val="00E53506"/>
    <w:rsid w:val="00E5372F"/>
    <w:rsid w:val="00E540E9"/>
    <w:rsid w:val="00E549DE"/>
    <w:rsid w:val="00E54AA9"/>
    <w:rsid w:val="00E54C46"/>
    <w:rsid w:val="00E54C67"/>
    <w:rsid w:val="00E55EE8"/>
    <w:rsid w:val="00E55F59"/>
    <w:rsid w:val="00E5604A"/>
    <w:rsid w:val="00E5614B"/>
    <w:rsid w:val="00E56542"/>
    <w:rsid w:val="00E5667F"/>
    <w:rsid w:val="00E5678B"/>
    <w:rsid w:val="00E567A4"/>
    <w:rsid w:val="00E56B68"/>
    <w:rsid w:val="00E56C4B"/>
    <w:rsid w:val="00E56E5B"/>
    <w:rsid w:val="00E573F3"/>
    <w:rsid w:val="00E57610"/>
    <w:rsid w:val="00E57874"/>
    <w:rsid w:val="00E60268"/>
    <w:rsid w:val="00E6066A"/>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85F"/>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A70"/>
    <w:rsid w:val="00E75DEE"/>
    <w:rsid w:val="00E76189"/>
    <w:rsid w:val="00E76799"/>
    <w:rsid w:val="00E774E1"/>
    <w:rsid w:val="00E80251"/>
    <w:rsid w:val="00E80A40"/>
    <w:rsid w:val="00E80ADE"/>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6E9"/>
    <w:rsid w:val="00E86B7A"/>
    <w:rsid w:val="00E86B94"/>
    <w:rsid w:val="00E86DED"/>
    <w:rsid w:val="00E8727A"/>
    <w:rsid w:val="00E87508"/>
    <w:rsid w:val="00E8763B"/>
    <w:rsid w:val="00E87B11"/>
    <w:rsid w:val="00E87CC4"/>
    <w:rsid w:val="00E906FC"/>
    <w:rsid w:val="00E912DE"/>
    <w:rsid w:val="00E91538"/>
    <w:rsid w:val="00E91596"/>
    <w:rsid w:val="00E9249A"/>
    <w:rsid w:val="00E925C3"/>
    <w:rsid w:val="00E92E20"/>
    <w:rsid w:val="00E9375D"/>
    <w:rsid w:val="00E93980"/>
    <w:rsid w:val="00E93D45"/>
    <w:rsid w:val="00E94AC3"/>
    <w:rsid w:val="00E95568"/>
    <w:rsid w:val="00E95A42"/>
    <w:rsid w:val="00E95DC9"/>
    <w:rsid w:val="00E95F59"/>
    <w:rsid w:val="00E960E3"/>
    <w:rsid w:val="00E962EA"/>
    <w:rsid w:val="00E97020"/>
    <w:rsid w:val="00E9751D"/>
    <w:rsid w:val="00E97A01"/>
    <w:rsid w:val="00E97A35"/>
    <w:rsid w:val="00EA0046"/>
    <w:rsid w:val="00EA01C6"/>
    <w:rsid w:val="00EA05C2"/>
    <w:rsid w:val="00EA0EEA"/>
    <w:rsid w:val="00EA15FF"/>
    <w:rsid w:val="00EA16D2"/>
    <w:rsid w:val="00EA1DE1"/>
    <w:rsid w:val="00EA1F36"/>
    <w:rsid w:val="00EA25A0"/>
    <w:rsid w:val="00EA26C7"/>
    <w:rsid w:val="00EA2B66"/>
    <w:rsid w:val="00EA34FE"/>
    <w:rsid w:val="00EA40B1"/>
    <w:rsid w:val="00EA4174"/>
    <w:rsid w:val="00EA4E55"/>
    <w:rsid w:val="00EA4EF3"/>
    <w:rsid w:val="00EA5911"/>
    <w:rsid w:val="00EA5BAC"/>
    <w:rsid w:val="00EA5F68"/>
    <w:rsid w:val="00EA5FDD"/>
    <w:rsid w:val="00EA61C7"/>
    <w:rsid w:val="00EA6672"/>
    <w:rsid w:val="00EA67EA"/>
    <w:rsid w:val="00EA69D1"/>
    <w:rsid w:val="00EA77BE"/>
    <w:rsid w:val="00EA7AC7"/>
    <w:rsid w:val="00EA7BF6"/>
    <w:rsid w:val="00EA7CD0"/>
    <w:rsid w:val="00EA7D46"/>
    <w:rsid w:val="00EA7D87"/>
    <w:rsid w:val="00EB032F"/>
    <w:rsid w:val="00EB064C"/>
    <w:rsid w:val="00EB1447"/>
    <w:rsid w:val="00EB17DE"/>
    <w:rsid w:val="00EB2171"/>
    <w:rsid w:val="00EB2355"/>
    <w:rsid w:val="00EB2628"/>
    <w:rsid w:val="00EB27AB"/>
    <w:rsid w:val="00EB2A53"/>
    <w:rsid w:val="00EB42F1"/>
    <w:rsid w:val="00EB4466"/>
    <w:rsid w:val="00EB44C6"/>
    <w:rsid w:val="00EB47EB"/>
    <w:rsid w:val="00EB47F3"/>
    <w:rsid w:val="00EB4917"/>
    <w:rsid w:val="00EB5854"/>
    <w:rsid w:val="00EB588D"/>
    <w:rsid w:val="00EB5DF1"/>
    <w:rsid w:val="00EB6116"/>
    <w:rsid w:val="00EB633E"/>
    <w:rsid w:val="00EB661D"/>
    <w:rsid w:val="00EB6789"/>
    <w:rsid w:val="00EB6840"/>
    <w:rsid w:val="00EB6DB0"/>
    <w:rsid w:val="00EB793A"/>
    <w:rsid w:val="00EB7A23"/>
    <w:rsid w:val="00EB7BE4"/>
    <w:rsid w:val="00EC0D85"/>
    <w:rsid w:val="00EC0FA3"/>
    <w:rsid w:val="00EC160D"/>
    <w:rsid w:val="00EC1636"/>
    <w:rsid w:val="00EC1F2B"/>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8B"/>
    <w:rsid w:val="00EC63EC"/>
    <w:rsid w:val="00EC64B5"/>
    <w:rsid w:val="00EC6985"/>
    <w:rsid w:val="00EC6AB3"/>
    <w:rsid w:val="00EC7199"/>
    <w:rsid w:val="00EC73A3"/>
    <w:rsid w:val="00EC74EF"/>
    <w:rsid w:val="00EC76DA"/>
    <w:rsid w:val="00EC782D"/>
    <w:rsid w:val="00EC785F"/>
    <w:rsid w:val="00EC7CA9"/>
    <w:rsid w:val="00ED064B"/>
    <w:rsid w:val="00ED0C5C"/>
    <w:rsid w:val="00ED0C81"/>
    <w:rsid w:val="00ED228C"/>
    <w:rsid w:val="00ED277B"/>
    <w:rsid w:val="00ED2840"/>
    <w:rsid w:val="00ED2929"/>
    <w:rsid w:val="00ED29EE"/>
    <w:rsid w:val="00ED2CD7"/>
    <w:rsid w:val="00ED35E7"/>
    <w:rsid w:val="00ED41CC"/>
    <w:rsid w:val="00ED4C1D"/>
    <w:rsid w:val="00ED4EF5"/>
    <w:rsid w:val="00ED583B"/>
    <w:rsid w:val="00ED5975"/>
    <w:rsid w:val="00ED5A67"/>
    <w:rsid w:val="00ED62AD"/>
    <w:rsid w:val="00ED6741"/>
    <w:rsid w:val="00ED6B28"/>
    <w:rsid w:val="00ED720D"/>
    <w:rsid w:val="00ED7331"/>
    <w:rsid w:val="00ED7ACB"/>
    <w:rsid w:val="00ED7BBE"/>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E7278"/>
    <w:rsid w:val="00EE7E90"/>
    <w:rsid w:val="00EF0298"/>
    <w:rsid w:val="00EF02BA"/>
    <w:rsid w:val="00EF0331"/>
    <w:rsid w:val="00EF0AFF"/>
    <w:rsid w:val="00EF0B8B"/>
    <w:rsid w:val="00EF0C5B"/>
    <w:rsid w:val="00EF0CF2"/>
    <w:rsid w:val="00EF0E1B"/>
    <w:rsid w:val="00EF0F60"/>
    <w:rsid w:val="00EF1272"/>
    <w:rsid w:val="00EF151C"/>
    <w:rsid w:val="00EF172C"/>
    <w:rsid w:val="00EF1BF7"/>
    <w:rsid w:val="00EF1E64"/>
    <w:rsid w:val="00EF2128"/>
    <w:rsid w:val="00EF2B47"/>
    <w:rsid w:val="00EF2DC0"/>
    <w:rsid w:val="00EF2DF3"/>
    <w:rsid w:val="00EF2E49"/>
    <w:rsid w:val="00EF3214"/>
    <w:rsid w:val="00EF32B0"/>
    <w:rsid w:val="00EF33E6"/>
    <w:rsid w:val="00EF38EC"/>
    <w:rsid w:val="00EF3A3F"/>
    <w:rsid w:val="00EF3AE0"/>
    <w:rsid w:val="00EF3B54"/>
    <w:rsid w:val="00EF3BE6"/>
    <w:rsid w:val="00EF3FC3"/>
    <w:rsid w:val="00EF417B"/>
    <w:rsid w:val="00EF42BF"/>
    <w:rsid w:val="00EF437E"/>
    <w:rsid w:val="00EF4662"/>
    <w:rsid w:val="00EF4F71"/>
    <w:rsid w:val="00EF5178"/>
    <w:rsid w:val="00EF5249"/>
    <w:rsid w:val="00EF5DC1"/>
    <w:rsid w:val="00EF65F1"/>
    <w:rsid w:val="00EF69A1"/>
    <w:rsid w:val="00EF6A36"/>
    <w:rsid w:val="00EF6A4A"/>
    <w:rsid w:val="00EF6CD2"/>
    <w:rsid w:val="00EF709D"/>
    <w:rsid w:val="00EF7CAE"/>
    <w:rsid w:val="00F0064A"/>
    <w:rsid w:val="00F0069C"/>
    <w:rsid w:val="00F00BD0"/>
    <w:rsid w:val="00F00E30"/>
    <w:rsid w:val="00F01885"/>
    <w:rsid w:val="00F020BB"/>
    <w:rsid w:val="00F0225B"/>
    <w:rsid w:val="00F02359"/>
    <w:rsid w:val="00F0262F"/>
    <w:rsid w:val="00F0279F"/>
    <w:rsid w:val="00F0388D"/>
    <w:rsid w:val="00F03D6F"/>
    <w:rsid w:val="00F04405"/>
    <w:rsid w:val="00F04BC5"/>
    <w:rsid w:val="00F04BF0"/>
    <w:rsid w:val="00F04DC9"/>
    <w:rsid w:val="00F04E41"/>
    <w:rsid w:val="00F05047"/>
    <w:rsid w:val="00F05181"/>
    <w:rsid w:val="00F05458"/>
    <w:rsid w:val="00F05A47"/>
    <w:rsid w:val="00F05BC1"/>
    <w:rsid w:val="00F06190"/>
    <w:rsid w:val="00F0671C"/>
    <w:rsid w:val="00F06788"/>
    <w:rsid w:val="00F07494"/>
    <w:rsid w:val="00F0789F"/>
    <w:rsid w:val="00F0797C"/>
    <w:rsid w:val="00F101A5"/>
    <w:rsid w:val="00F102CC"/>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4A5"/>
    <w:rsid w:val="00F15541"/>
    <w:rsid w:val="00F15B3D"/>
    <w:rsid w:val="00F15D35"/>
    <w:rsid w:val="00F165C7"/>
    <w:rsid w:val="00F167B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B63"/>
    <w:rsid w:val="00F23FC1"/>
    <w:rsid w:val="00F24E40"/>
    <w:rsid w:val="00F24E82"/>
    <w:rsid w:val="00F2513C"/>
    <w:rsid w:val="00F25148"/>
    <w:rsid w:val="00F2515E"/>
    <w:rsid w:val="00F2577F"/>
    <w:rsid w:val="00F25A17"/>
    <w:rsid w:val="00F25C69"/>
    <w:rsid w:val="00F25C90"/>
    <w:rsid w:val="00F25FFA"/>
    <w:rsid w:val="00F26723"/>
    <w:rsid w:val="00F26781"/>
    <w:rsid w:val="00F26DF6"/>
    <w:rsid w:val="00F2726E"/>
    <w:rsid w:val="00F2750E"/>
    <w:rsid w:val="00F279BC"/>
    <w:rsid w:val="00F27BA8"/>
    <w:rsid w:val="00F27CD3"/>
    <w:rsid w:val="00F27D84"/>
    <w:rsid w:val="00F27E87"/>
    <w:rsid w:val="00F304C1"/>
    <w:rsid w:val="00F304C9"/>
    <w:rsid w:val="00F304D4"/>
    <w:rsid w:val="00F305B8"/>
    <w:rsid w:val="00F30766"/>
    <w:rsid w:val="00F30E33"/>
    <w:rsid w:val="00F3152B"/>
    <w:rsid w:val="00F315E0"/>
    <w:rsid w:val="00F315EE"/>
    <w:rsid w:val="00F3179A"/>
    <w:rsid w:val="00F31C17"/>
    <w:rsid w:val="00F32562"/>
    <w:rsid w:val="00F32630"/>
    <w:rsid w:val="00F32863"/>
    <w:rsid w:val="00F3372D"/>
    <w:rsid w:val="00F33B17"/>
    <w:rsid w:val="00F33BD5"/>
    <w:rsid w:val="00F33C7D"/>
    <w:rsid w:val="00F33DFE"/>
    <w:rsid w:val="00F342C1"/>
    <w:rsid w:val="00F347ED"/>
    <w:rsid w:val="00F35678"/>
    <w:rsid w:val="00F357DD"/>
    <w:rsid w:val="00F36398"/>
    <w:rsid w:val="00F366BB"/>
    <w:rsid w:val="00F36CEE"/>
    <w:rsid w:val="00F37034"/>
    <w:rsid w:val="00F3753F"/>
    <w:rsid w:val="00F37568"/>
    <w:rsid w:val="00F37AE9"/>
    <w:rsid w:val="00F37D30"/>
    <w:rsid w:val="00F37F7A"/>
    <w:rsid w:val="00F401DC"/>
    <w:rsid w:val="00F403DE"/>
    <w:rsid w:val="00F40AF3"/>
    <w:rsid w:val="00F40C64"/>
    <w:rsid w:val="00F40E06"/>
    <w:rsid w:val="00F412C9"/>
    <w:rsid w:val="00F414D2"/>
    <w:rsid w:val="00F41501"/>
    <w:rsid w:val="00F418AF"/>
    <w:rsid w:val="00F418C2"/>
    <w:rsid w:val="00F419A8"/>
    <w:rsid w:val="00F41A0A"/>
    <w:rsid w:val="00F42229"/>
    <w:rsid w:val="00F425A7"/>
    <w:rsid w:val="00F42883"/>
    <w:rsid w:val="00F429E2"/>
    <w:rsid w:val="00F4328E"/>
    <w:rsid w:val="00F4350A"/>
    <w:rsid w:val="00F43871"/>
    <w:rsid w:val="00F438C7"/>
    <w:rsid w:val="00F43C2E"/>
    <w:rsid w:val="00F44624"/>
    <w:rsid w:val="00F44691"/>
    <w:rsid w:val="00F446AA"/>
    <w:rsid w:val="00F44AB1"/>
    <w:rsid w:val="00F45047"/>
    <w:rsid w:val="00F45723"/>
    <w:rsid w:val="00F461DF"/>
    <w:rsid w:val="00F468BE"/>
    <w:rsid w:val="00F4706C"/>
    <w:rsid w:val="00F472A3"/>
    <w:rsid w:val="00F475F7"/>
    <w:rsid w:val="00F47CD7"/>
    <w:rsid w:val="00F47F5D"/>
    <w:rsid w:val="00F5019A"/>
    <w:rsid w:val="00F50A08"/>
    <w:rsid w:val="00F50AB2"/>
    <w:rsid w:val="00F515D9"/>
    <w:rsid w:val="00F51773"/>
    <w:rsid w:val="00F517CF"/>
    <w:rsid w:val="00F51913"/>
    <w:rsid w:val="00F51CD8"/>
    <w:rsid w:val="00F520C3"/>
    <w:rsid w:val="00F520F9"/>
    <w:rsid w:val="00F52172"/>
    <w:rsid w:val="00F5234D"/>
    <w:rsid w:val="00F52AE9"/>
    <w:rsid w:val="00F532B7"/>
    <w:rsid w:val="00F535F4"/>
    <w:rsid w:val="00F536A5"/>
    <w:rsid w:val="00F53878"/>
    <w:rsid w:val="00F53893"/>
    <w:rsid w:val="00F53DDE"/>
    <w:rsid w:val="00F53E4D"/>
    <w:rsid w:val="00F5487F"/>
    <w:rsid w:val="00F54A2B"/>
    <w:rsid w:val="00F54B3C"/>
    <w:rsid w:val="00F54CCB"/>
    <w:rsid w:val="00F5531B"/>
    <w:rsid w:val="00F5540E"/>
    <w:rsid w:val="00F556FA"/>
    <w:rsid w:val="00F55D91"/>
    <w:rsid w:val="00F55E5E"/>
    <w:rsid w:val="00F569D5"/>
    <w:rsid w:val="00F56C7D"/>
    <w:rsid w:val="00F56DC1"/>
    <w:rsid w:val="00F605C9"/>
    <w:rsid w:val="00F605D8"/>
    <w:rsid w:val="00F609AE"/>
    <w:rsid w:val="00F60AD3"/>
    <w:rsid w:val="00F60C1B"/>
    <w:rsid w:val="00F6138B"/>
    <w:rsid w:val="00F61766"/>
    <w:rsid w:val="00F619BD"/>
    <w:rsid w:val="00F62002"/>
    <w:rsid w:val="00F6216A"/>
    <w:rsid w:val="00F62AD7"/>
    <w:rsid w:val="00F62E41"/>
    <w:rsid w:val="00F62E49"/>
    <w:rsid w:val="00F633E8"/>
    <w:rsid w:val="00F6341C"/>
    <w:rsid w:val="00F6396E"/>
    <w:rsid w:val="00F63B28"/>
    <w:rsid w:val="00F63C60"/>
    <w:rsid w:val="00F63CEA"/>
    <w:rsid w:val="00F643B6"/>
    <w:rsid w:val="00F651B3"/>
    <w:rsid w:val="00F653D3"/>
    <w:rsid w:val="00F65620"/>
    <w:rsid w:val="00F65D0F"/>
    <w:rsid w:val="00F65E6A"/>
    <w:rsid w:val="00F665CA"/>
    <w:rsid w:val="00F669B2"/>
    <w:rsid w:val="00F66B68"/>
    <w:rsid w:val="00F66E7F"/>
    <w:rsid w:val="00F67706"/>
    <w:rsid w:val="00F67754"/>
    <w:rsid w:val="00F67BB2"/>
    <w:rsid w:val="00F67C21"/>
    <w:rsid w:val="00F67CD2"/>
    <w:rsid w:val="00F67CE3"/>
    <w:rsid w:val="00F702F5"/>
    <w:rsid w:val="00F706E8"/>
    <w:rsid w:val="00F70F03"/>
    <w:rsid w:val="00F711BF"/>
    <w:rsid w:val="00F7129A"/>
    <w:rsid w:val="00F71580"/>
    <w:rsid w:val="00F71598"/>
    <w:rsid w:val="00F716F3"/>
    <w:rsid w:val="00F71B5F"/>
    <w:rsid w:val="00F71B6A"/>
    <w:rsid w:val="00F720B5"/>
    <w:rsid w:val="00F7268E"/>
    <w:rsid w:val="00F72B3C"/>
    <w:rsid w:val="00F72B6D"/>
    <w:rsid w:val="00F72E51"/>
    <w:rsid w:val="00F73046"/>
    <w:rsid w:val="00F7314E"/>
    <w:rsid w:val="00F73157"/>
    <w:rsid w:val="00F735A5"/>
    <w:rsid w:val="00F7379A"/>
    <w:rsid w:val="00F73AE2"/>
    <w:rsid w:val="00F73F99"/>
    <w:rsid w:val="00F74138"/>
    <w:rsid w:val="00F74AB4"/>
    <w:rsid w:val="00F75215"/>
    <w:rsid w:val="00F7584A"/>
    <w:rsid w:val="00F758C2"/>
    <w:rsid w:val="00F75B44"/>
    <w:rsid w:val="00F76204"/>
    <w:rsid w:val="00F762E2"/>
    <w:rsid w:val="00F77093"/>
    <w:rsid w:val="00F773EE"/>
    <w:rsid w:val="00F7760E"/>
    <w:rsid w:val="00F7765D"/>
    <w:rsid w:val="00F77CD7"/>
    <w:rsid w:val="00F80143"/>
    <w:rsid w:val="00F809FC"/>
    <w:rsid w:val="00F80D1F"/>
    <w:rsid w:val="00F80D9B"/>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65F"/>
    <w:rsid w:val="00F87ABD"/>
    <w:rsid w:val="00F90C57"/>
    <w:rsid w:val="00F910D6"/>
    <w:rsid w:val="00F91324"/>
    <w:rsid w:val="00F91B2D"/>
    <w:rsid w:val="00F91C04"/>
    <w:rsid w:val="00F91E23"/>
    <w:rsid w:val="00F920AB"/>
    <w:rsid w:val="00F92168"/>
    <w:rsid w:val="00F9285D"/>
    <w:rsid w:val="00F928A0"/>
    <w:rsid w:val="00F93415"/>
    <w:rsid w:val="00F934D3"/>
    <w:rsid w:val="00F9380E"/>
    <w:rsid w:val="00F9385E"/>
    <w:rsid w:val="00F93BB8"/>
    <w:rsid w:val="00F94414"/>
    <w:rsid w:val="00F949BC"/>
    <w:rsid w:val="00F94C30"/>
    <w:rsid w:val="00F95109"/>
    <w:rsid w:val="00F95483"/>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B"/>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5A1"/>
    <w:rsid w:val="00FB7695"/>
    <w:rsid w:val="00FB7FDA"/>
    <w:rsid w:val="00FC0102"/>
    <w:rsid w:val="00FC0AA5"/>
    <w:rsid w:val="00FC0C73"/>
    <w:rsid w:val="00FC0C8C"/>
    <w:rsid w:val="00FC0DB9"/>
    <w:rsid w:val="00FC1842"/>
    <w:rsid w:val="00FC2457"/>
    <w:rsid w:val="00FC37E5"/>
    <w:rsid w:val="00FC3956"/>
    <w:rsid w:val="00FC3B9D"/>
    <w:rsid w:val="00FC3C5D"/>
    <w:rsid w:val="00FC427B"/>
    <w:rsid w:val="00FC42D8"/>
    <w:rsid w:val="00FC468C"/>
    <w:rsid w:val="00FC4C8C"/>
    <w:rsid w:val="00FC4D9F"/>
    <w:rsid w:val="00FC4F4D"/>
    <w:rsid w:val="00FC542B"/>
    <w:rsid w:val="00FC61E9"/>
    <w:rsid w:val="00FC651E"/>
    <w:rsid w:val="00FC6FDD"/>
    <w:rsid w:val="00FC700B"/>
    <w:rsid w:val="00FC715E"/>
    <w:rsid w:val="00FC774A"/>
    <w:rsid w:val="00FC79A0"/>
    <w:rsid w:val="00FC7C6A"/>
    <w:rsid w:val="00FD04D9"/>
    <w:rsid w:val="00FD071B"/>
    <w:rsid w:val="00FD0771"/>
    <w:rsid w:val="00FD0B6E"/>
    <w:rsid w:val="00FD0C2F"/>
    <w:rsid w:val="00FD0C95"/>
    <w:rsid w:val="00FD0F47"/>
    <w:rsid w:val="00FD1003"/>
    <w:rsid w:val="00FD17C2"/>
    <w:rsid w:val="00FD1921"/>
    <w:rsid w:val="00FD202D"/>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AD7"/>
    <w:rsid w:val="00FD6B41"/>
    <w:rsid w:val="00FD7525"/>
    <w:rsid w:val="00FD79C1"/>
    <w:rsid w:val="00FD7B21"/>
    <w:rsid w:val="00FE0299"/>
    <w:rsid w:val="00FE04A4"/>
    <w:rsid w:val="00FE0B27"/>
    <w:rsid w:val="00FE0DC0"/>
    <w:rsid w:val="00FE0E66"/>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2A6"/>
    <w:rsid w:val="00FE437B"/>
    <w:rsid w:val="00FE45D3"/>
    <w:rsid w:val="00FE46A6"/>
    <w:rsid w:val="00FE4AF4"/>
    <w:rsid w:val="00FE4C8B"/>
    <w:rsid w:val="00FE4F50"/>
    <w:rsid w:val="00FE555F"/>
    <w:rsid w:val="00FE5586"/>
    <w:rsid w:val="00FE593F"/>
    <w:rsid w:val="00FE5BFB"/>
    <w:rsid w:val="00FE5C22"/>
    <w:rsid w:val="00FE6315"/>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3D06"/>
    <w:rsid w:val="00FF41AE"/>
    <w:rsid w:val="00FF424C"/>
    <w:rsid w:val="00FF449E"/>
    <w:rsid w:val="00FF487F"/>
    <w:rsid w:val="00FF4EEB"/>
    <w:rsid w:val="00FF5557"/>
    <w:rsid w:val="00FF5CE0"/>
    <w:rsid w:val="00FF5EB6"/>
    <w:rsid w:val="00FF62D0"/>
    <w:rsid w:val="00FF638F"/>
    <w:rsid w:val="00FF67F6"/>
    <w:rsid w:val="00FF6E94"/>
    <w:rsid w:val="00FF7226"/>
    <w:rsid w:val="00FF72BF"/>
    <w:rsid w:val="016D53A7"/>
    <w:rsid w:val="0193244A"/>
    <w:rsid w:val="01B66F8B"/>
    <w:rsid w:val="01F1424F"/>
    <w:rsid w:val="025137E6"/>
    <w:rsid w:val="02AC6A55"/>
    <w:rsid w:val="02B42D75"/>
    <w:rsid w:val="036910BB"/>
    <w:rsid w:val="05320653"/>
    <w:rsid w:val="057F7E85"/>
    <w:rsid w:val="068B3030"/>
    <w:rsid w:val="07577B15"/>
    <w:rsid w:val="07B37AF7"/>
    <w:rsid w:val="07F35ED3"/>
    <w:rsid w:val="09E56525"/>
    <w:rsid w:val="0BDB79CD"/>
    <w:rsid w:val="0DF7584B"/>
    <w:rsid w:val="0E3B73DA"/>
    <w:rsid w:val="0E4F5CAF"/>
    <w:rsid w:val="0E607E88"/>
    <w:rsid w:val="0F344841"/>
    <w:rsid w:val="0FE3233B"/>
    <w:rsid w:val="0FEB7AB3"/>
    <w:rsid w:val="10535C7B"/>
    <w:rsid w:val="10F201A2"/>
    <w:rsid w:val="13610782"/>
    <w:rsid w:val="14A021FF"/>
    <w:rsid w:val="15990722"/>
    <w:rsid w:val="16A41F98"/>
    <w:rsid w:val="19616F1D"/>
    <w:rsid w:val="1B374311"/>
    <w:rsid w:val="1C957CF4"/>
    <w:rsid w:val="1C975328"/>
    <w:rsid w:val="1D3201A6"/>
    <w:rsid w:val="1DF239BE"/>
    <w:rsid w:val="1F284C81"/>
    <w:rsid w:val="1FD86C91"/>
    <w:rsid w:val="20430ADF"/>
    <w:rsid w:val="20B427EC"/>
    <w:rsid w:val="218856BA"/>
    <w:rsid w:val="232E3C1B"/>
    <w:rsid w:val="23476302"/>
    <w:rsid w:val="24867FFC"/>
    <w:rsid w:val="25316AEF"/>
    <w:rsid w:val="28C05208"/>
    <w:rsid w:val="2AC23E9E"/>
    <w:rsid w:val="2ADD326D"/>
    <w:rsid w:val="2D2D26B1"/>
    <w:rsid w:val="2F1C3CE0"/>
    <w:rsid w:val="2F4A68BD"/>
    <w:rsid w:val="30794D61"/>
    <w:rsid w:val="30AE1D67"/>
    <w:rsid w:val="30D45E75"/>
    <w:rsid w:val="32104BE3"/>
    <w:rsid w:val="323B0F39"/>
    <w:rsid w:val="32F96E7E"/>
    <w:rsid w:val="344D55E7"/>
    <w:rsid w:val="352F5465"/>
    <w:rsid w:val="35A74912"/>
    <w:rsid w:val="36642DFC"/>
    <w:rsid w:val="366F5CEA"/>
    <w:rsid w:val="37661FE5"/>
    <w:rsid w:val="37710C6C"/>
    <w:rsid w:val="378579A5"/>
    <w:rsid w:val="388613F2"/>
    <w:rsid w:val="38E51829"/>
    <w:rsid w:val="3A2E66E8"/>
    <w:rsid w:val="3A6C303F"/>
    <w:rsid w:val="3B0A275B"/>
    <w:rsid w:val="3CC069B9"/>
    <w:rsid w:val="3D14730D"/>
    <w:rsid w:val="3D1A02F8"/>
    <w:rsid w:val="3DC9733C"/>
    <w:rsid w:val="3EB07A49"/>
    <w:rsid w:val="3F18317E"/>
    <w:rsid w:val="41193413"/>
    <w:rsid w:val="41B527F8"/>
    <w:rsid w:val="42040FCD"/>
    <w:rsid w:val="4297083C"/>
    <w:rsid w:val="43A87ADF"/>
    <w:rsid w:val="44246D81"/>
    <w:rsid w:val="44E505BC"/>
    <w:rsid w:val="455B030A"/>
    <w:rsid w:val="45846D2E"/>
    <w:rsid w:val="45FD4CF3"/>
    <w:rsid w:val="46830F6D"/>
    <w:rsid w:val="479E4A78"/>
    <w:rsid w:val="4807784D"/>
    <w:rsid w:val="48B44D88"/>
    <w:rsid w:val="49EB3890"/>
    <w:rsid w:val="4B1D5CBD"/>
    <w:rsid w:val="4B562400"/>
    <w:rsid w:val="4CA142AA"/>
    <w:rsid w:val="4DC04A82"/>
    <w:rsid w:val="4EC623A2"/>
    <w:rsid w:val="4F070A88"/>
    <w:rsid w:val="4F2911BA"/>
    <w:rsid w:val="51BB1B8F"/>
    <w:rsid w:val="51F27DEC"/>
    <w:rsid w:val="533C0956"/>
    <w:rsid w:val="56746D53"/>
    <w:rsid w:val="575D2D80"/>
    <w:rsid w:val="57742E0C"/>
    <w:rsid w:val="5AC70B3C"/>
    <w:rsid w:val="5C0F44CB"/>
    <w:rsid w:val="5DA80FCB"/>
    <w:rsid w:val="5E7462A8"/>
    <w:rsid w:val="5EE97B17"/>
    <w:rsid w:val="605F6B95"/>
    <w:rsid w:val="6112113F"/>
    <w:rsid w:val="615D23D5"/>
    <w:rsid w:val="6162573A"/>
    <w:rsid w:val="619163BB"/>
    <w:rsid w:val="61F01D4B"/>
    <w:rsid w:val="638B6EFE"/>
    <w:rsid w:val="64F418E5"/>
    <w:rsid w:val="65C16DB5"/>
    <w:rsid w:val="667B512D"/>
    <w:rsid w:val="6706374E"/>
    <w:rsid w:val="694767D7"/>
    <w:rsid w:val="6A717BF7"/>
    <w:rsid w:val="6B8515B7"/>
    <w:rsid w:val="6DA24EF9"/>
    <w:rsid w:val="6E877D16"/>
    <w:rsid w:val="70AC543D"/>
    <w:rsid w:val="714F6CEE"/>
    <w:rsid w:val="73086718"/>
    <w:rsid w:val="74CA6BBD"/>
    <w:rsid w:val="790C3ADC"/>
    <w:rsid w:val="793C0B2F"/>
    <w:rsid w:val="7A256940"/>
    <w:rsid w:val="7B0C679D"/>
    <w:rsid w:val="7BFB2B07"/>
    <w:rsid w:val="7CD31209"/>
    <w:rsid w:val="7DEA7E7F"/>
    <w:rsid w:val="7F9E299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39" w:semiHidden="0" w:name="Table Grid"/>
    <w:lsdException w:uiPriority="99" w:name="Table Theme" w:locked="1"/>
    <w:lsdException w:qFormat="1" w:unhideWhenUsed="0" w:uiPriority="67"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9"/>
    <w:qFormat/>
    <w:uiPriority w:val="99"/>
    <w:pPr>
      <w:keepNext/>
      <w:keepLines/>
      <w:pBdr>
        <w:top w:val="single" w:color="auto" w:sz="12" w:space="3"/>
      </w:pBdr>
      <w:spacing w:before="240"/>
      <w:ind w:left="1134" w:hanging="1134"/>
      <w:outlineLvl w:val="0"/>
    </w:pPr>
    <w:rPr>
      <w:rFonts w:ascii="Cambria" w:hAnsi="Cambria"/>
      <w:b/>
      <w:bCs/>
      <w:kern w:val="32"/>
      <w:sz w:val="32"/>
      <w:szCs w:val="32"/>
    </w:rPr>
  </w:style>
  <w:style w:type="paragraph" w:styleId="3">
    <w:name w:val="heading 2"/>
    <w:basedOn w:val="2"/>
    <w:next w:val="1"/>
    <w:link w:val="60"/>
    <w:qFormat/>
    <w:uiPriority w:val="0"/>
    <w:pPr>
      <w:pBdr>
        <w:top w:val="none" w:color="auto" w:sz="0" w:space="0"/>
      </w:pBdr>
      <w:spacing w:before="180"/>
      <w:outlineLvl w:val="1"/>
    </w:pPr>
    <w:rPr>
      <w:i/>
      <w:iCs/>
      <w:kern w:val="0"/>
      <w:sz w:val="28"/>
      <w:szCs w:val="28"/>
    </w:rPr>
  </w:style>
  <w:style w:type="paragraph" w:styleId="4">
    <w:name w:val="heading 3"/>
    <w:basedOn w:val="3"/>
    <w:next w:val="1"/>
    <w:link w:val="61"/>
    <w:qFormat/>
    <w:uiPriority w:val="99"/>
    <w:pPr>
      <w:spacing w:before="120"/>
      <w:outlineLvl w:val="2"/>
    </w:pPr>
    <w:rPr>
      <w:i w:val="0"/>
      <w:iCs w:val="0"/>
      <w:sz w:val="26"/>
      <w:szCs w:val="26"/>
    </w:rPr>
  </w:style>
  <w:style w:type="paragraph" w:styleId="5">
    <w:name w:val="heading 4"/>
    <w:basedOn w:val="4"/>
    <w:next w:val="1"/>
    <w:link w:val="62"/>
    <w:qFormat/>
    <w:uiPriority w:val="99"/>
    <w:pPr>
      <w:ind w:left="1418" w:hanging="1418"/>
      <w:outlineLvl w:val="3"/>
    </w:pPr>
    <w:rPr>
      <w:rFonts w:ascii="Calibri" w:hAnsi="Calibri"/>
      <w:sz w:val="28"/>
      <w:szCs w:val="28"/>
    </w:rPr>
  </w:style>
  <w:style w:type="paragraph" w:styleId="6">
    <w:name w:val="heading 5"/>
    <w:basedOn w:val="5"/>
    <w:next w:val="1"/>
    <w:link w:val="63"/>
    <w:qFormat/>
    <w:uiPriority w:val="99"/>
    <w:pPr>
      <w:ind w:left="1701" w:hanging="1701"/>
      <w:outlineLvl w:val="4"/>
    </w:pPr>
    <w:rPr>
      <w:i/>
      <w:iCs/>
      <w:sz w:val="26"/>
      <w:szCs w:val="26"/>
    </w:rPr>
  </w:style>
  <w:style w:type="paragraph" w:styleId="7">
    <w:name w:val="heading 6"/>
    <w:basedOn w:val="8"/>
    <w:next w:val="1"/>
    <w:link w:val="64"/>
    <w:qFormat/>
    <w:uiPriority w:val="99"/>
    <w:pPr>
      <w:outlineLvl w:val="5"/>
    </w:pPr>
    <w:rPr>
      <w:i w:val="0"/>
      <w:iCs w:val="0"/>
      <w:szCs w:val="20"/>
    </w:rPr>
  </w:style>
  <w:style w:type="paragraph" w:styleId="9">
    <w:name w:val="heading 7"/>
    <w:basedOn w:val="8"/>
    <w:next w:val="1"/>
    <w:link w:val="65"/>
    <w:qFormat/>
    <w:uiPriority w:val="99"/>
    <w:pPr>
      <w:outlineLvl w:val="6"/>
    </w:pPr>
    <w:rPr>
      <w:b w:val="0"/>
      <w:bCs w:val="0"/>
      <w:i w:val="0"/>
      <w:iCs w:val="0"/>
      <w:sz w:val="24"/>
      <w:szCs w:val="24"/>
    </w:rPr>
  </w:style>
  <w:style w:type="paragraph" w:styleId="10">
    <w:name w:val="heading 8"/>
    <w:basedOn w:val="2"/>
    <w:next w:val="1"/>
    <w:link w:val="66"/>
    <w:qFormat/>
    <w:uiPriority w:val="99"/>
    <w:pPr>
      <w:ind w:left="0" w:firstLine="0"/>
      <w:outlineLvl w:val="7"/>
    </w:pPr>
    <w:rPr>
      <w:rFonts w:ascii="Calibri" w:hAnsi="Calibri"/>
      <w:b w:val="0"/>
      <w:bCs w:val="0"/>
      <w:i/>
      <w:iCs/>
      <w:kern w:val="0"/>
      <w:sz w:val="24"/>
      <w:szCs w:val="24"/>
    </w:rPr>
  </w:style>
  <w:style w:type="paragraph" w:styleId="11">
    <w:name w:val="heading 9"/>
    <w:basedOn w:val="10"/>
    <w:next w:val="1"/>
    <w:link w:val="67"/>
    <w:qFormat/>
    <w:uiPriority w:val="99"/>
    <w:p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0"/>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1"/>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99"/>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99"/>
    <w:rPr>
      <w:color w:val="0000FF"/>
      <w:u w:val="single"/>
    </w:rPr>
  </w:style>
  <w:style w:type="character" w:styleId="57">
    <w:name w:val="annotation reference"/>
    <w:qFormat/>
    <w:uiPriority w:val="0"/>
    <w:rPr>
      <w:rFonts w:cs="Times New Roman"/>
      <w:sz w:val="16"/>
      <w:szCs w:val="16"/>
    </w:rPr>
  </w:style>
  <w:style w:type="character" w:styleId="58">
    <w:name w:val="footnote reference"/>
    <w:semiHidden/>
    <w:qFormat/>
    <w:uiPriority w:val="99"/>
    <w:rPr>
      <w:rFonts w:cs="Times New Roman"/>
      <w:b/>
      <w:position w:val="6"/>
      <w:sz w:val="16"/>
    </w:rPr>
  </w:style>
  <w:style w:type="character" w:customStyle="1" w:styleId="59">
    <w:name w:val="标题 1 字符"/>
    <w:link w:val="2"/>
    <w:qFormat/>
    <w:locked/>
    <w:uiPriority w:val="99"/>
    <w:rPr>
      <w:rFonts w:ascii="Cambria" w:hAnsi="Cambria" w:eastAsia="宋体" w:cs="Times New Roman"/>
      <w:b/>
      <w:bCs/>
      <w:kern w:val="32"/>
      <w:sz w:val="32"/>
      <w:szCs w:val="32"/>
      <w:lang w:val="en-GB" w:eastAsia="ja-JP"/>
    </w:rPr>
  </w:style>
  <w:style w:type="character" w:customStyle="1" w:styleId="60">
    <w:name w:val="标题 2 字符"/>
    <w:link w:val="3"/>
    <w:qFormat/>
    <w:locked/>
    <w:uiPriority w:val="0"/>
    <w:rPr>
      <w:rFonts w:ascii="Cambria" w:hAnsi="Cambria" w:eastAsia="宋体" w:cs="Times New Roman"/>
      <w:b/>
      <w:bCs/>
      <w:i/>
      <w:iCs/>
      <w:sz w:val="28"/>
      <w:szCs w:val="28"/>
      <w:lang w:val="en-GB" w:eastAsia="ja-JP"/>
    </w:rPr>
  </w:style>
  <w:style w:type="character" w:customStyle="1" w:styleId="61">
    <w:name w:val="标题 3 字符"/>
    <w:link w:val="4"/>
    <w:semiHidden/>
    <w:qFormat/>
    <w:locked/>
    <w:uiPriority w:val="99"/>
    <w:rPr>
      <w:rFonts w:ascii="Cambria" w:hAnsi="Cambria" w:eastAsia="宋体" w:cs="Times New Roman"/>
      <w:b/>
      <w:bCs/>
      <w:sz w:val="26"/>
      <w:szCs w:val="26"/>
      <w:lang w:val="en-GB" w:eastAsia="ja-JP"/>
    </w:rPr>
  </w:style>
  <w:style w:type="character" w:customStyle="1" w:styleId="62">
    <w:name w:val="标题 4 字符"/>
    <w:link w:val="5"/>
    <w:semiHidden/>
    <w:qFormat/>
    <w:locked/>
    <w:uiPriority w:val="99"/>
    <w:rPr>
      <w:rFonts w:ascii="Calibri" w:hAnsi="Calibri" w:eastAsia="宋体" w:cs="Times New Roman"/>
      <w:b/>
      <w:bCs/>
      <w:sz w:val="28"/>
      <w:szCs w:val="28"/>
      <w:lang w:val="en-GB" w:eastAsia="ja-JP"/>
    </w:rPr>
  </w:style>
  <w:style w:type="character" w:customStyle="1" w:styleId="63">
    <w:name w:val="标题 5 字符"/>
    <w:link w:val="6"/>
    <w:semiHidden/>
    <w:qFormat/>
    <w:locked/>
    <w:uiPriority w:val="99"/>
    <w:rPr>
      <w:rFonts w:ascii="Calibri" w:hAnsi="Calibri" w:eastAsia="宋体" w:cs="Times New Roman"/>
      <w:b/>
      <w:bCs/>
      <w:i/>
      <w:iCs/>
      <w:sz w:val="26"/>
      <w:szCs w:val="26"/>
      <w:lang w:val="en-GB" w:eastAsia="ja-JP"/>
    </w:rPr>
  </w:style>
  <w:style w:type="character" w:customStyle="1" w:styleId="64">
    <w:name w:val="标题 6 字符"/>
    <w:link w:val="7"/>
    <w:semiHidden/>
    <w:qFormat/>
    <w:locked/>
    <w:uiPriority w:val="99"/>
    <w:rPr>
      <w:rFonts w:ascii="Calibri" w:hAnsi="Calibri" w:eastAsia="宋体" w:cs="Times New Roman"/>
      <w:b/>
      <w:bCs/>
      <w:lang w:val="en-GB" w:eastAsia="ja-JP"/>
    </w:rPr>
  </w:style>
  <w:style w:type="character" w:customStyle="1" w:styleId="65">
    <w:name w:val="标题 7 字符"/>
    <w:link w:val="9"/>
    <w:semiHidden/>
    <w:qFormat/>
    <w:locked/>
    <w:uiPriority w:val="99"/>
    <w:rPr>
      <w:rFonts w:ascii="Calibri" w:hAnsi="Calibri" w:eastAsia="宋体" w:cs="Times New Roman"/>
      <w:sz w:val="24"/>
      <w:szCs w:val="24"/>
      <w:lang w:val="en-GB" w:eastAsia="ja-JP"/>
    </w:rPr>
  </w:style>
  <w:style w:type="character" w:customStyle="1" w:styleId="66">
    <w:name w:val="标题 8 字符"/>
    <w:link w:val="10"/>
    <w:semiHidden/>
    <w:qFormat/>
    <w:locked/>
    <w:uiPriority w:val="99"/>
    <w:rPr>
      <w:rFonts w:ascii="Calibri" w:hAnsi="Calibri" w:eastAsia="宋体" w:cs="Times New Roman"/>
      <w:i/>
      <w:iCs/>
      <w:sz w:val="24"/>
      <w:szCs w:val="24"/>
      <w:lang w:val="en-GB" w:eastAsia="ja-JP"/>
    </w:rPr>
  </w:style>
  <w:style w:type="character" w:customStyle="1" w:styleId="67">
    <w:name w:val="标题 9 字符"/>
    <w:link w:val="11"/>
    <w:semiHidden/>
    <w:qFormat/>
    <w:locked/>
    <w:uiPriority w:val="99"/>
    <w:rPr>
      <w:rFonts w:ascii="Cambria" w:hAnsi="Cambria" w:eastAsia="宋体" w:cs="Times New Roman"/>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semiHidden/>
    <w:qFormat/>
    <w:locked/>
    <w:uiPriority w:val="99"/>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qFormat/>
    <w:uiPriority w:val="99"/>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qFormat/>
    <w:uiPriority w:val="99"/>
    <w:pPr>
      <w:keepLines/>
      <w:ind w:left="1135" w:hanging="851"/>
    </w:pPr>
  </w:style>
  <w:style w:type="paragraph" w:customStyle="1" w:styleId="79">
    <w:name w:val="EX"/>
    <w:basedOn w:val="1"/>
    <w:qFormat/>
    <w:uiPriority w:val="99"/>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qFormat/>
    <w:uiPriority w:val="99"/>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99"/>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qFormat/>
    <w:uiPriority w:val="99"/>
  </w:style>
  <w:style w:type="paragraph" w:customStyle="1" w:styleId="100">
    <w:name w:val="B4"/>
    <w:basedOn w:val="42"/>
    <w:qFormat/>
    <w:uiPriority w:val="99"/>
  </w:style>
  <w:style w:type="paragraph" w:customStyle="1" w:styleId="101">
    <w:name w:val="B5"/>
    <w:basedOn w:val="41"/>
    <w:qFormat/>
    <w:uiPriority w:val="99"/>
  </w:style>
  <w:style w:type="character" w:customStyle="1" w:styleId="102">
    <w:name w:val="页脚 字符"/>
    <w:link w:val="37"/>
    <w:semiHidden/>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qFormat/>
    <w:locked/>
    <w:uiPriority w:val="99"/>
    <w:rPr>
      <w:rFonts w:cs="Times New Roman"/>
      <w:lang w:val="en-GB" w:eastAsia="en-US" w:bidi="ar-SA"/>
    </w:rPr>
  </w:style>
  <w:style w:type="character" w:customStyle="1" w:styleId="106">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0"/>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3"/>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99"/>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34"/>
    <w:pPr>
      <w:spacing w:after="0"/>
      <w:ind w:left="840" w:leftChars="400" w:hanging="1440"/>
    </w:pPr>
    <w:rPr>
      <w:rFonts w:ascii="Times" w:hAnsi="Times" w:eastAsia="Batang"/>
      <w:szCs w:val="24"/>
    </w:rPr>
  </w:style>
  <w:style w:type="character" w:customStyle="1" w:styleId="135">
    <w:name w:val="列表段落 字符"/>
    <w:link w:val="134"/>
    <w:qFormat/>
    <w:uiPriority w:val="34"/>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semiHidden/>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0"/>
    <w:pPr>
      <w:numPr>
        <w:ilvl w:val="0"/>
        <w:numId w:val="4"/>
      </w:numPr>
      <w:snapToGrid w:val="0"/>
      <w:spacing w:after="60"/>
      <w:jc w:val="both"/>
    </w:pPr>
    <w:rPr>
      <w:szCs w:val="16"/>
      <w:lang w:val="en-US" w:eastAsia="en-US"/>
    </w:rPr>
  </w:style>
  <w:style w:type="character" w:customStyle="1" w:styleId="146">
    <w:name w:val="标题 字符"/>
    <w:basedOn w:val="53"/>
    <w:link w:val="47"/>
    <w:qFormat/>
    <w:uiPriority w:val="10"/>
    <w:rPr>
      <w:rFonts w:asciiTheme="majorHAnsi" w:hAnsiTheme="majorHAnsi" w:cstheme="majorBidi"/>
      <w:b/>
      <w:bCs/>
      <w:sz w:val="32"/>
      <w:szCs w:val="32"/>
      <w:lang w:val="en-GB" w:eastAsia="ja-JP"/>
    </w:rPr>
  </w:style>
  <w:style w:type="character" w:customStyle="1" w:styleId="147">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eastAsia="宋体" w:cs="Times New Roman"/>
      <w:sz w:val="26"/>
      <w:szCs w:val="26"/>
      <w:lang w:val="en-GB" w:eastAsia="ja-JP"/>
    </w:rPr>
  </w:style>
  <w:style w:type="character" w:customStyle="1" w:styleId="153">
    <w:name w:val="apple-converted-space"/>
    <w:basedOn w:val="53"/>
    <w:qFormat/>
    <w:uiPriority w:val="0"/>
  </w:style>
  <w:style w:type="character" w:styleId="154">
    <w:name w:val="Placeholder Text"/>
    <w:basedOn w:val="53"/>
    <w:semiHidden/>
    <w:qFormat/>
    <w:uiPriority w:val="67"/>
    <w:rPr>
      <w:color w:val="808080"/>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8C84DD-1372-40AB-8941-5B8A782BECC6}">
  <ds:schemaRefs/>
</ds:datastoreItem>
</file>

<file path=docProps/app.xml><?xml version="1.0" encoding="utf-8"?>
<Properties xmlns="http://schemas.openxmlformats.org/officeDocument/2006/extended-properties" xmlns:vt="http://schemas.openxmlformats.org/officeDocument/2006/docPropsVTypes">
  <Template>Normal</Template>
  <Company>Nokia Siemens Networks</Company>
  <Pages>7</Pages>
  <Words>4260</Words>
  <Characters>24284</Characters>
  <Lines>202</Lines>
  <Paragraphs>56</Paragraphs>
  <TotalTime>16</TotalTime>
  <ScaleCrop>false</ScaleCrop>
  <LinksUpToDate>false</LinksUpToDate>
  <CharactersWithSpaces>28488</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2020-10-23T05:12:00Z</dcterms:created>
  <dc:creator>CMCC</dc:creator>
  <cp:keywords>ESA, style sheet, Winword</cp:keywords>
  <cp:lastModifiedBy>QW</cp:lastModifiedBy>
  <cp:lastPrinted>2021-10-28T08:33:00Z</cp:lastPrinted>
  <dcterms:modified xsi:type="dcterms:W3CDTF">2021-11-05T07:40:18Z</dcterms:modified>
  <dc:subject>Word for Windows 6.x &amp; 95+</dc:subject>
  <dc:title>ETSI stylesheet (v.7.0)</dc:title>
  <cp:revision>1606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2052-11.8.2.10229</vt:lpwstr>
  </property>
</Properties>
</file>