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F7E38C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501B6">
        <w:rPr>
          <w:bCs/>
          <w:noProof w:val="0"/>
          <w:sz w:val="24"/>
          <w:szCs w:val="24"/>
        </w:rPr>
        <w:t>7</w:t>
      </w:r>
      <w:r w:rsidR="001348FE">
        <w:rPr>
          <w:bCs/>
          <w:noProof w:val="0"/>
          <w:sz w:val="24"/>
          <w:szCs w:val="24"/>
        </w:rPr>
        <w:tab/>
      </w:r>
      <w:r w:rsidR="00BA1872">
        <w:rPr>
          <w:bCs/>
          <w:noProof w:val="0"/>
          <w:sz w:val="24"/>
          <w:szCs w:val="24"/>
        </w:rPr>
        <w:t>R1-</w:t>
      </w:r>
      <w:r w:rsidR="005F548F" w:rsidRPr="005F548F">
        <w:rPr>
          <w:bCs/>
          <w:noProof w:val="0"/>
          <w:sz w:val="24"/>
          <w:szCs w:val="24"/>
        </w:rPr>
        <w:t>2110901</w:t>
      </w:r>
    </w:p>
    <w:p w14:paraId="30E02940" w14:textId="1749EEC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3501B6">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DFE878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F548F">
        <w:rPr>
          <w:rFonts w:cs="Arial"/>
          <w:b/>
          <w:bCs/>
          <w:sz w:val="24"/>
        </w:rPr>
        <w:t>8.4.3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ECAE83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F548F" w:rsidRPr="005F548F">
        <w:rPr>
          <w:rFonts w:ascii="Arial" w:hAnsi="Arial" w:cs="Arial"/>
          <w:b/>
          <w:bCs/>
          <w:sz w:val="24"/>
        </w:rPr>
        <w:t>Remaining aspects related to HARQ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1EC5EE39" w14:textId="4DBCEAED" w:rsidR="0060364D" w:rsidRPr="00056BDE" w:rsidRDefault="0060364D" w:rsidP="00056BDE">
      <w:r>
        <w:t xml:space="preserve">In the previous RAN1# e-meetings there has basically been three tracks in the discussion on the support of enhancing HARQ operation under the scenario of NTN. </w:t>
      </w:r>
      <w:r w:rsidR="005B371B">
        <w:t xml:space="preserve">At the previous e-meeting (RAN1#106bis-e), we reached a conclusion on the fallback DCI handling for situations where more than 32 HARQ processes have been configured, thereby leaving two tracks for being addressed at this meeting. </w:t>
      </w:r>
      <w:r>
        <w:t xml:space="preserve">The first track </w:t>
      </w:r>
      <w:r w:rsidR="005B371B">
        <w:t>is</w:t>
      </w:r>
      <w:r>
        <w:t xml:space="preserve"> associated to the possibility of disabling HARQ-ACK feedback for selected processes and the associated impact to the various codebooks for addressing the potentially disabled HARQ </w:t>
      </w:r>
      <w:proofErr w:type="spellStart"/>
      <w:r>
        <w:t>feedbal</w:t>
      </w:r>
      <w:proofErr w:type="spellEnd"/>
      <w:r>
        <w:t xml:space="preserve">. The </w:t>
      </w:r>
      <w:r w:rsidR="005B371B">
        <w:t>second</w:t>
      </w:r>
      <w:r>
        <w:t xml:space="preserve"> track </w:t>
      </w:r>
      <w:r w:rsidR="005B371B">
        <w:t xml:space="preserve">is </w:t>
      </w:r>
      <w:r>
        <w:t xml:space="preserve">on dealing with the issue of HARQ stalling, which may be addressed by letting each HARQ process extend in time through slot aggregation. </w:t>
      </w:r>
      <w:proofErr w:type="gramStart"/>
      <w:r w:rsidR="005B371B">
        <w:t xml:space="preserve">Both of </w:t>
      </w:r>
      <w:r>
        <w:t>these</w:t>
      </w:r>
      <w:proofErr w:type="gramEnd"/>
      <w:r>
        <w:t xml:space="preserve"> aspects will be discussed in this contribution. </w:t>
      </w:r>
    </w:p>
    <w:p w14:paraId="71230483" w14:textId="72F9C930" w:rsidR="00305297" w:rsidRDefault="007820D0" w:rsidP="00A23DCA">
      <w:pPr>
        <w:pStyle w:val="Heading1"/>
      </w:pPr>
      <w:bookmarkStart w:id="1" w:name="_Hlk510705081"/>
      <w:r>
        <w:t>Discussion</w:t>
      </w:r>
    </w:p>
    <w:p w14:paraId="11D07090" w14:textId="77777777" w:rsidR="0060364D" w:rsidRDefault="0060364D" w:rsidP="0060364D">
      <w:r>
        <w:t>As mentioned in the introduction there are three main components of the HARQ related discussions, which will each be discussed in the following respective subsections.</w:t>
      </w:r>
    </w:p>
    <w:p w14:paraId="047B0DE5" w14:textId="77777777" w:rsidR="0060364D" w:rsidRDefault="0060364D" w:rsidP="0060364D">
      <w:pPr>
        <w:pStyle w:val="Heading2"/>
      </w:pPr>
      <w:r>
        <w:t>HARQ codebook discussions</w:t>
      </w:r>
    </w:p>
    <w:p w14:paraId="7FD0CBE6" w14:textId="0C724448" w:rsidR="0060364D" w:rsidRDefault="0060364D" w:rsidP="0060364D">
      <w:r>
        <w:t xml:space="preserve">For the Type-1 HARQ codebook discussions, there were extensive discussions at the </w:t>
      </w:r>
      <w:r w:rsidR="005B371B">
        <w:t xml:space="preserve">past two </w:t>
      </w:r>
      <w:r>
        <w:t xml:space="preserve">RAN1#106-e </w:t>
      </w:r>
      <w:r w:rsidR="005B371B">
        <w:t xml:space="preserve">and RAN1#106bis-e </w:t>
      </w:r>
      <w:r>
        <w:t>meeting</w:t>
      </w:r>
      <w:r w:rsidR="005B371B">
        <w:t>s</w:t>
      </w:r>
      <w:r>
        <w:t>, where the following agreements were reached:</w:t>
      </w:r>
    </w:p>
    <w:p w14:paraId="082B423A" w14:textId="77777777" w:rsidR="0060364D" w:rsidRDefault="0060364D" w:rsidP="0060364D">
      <w:r>
        <w:rPr>
          <w:noProof/>
        </w:rPr>
        <mc:AlternateContent>
          <mc:Choice Requires="wps">
            <w:drawing>
              <wp:inline distT="0" distB="0" distL="0" distR="0" wp14:anchorId="6657F6C3" wp14:editId="57A28EA6">
                <wp:extent cx="6104255" cy="1404620"/>
                <wp:effectExtent l="0" t="0" r="1079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7BE318E8" w14:textId="77777777" w:rsidR="0060364D" w:rsidRDefault="0060364D" w:rsidP="0060364D">
                            <w:pPr>
                              <w:spacing w:after="0"/>
                              <w:rPr>
                                <w:lang w:eastAsia="x-none"/>
                              </w:rPr>
                            </w:pPr>
                            <w:r w:rsidRPr="00797EDC">
                              <w:rPr>
                                <w:highlight w:val="green"/>
                                <w:lang w:eastAsia="x-none"/>
                              </w:rPr>
                              <w:t>Agreement:</w:t>
                            </w:r>
                          </w:p>
                          <w:p w14:paraId="523F86AC" w14:textId="77777777" w:rsidR="0060364D" w:rsidRDefault="0060364D" w:rsidP="0060364D">
                            <w:pPr>
                              <w:numPr>
                                <w:ilvl w:val="0"/>
                                <w:numId w:val="30"/>
                              </w:numPr>
                              <w:overflowPunct/>
                              <w:autoSpaceDE/>
                              <w:autoSpaceDN/>
                              <w:adjustRightInd/>
                              <w:spacing w:after="0" w:line="259" w:lineRule="auto"/>
                              <w:textAlignment w:val="auto"/>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6A1E6134" w14:textId="77777777" w:rsidR="0060364D" w:rsidRPr="00B666B7" w:rsidRDefault="0060364D" w:rsidP="0060364D">
                            <w:pPr>
                              <w:numPr>
                                <w:ilvl w:val="1"/>
                                <w:numId w:val="30"/>
                              </w:numPr>
                              <w:overflowPunct/>
                              <w:autoSpaceDE/>
                              <w:autoSpaceDN/>
                              <w:adjustRightInd/>
                              <w:spacing w:after="0" w:line="259" w:lineRule="auto"/>
                              <w:textAlignment w:val="auto"/>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2A83F73C" w14:textId="77777777" w:rsidR="0060364D" w:rsidRPr="00B666B7" w:rsidRDefault="0060364D" w:rsidP="0060364D">
                            <w:pPr>
                              <w:numPr>
                                <w:ilvl w:val="1"/>
                                <w:numId w:val="30"/>
                              </w:numPr>
                              <w:overflowPunct/>
                              <w:autoSpaceDE/>
                              <w:autoSpaceDN/>
                              <w:adjustRightInd/>
                              <w:spacing w:after="0" w:line="259" w:lineRule="auto"/>
                              <w:textAlignment w:val="auto"/>
                              <w:rPr>
                                <w:bCs/>
                                <w:lang w:eastAsia="x-none"/>
                              </w:rPr>
                            </w:pPr>
                            <w:r w:rsidRPr="00B666B7">
                              <w:rPr>
                                <w:bCs/>
                                <w:lang w:eastAsia="x-none"/>
                              </w:rPr>
                              <w:t>Option-2: The UE will report NACK/ACK for the feedback-disabled HARQ process depending on the decoding results of corresponding PDSCH</w:t>
                            </w:r>
                          </w:p>
                          <w:p w14:paraId="23B08F7E" w14:textId="77777777" w:rsidR="0060364D" w:rsidRPr="00E47694" w:rsidRDefault="0060364D" w:rsidP="0060364D">
                            <w:pPr>
                              <w:numPr>
                                <w:ilvl w:val="0"/>
                                <w:numId w:val="30"/>
                              </w:numPr>
                              <w:overflowPunct/>
                              <w:autoSpaceDE/>
                              <w:autoSpaceDN/>
                              <w:adjustRightInd/>
                              <w:spacing w:after="0" w:line="259" w:lineRule="auto"/>
                              <w:textAlignment w:val="auto"/>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w:t>
                            </w:r>
                            <w:proofErr w:type="gramStart"/>
                            <w:r w:rsidRPr="00B666B7">
                              <w:rPr>
                                <w:lang w:eastAsia="x-none"/>
                              </w:rPr>
                              <w:t>feedback-disabled</w:t>
                            </w:r>
                            <w:proofErr w:type="gramEnd"/>
                            <w:r w:rsidRPr="00B666B7">
                              <w:rPr>
                                <w:lang w:eastAsia="x-none"/>
                              </w:rPr>
                              <w:t xml:space="preserve"> HARQ process is detected by UE</w:t>
                            </w:r>
                          </w:p>
                        </w:txbxContent>
                      </wps:txbx>
                      <wps:bodyPr rot="0" vert="horz" wrap="square" lIns="91440" tIns="45720" rIns="91440" bIns="45720" anchor="t" anchorCtr="0">
                        <a:spAutoFit/>
                      </wps:bodyPr>
                    </wps:wsp>
                  </a:graphicData>
                </a:graphic>
              </wp:inline>
            </w:drawing>
          </mc:Choice>
          <mc:Fallback>
            <w:pict>
              <v:shapetype w14:anchorId="6657F6C3" id="_x0000_t202" coordsize="21600,21600" o:spt="202" path="m,l,21600r21600,l21600,xe">
                <v:stroke joinstyle="miter"/>
                <v:path gradientshapeok="t" o:connecttype="rect"/>
              </v:shapetype>
              <v:shape id="Text Box 2" o:spid="_x0000_s1026"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0wgJQ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">
                <v:textbox style="mso-fit-shape-to-text:t">
                  <w:txbxContent>
                    <w:p w14:paraId="7BE318E8" w14:textId="77777777" w:rsidR="0060364D" w:rsidRDefault="0060364D" w:rsidP="0060364D">
                      <w:pPr>
                        <w:spacing w:after="0"/>
                        <w:rPr>
                          <w:lang w:eastAsia="x-none"/>
                        </w:rPr>
                      </w:pPr>
                      <w:r w:rsidRPr="00797EDC">
                        <w:rPr>
                          <w:highlight w:val="green"/>
                          <w:lang w:eastAsia="x-none"/>
                        </w:rPr>
                        <w:t>Agreement:</w:t>
                      </w:r>
                    </w:p>
                    <w:p w14:paraId="523F86AC" w14:textId="77777777" w:rsidR="0060364D" w:rsidRDefault="0060364D" w:rsidP="0060364D">
                      <w:pPr>
                        <w:numPr>
                          <w:ilvl w:val="0"/>
                          <w:numId w:val="30"/>
                        </w:numPr>
                        <w:overflowPunct/>
                        <w:autoSpaceDE/>
                        <w:autoSpaceDN/>
                        <w:adjustRightInd/>
                        <w:spacing w:after="0" w:line="259" w:lineRule="auto"/>
                        <w:textAlignment w:val="auto"/>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6A1E6134" w14:textId="77777777" w:rsidR="0060364D" w:rsidRPr="00B666B7" w:rsidRDefault="0060364D" w:rsidP="0060364D">
                      <w:pPr>
                        <w:numPr>
                          <w:ilvl w:val="1"/>
                          <w:numId w:val="30"/>
                        </w:numPr>
                        <w:overflowPunct/>
                        <w:autoSpaceDE/>
                        <w:autoSpaceDN/>
                        <w:adjustRightInd/>
                        <w:spacing w:after="0" w:line="259" w:lineRule="auto"/>
                        <w:textAlignment w:val="auto"/>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2A83F73C" w14:textId="77777777" w:rsidR="0060364D" w:rsidRPr="00B666B7" w:rsidRDefault="0060364D" w:rsidP="0060364D">
                      <w:pPr>
                        <w:numPr>
                          <w:ilvl w:val="1"/>
                          <w:numId w:val="30"/>
                        </w:numPr>
                        <w:overflowPunct/>
                        <w:autoSpaceDE/>
                        <w:autoSpaceDN/>
                        <w:adjustRightInd/>
                        <w:spacing w:after="0" w:line="259" w:lineRule="auto"/>
                        <w:textAlignment w:val="auto"/>
                        <w:rPr>
                          <w:bCs/>
                          <w:lang w:eastAsia="x-none"/>
                        </w:rPr>
                      </w:pPr>
                      <w:r w:rsidRPr="00B666B7">
                        <w:rPr>
                          <w:bCs/>
                          <w:lang w:eastAsia="x-none"/>
                        </w:rPr>
                        <w:t>Option-2: The UE will report NACK/ACK for the feedback-disabled HARQ process depending on the decoding results of corresponding PDSCH</w:t>
                      </w:r>
                    </w:p>
                    <w:p w14:paraId="23B08F7E" w14:textId="77777777" w:rsidR="0060364D" w:rsidRPr="00E47694" w:rsidRDefault="0060364D" w:rsidP="0060364D">
                      <w:pPr>
                        <w:numPr>
                          <w:ilvl w:val="0"/>
                          <w:numId w:val="30"/>
                        </w:numPr>
                        <w:overflowPunct/>
                        <w:autoSpaceDE/>
                        <w:autoSpaceDN/>
                        <w:adjustRightInd/>
                        <w:spacing w:after="0" w:line="259" w:lineRule="auto"/>
                        <w:textAlignment w:val="auto"/>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w:t>
                      </w:r>
                      <w:proofErr w:type="gramStart"/>
                      <w:r w:rsidRPr="00B666B7">
                        <w:rPr>
                          <w:lang w:eastAsia="x-none"/>
                        </w:rPr>
                        <w:t>feedback-disabled</w:t>
                      </w:r>
                      <w:proofErr w:type="gramEnd"/>
                      <w:r w:rsidRPr="00B666B7">
                        <w:rPr>
                          <w:lang w:eastAsia="x-none"/>
                        </w:rPr>
                        <w:t xml:space="preserve"> HARQ process is detected by UE</w:t>
                      </w:r>
                    </w:p>
                  </w:txbxContent>
                </v:textbox>
                <w10:anchorlock/>
              </v:shape>
            </w:pict>
          </mc:Fallback>
        </mc:AlternateContent>
      </w:r>
    </w:p>
    <w:p w14:paraId="7E984E5C" w14:textId="77777777" w:rsidR="0060364D" w:rsidRDefault="0060364D" w:rsidP="0060364D">
      <w:r>
        <w:t>And</w:t>
      </w:r>
    </w:p>
    <w:p w14:paraId="34030E77" w14:textId="77777777" w:rsidR="0060364D" w:rsidRDefault="0060364D" w:rsidP="0060364D">
      <w:r>
        <w:rPr>
          <w:noProof/>
        </w:rPr>
        <mc:AlternateContent>
          <mc:Choice Requires="wps">
            <w:drawing>
              <wp:inline distT="0" distB="0" distL="0" distR="0" wp14:anchorId="12476128" wp14:editId="5766EFC1">
                <wp:extent cx="6104255" cy="1404620"/>
                <wp:effectExtent l="0" t="0" r="10795" b="184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36C9A673" w14:textId="77777777" w:rsidR="0060364D" w:rsidRDefault="0060364D" w:rsidP="0060364D">
                            <w:pPr>
                              <w:spacing w:after="0"/>
                              <w:rPr>
                                <w:lang w:eastAsia="x-none"/>
                              </w:rPr>
                            </w:pPr>
                            <w:r w:rsidRPr="00EB7804">
                              <w:rPr>
                                <w:highlight w:val="green"/>
                                <w:lang w:eastAsia="x-none"/>
                              </w:rPr>
                              <w:t>Agreement:</w:t>
                            </w:r>
                          </w:p>
                          <w:p w14:paraId="71034844" w14:textId="77777777" w:rsidR="0060364D" w:rsidRDefault="0060364D" w:rsidP="0060364D">
                            <w:pPr>
                              <w:spacing w:after="0"/>
                              <w:rPr>
                                <w:lang w:eastAsia="x-none"/>
                              </w:rPr>
                            </w:pPr>
                            <w:r>
                              <w:rPr>
                                <w:lang w:eastAsia="x-none"/>
                              </w:rPr>
                              <w:t>For Type-1 HARQ codebook, if only DCI carrying feedback-disabled HARQ process is detected by UE, one of following options should be supported:</w:t>
                            </w:r>
                          </w:p>
                          <w:p w14:paraId="25F84547" w14:textId="77777777" w:rsidR="0060364D" w:rsidRDefault="0060364D" w:rsidP="0060364D">
                            <w:pPr>
                              <w:numPr>
                                <w:ilvl w:val="0"/>
                                <w:numId w:val="30"/>
                              </w:numPr>
                              <w:overflowPunct/>
                              <w:autoSpaceDE/>
                              <w:autoSpaceDN/>
                              <w:adjustRightInd/>
                              <w:spacing w:after="0" w:line="259" w:lineRule="auto"/>
                              <w:textAlignment w:val="auto"/>
                              <w:rPr>
                                <w:lang w:eastAsia="x-none"/>
                              </w:rPr>
                            </w:pPr>
                            <w:r>
                              <w:rPr>
                                <w:lang w:eastAsia="x-none"/>
                              </w:rPr>
                              <w:t xml:space="preserve">Option-1: The UE’s </w:t>
                            </w:r>
                            <w:proofErr w:type="spellStart"/>
                            <w:r>
                              <w:rPr>
                                <w:lang w:eastAsia="x-none"/>
                              </w:rPr>
                              <w:t>behavior</w:t>
                            </w:r>
                            <w:proofErr w:type="spellEnd"/>
                            <w:r>
                              <w:rPr>
                                <w:lang w:eastAsia="x-none"/>
                              </w:rPr>
                              <w:t xml:space="preserve"> is same as the case if DCIs carrying the feedback-disabled and feedback-enabled HARQ processes are detected by UE</w:t>
                            </w:r>
                          </w:p>
                          <w:p w14:paraId="40866FE9" w14:textId="77777777" w:rsidR="0060364D" w:rsidRDefault="0060364D" w:rsidP="0060364D">
                            <w:pPr>
                              <w:numPr>
                                <w:ilvl w:val="0"/>
                                <w:numId w:val="30"/>
                              </w:numPr>
                              <w:overflowPunct/>
                              <w:autoSpaceDE/>
                              <w:autoSpaceDN/>
                              <w:adjustRightInd/>
                              <w:spacing w:after="0" w:line="259" w:lineRule="auto"/>
                              <w:textAlignment w:val="auto"/>
                              <w:rPr>
                                <w:lang w:eastAsia="x-none"/>
                              </w:rPr>
                            </w:pPr>
                            <w:r>
                              <w:rPr>
                                <w:lang w:eastAsia="x-none"/>
                              </w:rPr>
                              <w:t>Option-2: The UE should skip the codebook feedback at least when the feedback is carried by PUCCH</w:t>
                            </w:r>
                          </w:p>
                          <w:p w14:paraId="0080238D" w14:textId="77777777" w:rsidR="0060364D" w:rsidRPr="00B50C26" w:rsidRDefault="0060364D" w:rsidP="0060364D">
                            <w:pPr>
                              <w:numPr>
                                <w:ilvl w:val="1"/>
                                <w:numId w:val="30"/>
                              </w:numPr>
                              <w:overflowPunct/>
                              <w:autoSpaceDE/>
                              <w:autoSpaceDN/>
                              <w:adjustRightInd/>
                              <w:spacing w:after="0" w:line="259" w:lineRule="auto"/>
                              <w:textAlignment w:val="auto"/>
                              <w:rPr>
                                <w:lang w:eastAsia="x-none"/>
                              </w:rPr>
                            </w:pPr>
                            <w:r>
                              <w:rPr>
                                <w:lang w:eastAsia="x-none"/>
                              </w:rPr>
                              <w:t xml:space="preserve">FFS: the case that feedback is carried by PUSCH. </w:t>
                            </w:r>
                          </w:p>
                        </w:txbxContent>
                      </wps:txbx>
                      <wps:bodyPr rot="0" vert="horz" wrap="square" lIns="91440" tIns="45720" rIns="91440" bIns="45720" anchor="t" anchorCtr="0">
                        <a:spAutoFit/>
                      </wps:bodyPr>
                    </wps:wsp>
                  </a:graphicData>
                </a:graphic>
              </wp:inline>
            </w:drawing>
          </mc:Choice>
          <mc:Fallback>
            <w:pict>
              <v:shape w14:anchorId="12476128" 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">
                <v:textbox style="mso-fit-shape-to-text:t">
                  <w:txbxContent>
                    <w:p w14:paraId="36C9A673" w14:textId="77777777" w:rsidR="0060364D" w:rsidRDefault="0060364D" w:rsidP="0060364D">
                      <w:pPr>
                        <w:spacing w:after="0"/>
                        <w:rPr>
                          <w:lang w:eastAsia="x-none"/>
                        </w:rPr>
                      </w:pPr>
                      <w:r w:rsidRPr="00EB7804">
                        <w:rPr>
                          <w:highlight w:val="green"/>
                          <w:lang w:eastAsia="x-none"/>
                        </w:rPr>
                        <w:t>Agreement:</w:t>
                      </w:r>
                    </w:p>
                    <w:p w14:paraId="71034844" w14:textId="77777777" w:rsidR="0060364D" w:rsidRDefault="0060364D" w:rsidP="0060364D">
                      <w:pPr>
                        <w:spacing w:after="0"/>
                        <w:rPr>
                          <w:lang w:eastAsia="x-none"/>
                        </w:rPr>
                      </w:pPr>
                      <w:r>
                        <w:rPr>
                          <w:lang w:eastAsia="x-none"/>
                        </w:rPr>
                        <w:t>For Type-1 HARQ codebook, if only DCI carrying feedback-disabled HARQ process is detected by UE, one of following options should be supported:</w:t>
                      </w:r>
                    </w:p>
                    <w:p w14:paraId="25F84547" w14:textId="77777777" w:rsidR="0060364D" w:rsidRDefault="0060364D" w:rsidP="0060364D">
                      <w:pPr>
                        <w:numPr>
                          <w:ilvl w:val="0"/>
                          <w:numId w:val="30"/>
                        </w:numPr>
                        <w:overflowPunct/>
                        <w:autoSpaceDE/>
                        <w:autoSpaceDN/>
                        <w:adjustRightInd/>
                        <w:spacing w:after="0" w:line="259" w:lineRule="auto"/>
                        <w:textAlignment w:val="auto"/>
                        <w:rPr>
                          <w:lang w:eastAsia="x-none"/>
                        </w:rPr>
                      </w:pPr>
                      <w:r>
                        <w:rPr>
                          <w:lang w:eastAsia="x-none"/>
                        </w:rPr>
                        <w:t xml:space="preserve">Option-1: The UE’s </w:t>
                      </w:r>
                      <w:proofErr w:type="spellStart"/>
                      <w:r>
                        <w:rPr>
                          <w:lang w:eastAsia="x-none"/>
                        </w:rPr>
                        <w:t>behavior</w:t>
                      </w:r>
                      <w:proofErr w:type="spellEnd"/>
                      <w:r>
                        <w:rPr>
                          <w:lang w:eastAsia="x-none"/>
                        </w:rPr>
                        <w:t xml:space="preserve"> is same as the case if DCIs carrying the feedback-disabled and feedback-enabled HARQ processes are detected by UE</w:t>
                      </w:r>
                    </w:p>
                    <w:p w14:paraId="40866FE9" w14:textId="77777777" w:rsidR="0060364D" w:rsidRDefault="0060364D" w:rsidP="0060364D">
                      <w:pPr>
                        <w:numPr>
                          <w:ilvl w:val="0"/>
                          <w:numId w:val="30"/>
                        </w:numPr>
                        <w:overflowPunct/>
                        <w:autoSpaceDE/>
                        <w:autoSpaceDN/>
                        <w:adjustRightInd/>
                        <w:spacing w:after="0" w:line="259" w:lineRule="auto"/>
                        <w:textAlignment w:val="auto"/>
                        <w:rPr>
                          <w:lang w:eastAsia="x-none"/>
                        </w:rPr>
                      </w:pPr>
                      <w:r>
                        <w:rPr>
                          <w:lang w:eastAsia="x-none"/>
                        </w:rPr>
                        <w:t>Option-2: The UE should skip the codebook feedback at least when the feedback is carried by PUCCH</w:t>
                      </w:r>
                    </w:p>
                    <w:p w14:paraId="0080238D" w14:textId="77777777" w:rsidR="0060364D" w:rsidRPr="00B50C26" w:rsidRDefault="0060364D" w:rsidP="0060364D">
                      <w:pPr>
                        <w:numPr>
                          <w:ilvl w:val="1"/>
                          <w:numId w:val="30"/>
                        </w:numPr>
                        <w:overflowPunct/>
                        <w:autoSpaceDE/>
                        <w:autoSpaceDN/>
                        <w:adjustRightInd/>
                        <w:spacing w:after="0" w:line="259" w:lineRule="auto"/>
                        <w:textAlignment w:val="auto"/>
                        <w:rPr>
                          <w:lang w:eastAsia="x-none"/>
                        </w:rPr>
                      </w:pPr>
                      <w:r>
                        <w:rPr>
                          <w:lang w:eastAsia="x-none"/>
                        </w:rPr>
                        <w:t xml:space="preserve">FFS: the case that feedback is carried by PUSCH. </w:t>
                      </w:r>
                    </w:p>
                  </w:txbxContent>
                </v:textbox>
                <w10:anchorlock/>
              </v:shape>
            </w:pict>
          </mc:Fallback>
        </mc:AlternateContent>
      </w:r>
    </w:p>
    <w:p w14:paraId="744ECC8F" w14:textId="77777777" w:rsidR="0060364D" w:rsidRDefault="0060364D" w:rsidP="0060364D">
      <w:r>
        <w:t xml:space="preserve">For the first of these agreements, we need to consider the associated impacts from the down-selections. The option-1 will cause the UE to force the reported value of the HARQ process to be a NACK irrespective of the actual decoding result from the UE side. There </w:t>
      </w:r>
      <w:proofErr w:type="gramStart"/>
      <w:r>
        <w:t>has</w:t>
      </w:r>
      <w:proofErr w:type="gramEnd"/>
      <w:r>
        <w:t xml:space="preserve"> not been any agreements on the UE behaviour for such cases, and our understanding would be that the UE would need to preserve the HARQ soft buffer for any potential retransmissions. We should keep in mind that disabling the HARQ feedback is not a guarantee that the </w:t>
      </w:r>
      <w:proofErr w:type="spellStart"/>
      <w:r>
        <w:t>gNB</w:t>
      </w:r>
      <w:proofErr w:type="spellEnd"/>
      <w:r>
        <w:t xml:space="preserve"> would schedule new transmissions for the same HARQ process. For the case where the </w:t>
      </w:r>
      <w:proofErr w:type="spellStart"/>
      <w:r>
        <w:t>gNB</w:t>
      </w:r>
      <w:proofErr w:type="spellEnd"/>
      <w:r>
        <w:t xml:space="preserve"> is having the understanding that the UE needs retransmissions </w:t>
      </w:r>
      <w:r>
        <w:lastRenderedPageBreak/>
        <w:t xml:space="preserve">without getting indications of the decoding result, the </w:t>
      </w:r>
      <w:proofErr w:type="spellStart"/>
      <w:r>
        <w:t>gNB</w:t>
      </w:r>
      <w:proofErr w:type="spellEnd"/>
      <w:r>
        <w:t xml:space="preserve"> may potentially blindly schedule retransmissions for the same HARQ process.</w:t>
      </w:r>
    </w:p>
    <w:p w14:paraId="0E0A8848" w14:textId="77777777" w:rsidR="0060364D" w:rsidRPr="00FC3281" w:rsidRDefault="0060364D" w:rsidP="0060364D">
      <w:pPr>
        <w:rPr>
          <w:b/>
          <w:bCs/>
        </w:rPr>
      </w:pPr>
      <w:r w:rsidRPr="00FC3281">
        <w:rPr>
          <w:b/>
          <w:bCs/>
        </w:rPr>
        <w:t xml:space="preserve">Observation 1: The </w:t>
      </w:r>
      <w:proofErr w:type="spellStart"/>
      <w:r w:rsidRPr="00FC3281">
        <w:rPr>
          <w:b/>
          <w:bCs/>
        </w:rPr>
        <w:t>gNB</w:t>
      </w:r>
      <w:proofErr w:type="spellEnd"/>
      <w:r w:rsidRPr="00FC3281">
        <w:rPr>
          <w:b/>
          <w:bCs/>
        </w:rPr>
        <w:t xml:space="preserve"> may </w:t>
      </w:r>
      <w:r>
        <w:rPr>
          <w:b/>
          <w:bCs/>
        </w:rPr>
        <w:t xml:space="preserve">still </w:t>
      </w:r>
      <w:r w:rsidRPr="00FC3281">
        <w:rPr>
          <w:b/>
          <w:bCs/>
        </w:rPr>
        <w:t>blindly schedule HARQ retransmissions for processes that are not expected to provide HARQ feedback.</w:t>
      </w:r>
    </w:p>
    <w:p w14:paraId="451AEF39" w14:textId="77777777" w:rsidR="0060364D" w:rsidRDefault="0060364D" w:rsidP="0060364D">
      <w:r>
        <w:t xml:space="preserve">The impact of Option-2 would be that the UE would perform the decoding of the received packet and provide the actual HARQ related feedback that is associated to the HARQ process. Such information may still represent valuable information for the </w:t>
      </w:r>
      <w:proofErr w:type="spellStart"/>
      <w:r>
        <w:t>gNB</w:t>
      </w:r>
      <w:proofErr w:type="spellEnd"/>
      <w:r>
        <w:t xml:space="preserve"> for the purpose of evaluating the link performance for each scheduled HARQ process. In this context it is important to recall that the UE is anyway expected to perform the CRC for the receive packet </w:t>
      </w:r>
      <w:proofErr w:type="gramStart"/>
      <w:r>
        <w:t>in order to</w:t>
      </w:r>
      <w:proofErr w:type="gramEnd"/>
      <w:r>
        <w:t xml:space="preserve"> be able to deliver it to higher layers.</w:t>
      </w:r>
    </w:p>
    <w:p w14:paraId="355838F8" w14:textId="77777777" w:rsidR="0060364D" w:rsidRPr="00294FE1" w:rsidRDefault="0060364D" w:rsidP="0060364D">
      <w:pPr>
        <w:rPr>
          <w:b/>
          <w:bCs/>
        </w:rPr>
      </w:pPr>
      <w:r w:rsidRPr="00294FE1">
        <w:rPr>
          <w:b/>
          <w:bCs/>
        </w:rPr>
        <w:t xml:space="preserve">Observation 2: Even that HARQ feedback may be disabled for a HARQ process, the UE still need to evaluate the </w:t>
      </w:r>
      <w:r>
        <w:rPr>
          <w:b/>
          <w:bCs/>
        </w:rPr>
        <w:t xml:space="preserve">CRC for the received </w:t>
      </w:r>
      <w:r w:rsidRPr="00294FE1">
        <w:rPr>
          <w:b/>
          <w:bCs/>
        </w:rPr>
        <w:t>packet</w:t>
      </w:r>
      <w:r>
        <w:rPr>
          <w:b/>
          <w:bCs/>
        </w:rPr>
        <w:t xml:space="preserve"> on the PDSCH</w:t>
      </w:r>
      <w:r w:rsidRPr="00294FE1">
        <w:rPr>
          <w:b/>
          <w:bCs/>
        </w:rPr>
        <w:t>.</w:t>
      </w:r>
    </w:p>
    <w:p w14:paraId="148E6514" w14:textId="77777777" w:rsidR="0060364D" w:rsidRPr="005F6388" w:rsidRDefault="0060364D" w:rsidP="0060364D">
      <w:pPr>
        <w:rPr>
          <w:b/>
          <w:bCs/>
        </w:rPr>
      </w:pPr>
      <w:r w:rsidRPr="005F6388">
        <w:rPr>
          <w:b/>
          <w:bCs/>
        </w:rPr>
        <w:t xml:space="preserve">Observation 3: The information on successful or failed packet reception may still be useful for the </w:t>
      </w:r>
      <w:proofErr w:type="spellStart"/>
      <w:r w:rsidRPr="005F6388">
        <w:rPr>
          <w:b/>
          <w:bCs/>
        </w:rPr>
        <w:t>gNB</w:t>
      </w:r>
      <w:proofErr w:type="spellEnd"/>
      <w:r w:rsidRPr="005F6388">
        <w:rPr>
          <w:b/>
          <w:bCs/>
        </w:rPr>
        <w:t>, even that it is received with delay.</w:t>
      </w:r>
    </w:p>
    <w:p w14:paraId="35C861B8" w14:textId="77777777" w:rsidR="0060364D" w:rsidRDefault="0060364D" w:rsidP="0060364D">
      <w:r>
        <w:t xml:space="preserve">Based on the above observations, it is preferred to have the UE always generating the true decoding result of the PDSCH when generating the Type-1 HARQ codebook. </w:t>
      </w:r>
      <w:proofErr w:type="gramStart"/>
      <w:r>
        <w:t>Hence</w:t>
      </w:r>
      <w:proofErr w:type="gramEnd"/>
      <w:r>
        <w:t xml:space="preserve"> we propose the following:</w:t>
      </w:r>
    </w:p>
    <w:p w14:paraId="6359A52F" w14:textId="77777777" w:rsidR="0060364D" w:rsidRPr="00EF771E" w:rsidRDefault="0060364D" w:rsidP="0060364D">
      <w:pPr>
        <w:rPr>
          <w:b/>
          <w:bCs/>
        </w:rPr>
      </w:pPr>
      <w:r w:rsidRPr="00EF771E">
        <w:rPr>
          <w:b/>
          <w:bCs/>
        </w:rPr>
        <w:t>Proposal 1: For Type-1 HARQ codebook</w:t>
      </w:r>
      <w:r>
        <w:rPr>
          <w:b/>
          <w:bCs/>
        </w:rPr>
        <w:t xml:space="preserve"> with DCIs carrying both feedback-disabled and feedback enabled HARQ processes</w:t>
      </w:r>
      <w:r w:rsidRPr="00EF771E">
        <w:rPr>
          <w:b/>
          <w:bCs/>
        </w:rPr>
        <w:t>, select Option-2 such that the UE will always generate the true HARQ feedback value.</w:t>
      </w:r>
    </w:p>
    <w:p w14:paraId="0122F803" w14:textId="77777777" w:rsidR="0060364D" w:rsidRDefault="0060364D" w:rsidP="0060364D">
      <w:r>
        <w:t xml:space="preserve">On the second topic for the Type-1 HARQ codebook, this is related to the potential for dropping or skipping the UE reporting of the HARQ feedback. In this context it is important to consider the case of a UE not correctly receiving one or more of the PDCCHs with DCI intended for it. The possible error cases here are mainly related to the UE missing a DCI with indication of a HARQ process for which it is expected to generate a HARQ feedback. For such cases the skipping or dropping of the entire HARQ codebook would cause the UE and the </w:t>
      </w:r>
      <w:proofErr w:type="spellStart"/>
      <w:r>
        <w:t>gNB</w:t>
      </w:r>
      <w:proofErr w:type="spellEnd"/>
      <w:r>
        <w:t xml:space="preserve"> to have different understanding of the expected actions to take (that is, the UE may skip the generation of the HARQ codebook, while the </w:t>
      </w:r>
      <w:proofErr w:type="spellStart"/>
      <w:r>
        <w:t>gNB</w:t>
      </w:r>
      <w:proofErr w:type="spellEnd"/>
      <w:r>
        <w:t xml:space="preserve"> expects the UE to generate the codebook). Based on this, our preference for addressing the potential skipping of the HARQ codebook would be:</w:t>
      </w:r>
    </w:p>
    <w:p w14:paraId="359128D6" w14:textId="77777777" w:rsidR="0060364D" w:rsidRPr="00EF771E" w:rsidRDefault="0060364D" w:rsidP="0060364D">
      <w:pPr>
        <w:rPr>
          <w:b/>
          <w:bCs/>
        </w:rPr>
      </w:pPr>
      <w:r w:rsidRPr="00EF771E">
        <w:rPr>
          <w:b/>
          <w:bCs/>
        </w:rPr>
        <w:t xml:space="preserve">Proposal </w:t>
      </w:r>
      <w:r>
        <w:rPr>
          <w:b/>
          <w:bCs/>
        </w:rPr>
        <w:t>2</w:t>
      </w:r>
      <w:r w:rsidRPr="00EF771E">
        <w:rPr>
          <w:b/>
          <w:bCs/>
        </w:rPr>
        <w:t>: For Type-1 HARQ codebook</w:t>
      </w:r>
      <w:r>
        <w:rPr>
          <w:b/>
          <w:bCs/>
        </w:rPr>
        <w:t xml:space="preserve"> with DCIs carrying only feedback-disabled HARQ processes</w:t>
      </w:r>
      <w:r w:rsidRPr="00EF771E">
        <w:rPr>
          <w:b/>
          <w:bCs/>
        </w:rPr>
        <w:t>, select Option-</w:t>
      </w:r>
      <w:r>
        <w:rPr>
          <w:b/>
          <w:bCs/>
        </w:rPr>
        <w:t>1</w:t>
      </w:r>
      <w:r w:rsidRPr="00EF771E">
        <w:rPr>
          <w:b/>
          <w:bCs/>
        </w:rPr>
        <w:t xml:space="preserve"> such that the UE will always generate </w:t>
      </w:r>
      <w:r>
        <w:rPr>
          <w:b/>
          <w:bCs/>
        </w:rPr>
        <w:t>a HARQ codebook for transmission</w:t>
      </w:r>
      <w:r w:rsidRPr="00EF771E">
        <w:rPr>
          <w:b/>
          <w:bCs/>
        </w:rPr>
        <w:t>.</w:t>
      </w:r>
    </w:p>
    <w:p w14:paraId="1CD877DB" w14:textId="77777777" w:rsidR="0060364D" w:rsidRDefault="0060364D" w:rsidP="0060364D">
      <w:r>
        <w:t xml:space="preserve">It should be noted that we see and acknowledge the potential benefits of allowing the skipping of the codebook for cases where the UE is only observing DCIs with </w:t>
      </w:r>
      <w:proofErr w:type="gramStart"/>
      <w:r>
        <w:t>feedback-disabled</w:t>
      </w:r>
      <w:proofErr w:type="gramEnd"/>
      <w:r>
        <w:t xml:space="preserve"> HARQ processes. In case the group decides to go in the direction of allowing skipping the codebook feedback, it is crucial that this would only be applicable for cases where the UCI consists of the HARQ only.</w:t>
      </w:r>
    </w:p>
    <w:p w14:paraId="377AD0E5" w14:textId="77777777" w:rsidR="0060364D" w:rsidRPr="009D0F21" w:rsidRDefault="0060364D" w:rsidP="0060364D">
      <w:pPr>
        <w:rPr>
          <w:b/>
          <w:bCs/>
        </w:rPr>
      </w:pPr>
      <w:r w:rsidRPr="009D0F21">
        <w:rPr>
          <w:b/>
          <w:bCs/>
        </w:rPr>
        <w:t>Proposal 3: In case of the group agreeing on selecting Option-2 fo</w:t>
      </w:r>
      <w:r>
        <w:rPr>
          <w:b/>
          <w:bCs/>
        </w:rPr>
        <w:t>r</w:t>
      </w:r>
      <w:r w:rsidRPr="009D0F21">
        <w:rPr>
          <w:b/>
          <w:bCs/>
        </w:rPr>
        <w:t xml:space="preserve"> the case of Type-1 HARQ codebook with DCIs carrying only feedback-disabled HARQ processes, this should be limited to cases where the HARQ codebook is the only UCI for the PUCCH</w:t>
      </w:r>
      <w:r>
        <w:rPr>
          <w:b/>
          <w:bCs/>
        </w:rPr>
        <w:t>.</w:t>
      </w:r>
    </w:p>
    <w:p w14:paraId="7DACADD7" w14:textId="77777777" w:rsidR="0060364D" w:rsidRDefault="0060364D" w:rsidP="0060364D">
      <w:r>
        <w:t>For Type-2 HARQ codebook there was a discussion during RAN1#106-e, which lead to the following agreement:</w:t>
      </w:r>
    </w:p>
    <w:p w14:paraId="64960A56" w14:textId="77777777" w:rsidR="0060364D" w:rsidRPr="00A0411F" w:rsidRDefault="0060364D" w:rsidP="0060364D">
      <w:pPr>
        <w:rPr>
          <w:b/>
          <w:bCs/>
        </w:rPr>
      </w:pPr>
      <w:r>
        <w:rPr>
          <w:noProof/>
        </w:rPr>
        <mc:AlternateContent>
          <mc:Choice Requires="wps">
            <w:drawing>
              <wp:inline distT="0" distB="0" distL="0" distR="0" wp14:anchorId="2308B01B" wp14:editId="1F58D25A">
                <wp:extent cx="6104255" cy="1404620"/>
                <wp:effectExtent l="0" t="0" r="1079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178A21A2" w14:textId="77777777" w:rsidR="0060364D" w:rsidRDefault="0060364D" w:rsidP="0060364D">
                            <w:pPr>
                              <w:spacing w:after="0"/>
                              <w:rPr>
                                <w:lang w:eastAsia="x-none"/>
                              </w:rPr>
                            </w:pPr>
                            <w:r w:rsidRPr="006E729D">
                              <w:rPr>
                                <w:highlight w:val="green"/>
                                <w:lang w:eastAsia="x-none"/>
                              </w:rPr>
                              <w:t>Agreement:</w:t>
                            </w:r>
                          </w:p>
                          <w:p w14:paraId="29390D22" w14:textId="77777777" w:rsidR="0060364D" w:rsidRPr="006E729D" w:rsidRDefault="0060364D" w:rsidP="0060364D">
                            <w:pPr>
                              <w:snapToGrid w:val="0"/>
                              <w:spacing w:after="0"/>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0CB99D8F" w14:textId="77777777" w:rsidR="0060364D" w:rsidRPr="006E729D" w:rsidRDefault="0060364D" w:rsidP="0060364D">
                            <w:pPr>
                              <w:numPr>
                                <w:ilvl w:val="0"/>
                                <w:numId w:val="30"/>
                              </w:numPr>
                              <w:overflowPunct/>
                              <w:autoSpaceDE/>
                              <w:autoSpaceDN/>
                              <w:adjustRightInd/>
                              <w:snapToGrid w:val="0"/>
                              <w:spacing w:after="0" w:line="259" w:lineRule="auto"/>
                              <w:textAlignment w:val="auto"/>
                              <w:rPr>
                                <w:bCs/>
                              </w:rPr>
                            </w:pPr>
                            <w:r w:rsidRPr="006E729D">
                              <w:rPr>
                                <w:bCs/>
                              </w:rPr>
                              <w:t xml:space="preserve">Option-1: </w:t>
                            </w:r>
                            <w:r>
                              <w:rPr>
                                <w:bCs/>
                              </w:rPr>
                              <w:t>T</w:t>
                            </w:r>
                            <w:r w:rsidRPr="006E729D">
                              <w:rPr>
                                <w:bCs/>
                              </w:rPr>
                              <w:t xml:space="preserve">he C-DAI and T-DAI are the count of feedback-enabled processes, despite they are not incremented, and are </w:t>
                            </w:r>
                            <w:proofErr w:type="gramStart"/>
                            <w:r w:rsidRPr="006E729D">
                              <w:rPr>
                                <w:bCs/>
                              </w:rPr>
                              <w:t>taken into account</w:t>
                            </w:r>
                            <w:proofErr w:type="gramEnd"/>
                            <w:r w:rsidRPr="006E729D">
                              <w:rPr>
                                <w:bCs/>
                              </w:rPr>
                              <w:t xml:space="preserve"> by the UE for type 2 codebook generation.</w:t>
                            </w:r>
                          </w:p>
                          <w:p w14:paraId="47DE2003" w14:textId="77777777" w:rsidR="0060364D" w:rsidRPr="007A556F" w:rsidRDefault="0060364D" w:rsidP="0060364D">
                            <w:pPr>
                              <w:numPr>
                                <w:ilvl w:val="0"/>
                                <w:numId w:val="30"/>
                              </w:numPr>
                              <w:overflowPunct/>
                              <w:autoSpaceDE/>
                              <w:autoSpaceDN/>
                              <w:adjustRightInd/>
                              <w:snapToGrid w:val="0"/>
                              <w:spacing w:after="0" w:line="259" w:lineRule="auto"/>
                              <w:textAlignment w:val="auto"/>
                              <w:rPr>
                                <w:bCs/>
                              </w:rPr>
                            </w:pPr>
                            <w:r w:rsidRPr="006E729D">
                              <w:rPr>
                                <w:bCs/>
                              </w:rPr>
                              <w:t xml:space="preserve">Option-2: The C-DAI and T-DAI are ignored by the UE regardless of the value </w:t>
                            </w:r>
                            <w:r w:rsidRPr="006E729D">
                              <w:t>for Type 2 codebook generation.</w:t>
                            </w:r>
                          </w:p>
                        </w:txbxContent>
                      </wps:txbx>
                      <wps:bodyPr rot="0" vert="horz" wrap="square" lIns="91440" tIns="45720" rIns="91440" bIns="45720" anchor="t" anchorCtr="0">
                        <a:spAutoFit/>
                      </wps:bodyPr>
                    </wps:wsp>
                  </a:graphicData>
                </a:graphic>
              </wp:inline>
            </w:drawing>
          </mc:Choice>
          <mc:Fallback>
            <w:pict>
              <v:shape w14:anchorId="2308B01B" id="_x0000_s1028"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">
                <v:textbox style="mso-fit-shape-to-text:t">
                  <w:txbxContent>
                    <w:p w14:paraId="178A21A2" w14:textId="77777777" w:rsidR="0060364D" w:rsidRDefault="0060364D" w:rsidP="0060364D">
                      <w:pPr>
                        <w:spacing w:after="0"/>
                        <w:rPr>
                          <w:lang w:eastAsia="x-none"/>
                        </w:rPr>
                      </w:pPr>
                      <w:r w:rsidRPr="006E729D">
                        <w:rPr>
                          <w:highlight w:val="green"/>
                          <w:lang w:eastAsia="x-none"/>
                        </w:rPr>
                        <w:t>Agreement:</w:t>
                      </w:r>
                    </w:p>
                    <w:p w14:paraId="29390D22" w14:textId="77777777" w:rsidR="0060364D" w:rsidRPr="006E729D" w:rsidRDefault="0060364D" w:rsidP="0060364D">
                      <w:pPr>
                        <w:snapToGrid w:val="0"/>
                        <w:spacing w:after="0"/>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0CB99D8F" w14:textId="77777777" w:rsidR="0060364D" w:rsidRPr="006E729D" w:rsidRDefault="0060364D" w:rsidP="0060364D">
                      <w:pPr>
                        <w:numPr>
                          <w:ilvl w:val="0"/>
                          <w:numId w:val="30"/>
                        </w:numPr>
                        <w:overflowPunct/>
                        <w:autoSpaceDE/>
                        <w:autoSpaceDN/>
                        <w:adjustRightInd/>
                        <w:snapToGrid w:val="0"/>
                        <w:spacing w:after="0" w:line="259" w:lineRule="auto"/>
                        <w:textAlignment w:val="auto"/>
                        <w:rPr>
                          <w:bCs/>
                        </w:rPr>
                      </w:pPr>
                      <w:r w:rsidRPr="006E729D">
                        <w:rPr>
                          <w:bCs/>
                        </w:rPr>
                        <w:t xml:space="preserve">Option-1: </w:t>
                      </w:r>
                      <w:r>
                        <w:rPr>
                          <w:bCs/>
                        </w:rPr>
                        <w:t>T</w:t>
                      </w:r>
                      <w:r w:rsidRPr="006E729D">
                        <w:rPr>
                          <w:bCs/>
                        </w:rPr>
                        <w:t xml:space="preserve">he C-DAI and T-DAI are the count of feedback-enabled processes, despite they are not incremented, and are </w:t>
                      </w:r>
                      <w:proofErr w:type="gramStart"/>
                      <w:r w:rsidRPr="006E729D">
                        <w:rPr>
                          <w:bCs/>
                        </w:rPr>
                        <w:t>taken into account</w:t>
                      </w:r>
                      <w:proofErr w:type="gramEnd"/>
                      <w:r w:rsidRPr="006E729D">
                        <w:rPr>
                          <w:bCs/>
                        </w:rPr>
                        <w:t xml:space="preserve"> by the UE for type 2 codebook generation.</w:t>
                      </w:r>
                    </w:p>
                    <w:p w14:paraId="47DE2003" w14:textId="77777777" w:rsidR="0060364D" w:rsidRPr="007A556F" w:rsidRDefault="0060364D" w:rsidP="0060364D">
                      <w:pPr>
                        <w:numPr>
                          <w:ilvl w:val="0"/>
                          <w:numId w:val="30"/>
                        </w:numPr>
                        <w:overflowPunct/>
                        <w:autoSpaceDE/>
                        <w:autoSpaceDN/>
                        <w:adjustRightInd/>
                        <w:snapToGrid w:val="0"/>
                        <w:spacing w:after="0" w:line="259" w:lineRule="auto"/>
                        <w:textAlignment w:val="auto"/>
                        <w:rPr>
                          <w:bCs/>
                        </w:rPr>
                      </w:pPr>
                      <w:r w:rsidRPr="006E729D">
                        <w:rPr>
                          <w:bCs/>
                        </w:rPr>
                        <w:t xml:space="preserve">Option-2: The C-DAI and T-DAI are ignored by the UE regardless of the value </w:t>
                      </w:r>
                      <w:r w:rsidRPr="006E729D">
                        <w:t>for Type 2 codebook generation.</w:t>
                      </w:r>
                    </w:p>
                  </w:txbxContent>
                </v:textbox>
                <w10:anchorlock/>
              </v:shape>
            </w:pict>
          </mc:Fallback>
        </mc:AlternateContent>
      </w:r>
    </w:p>
    <w:p w14:paraId="6B17818C" w14:textId="77777777" w:rsidR="0060364D" w:rsidRDefault="0060364D" w:rsidP="0060364D">
      <w:r>
        <w:t xml:space="preserve">The introduction of the C-DAI and T-DAI was with the target of allowing the UE to be able to identify </w:t>
      </w:r>
      <w:proofErr w:type="gramStart"/>
      <w:r>
        <w:t>whether or not</w:t>
      </w:r>
      <w:proofErr w:type="gramEnd"/>
      <w:r>
        <w:t xml:space="preserve"> there were any missed DCIs indicating a downlink assignment for the UE. Hence, this is a crucial tool for the UE to being able to generate a codebook that is dynamic in size, but still providing </w:t>
      </w:r>
      <w:proofErr w:type="spellStart"/>
      <w:r>
        <w:t>predicatability</w:t>
      </w:r>
      <w:proofErr w:type="spellEnd"/>
      <w:r>
        <w:t xml:space="preserve"> for the </w:t>
      </w:r>
      <w:proofErr w:type="spellStart"/>
      <w:r>
        <w:t>gNB</w:t>
      </w:r>
      <w:proofErr w:type="spellEnd"/>
      <w:r>
        <w:t xml:space="preserve"> when the associated uplink control information needs decoding. Simply ignoring the values of C-DAI and T-DAI on the UE side would not be an acceptable solution as this would have severe implications on the probability of the UE and </w:t>
      </w:r>
      <w:proofErr w:type="spellStart"/>
      <w:r>
        <w:t>gNB</w:t>
      </w:r>
      <w:proofErr w:type="spellEnd"/>
      <w:r>
        <w:t xml:space="preserve"> having different understanding of the size of the generated codebook. </w:t>
      </w:r>
    </w:p>
    <w:p w14:paraId="7FD1BECF" w14:textId="77777777" w:rsidR="0060364D" w:rsidRPr="00EF771E" w:rsidRDefault="0060364D" w:rsidP="0060364D">
      <w:pPr>
        <w:rPr>
          <w:b/>
          <w:bCs/>
        </w:rPr>
      </w:pPr>
      <w:r w:rsidRPr="00EF771E">
        <w:rPr>
          <w:b/>
          <w:bCs/>
        </w:rPr>
        <w:lastRenderedPageBreak/>
        <w:t xml:space="preserve">Proposal </w:t>
      </w:r>
      <w:r>
        <w:rPr>
          <w:b/>
          <w:bCs/>
        </w:rPr>
        <w:t>4</w:t>
      </w:r>
      <w:r w:rsidRPr="00EF771E">
        <w:rPr>
          <w:b/>
          <w:bCs/>
        </w:rPr>
        <w:t>: For Type-</w:t>
      </w:r>
      <w:r>
        <w:rPr>
          <w:b/>
          <w:bCs/>
        </w:rPr>
        <w:t>2</w:t>
      </w:r>
      <w:r w:rsidRPr="00EF771E">
        <w:rPr>
          <w:b/>
          <w:bCs/>
        </w:rPr>
        <w:t xml:space="preserve"> HARQ codebook</w:t>
      </w:r>
      <w:r>
        <w:rPr>
          <w:b/>
          <w:bCs/>
        </w:rPr>
        <w:t>, select Option-1 such that C-DAI and T-DAI are the count of the feedback-enabled processes.</w:t>
      </w:r>
    </w:p>
    <w:p w14:paraId="775F5C19" w14:textId="77777777" w:rsidR="0060364D" w:rsidRDefault="0060364D" w:rsidP="0060364D">
      <w:r>
        <w:t>The Type-3 HARQ codebook has been designed for providing the full bitmap of all the available HARQ processes, which is mainly a needed feature for operation in scenarios with uncertainty on channel access (unlicensed operation). Given that NR-U is operating with low transmit power levels and is primarily intended for local use, it is suggested that NR over NTN does not change any behaviour for the associated HARQ codebook.</w:t>
      </w:r>
    </w:p>
    <w:p w14:paraId="205D133C" w14:textId="77777777" w:rsidR="0060364D" w:rsidRDefault="0060364D" w:rsidP="0060364D">
      <w:pPr>
        <w:rPr>
          <w:b/>
          <w:bCs/>
        </w:rPr>
      </w:pPr>
      <w:r w:rsidRPr="008E3B6D">
        <w:rPr>
          <w:b/>
          <w:bCs/>
        </w:rPr>
        <w:t xml:space="preserve">Proposal </w:t>
      </w:r>
      <w:r>
        <w:rPr>
          <w:b/>
          <w:bCs/>
        </w:rPr>
        <w:t>5</w:t>
      </w:r>
      <w:r w:rsidRPr="008E3B6D">
        <w:rPr>
          <w:b/>
          <w:bCs/>
        </w:rPr>
        <w:t xml:space="preserve">: </w:t>
      </w:r>
      <w:r>
        <w:rPr>
          <w:b/>
          <w:bCs/>
        </w:rPr>
        <w:t xml:space="preserve">No enhancements or optimizations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2DB7AADB" w14:textId="77777777" w:rsidR="0060364D" w:rsidRDefault="0060364D" w:rsidP="0060364D"/>
    <w:p w14:paraId="64793742" w14:textId="77777777" w:rsidR="0060364D" w:rsidRPr="00432B89" w:rsidRDefault="0060364D" w:rsidP="0060364D">
      <w:pPr>
        <w:pStyle w:val="Heading2"/>
        <w:rPr>
          <w:lang w:val="da-DK"/>
        </w:rPr>
      </w:pPr>
      <w:r>
        <w:rPr>
          <w:lang w:val="da-DK"/>
        </w:rPr>
        <w:t xml:space="preserve">Slot </w:t>
      </w:r>
      <w:proofErr w:type="spellStart"/>
      <w:r>
        <w:rPr>
          <w:lang w:val="da-DK"/>
        </w:rPr>
        <w:t>aggregation</w:t>
      </w:r>
      <w:proofErr w:type="spellEnd"/>
    </w:p>
    <w:p w14:paraId="1949D07F" w14:textId="77777777" w:rsidR="0060364D" w:rsidRPr="00DC7D9D" w:rsidRDefault="0060364D" w:rsidP="0060364D">
      <w:r w:rsidRPr="00DC7D9D">
        <w:t>During RAN1#106-e, there w</w:t>
      </w:r>
      <w:r>
        <w:t>ere also some discussions on the slot aggregation, where we reached the following agreement:</w:t>
      </w:r>
    </w:p>
    <w:p w14:paraId="3FD052BB" w14:textId="77777777" w:rsidR="0060364D" w:rsidRPr="00053306" w:rsidRDefault="0060364D" w:rsidP="0060364D">
      <w:pPr>
        <w:rPr>
          <w:b/>
          <w:bCs/>
          <w:lang w:val="da-DK"/>
        </w:rPr>
      </w:pPr>
      <w:r>
        <w:rPr>
          <w:noProof/>
        </w:rPr>
        <mc:AlternateContent>
          <mc:Choice Requires="wps">
            <w:drawing>
              <wp:inline distT="0" distB="0" distL="0" distR="0" wp14:anchorId="0AC027CE" wp14:editId="08C3BEAA">
                <wp:extent cx="6104255" cy="1404620"/>
                <wp:effectExtent l="0" t="0" r="10795" b="184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3200333A" w14:textId="77777777" w:rsidR="0060364D" w:rsidRDefault="0060364D" w:rsidP="0060364D">
                            <w:pPr>
                              <w:spacing w:after="0"/>
                              <w:rPr>
                                <w:lang w:eastAsia="x-none"/>
                              </w:rPr>
                            </w:pPr>
                            <w:r w:rsidRPr="00EB7804">
                              <w:rPr>
                                <w:highlight w:val="green"/>
                                <w:lang w:eastAsia="x-none"/>
                              </w:rPr>
                              <w:t>Agreement:</w:t>
                            </w:r>
                          </w:p>
                          <w:p w14:paraId="4CBA0758" w14:textId="77777777" w:rsidR="0060364D" w:rsidRDefault="0060364D" w:rsidP="0060364D">
                            <w:pPr>
                              <w:spacing w:after="0"/>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17B89B8E" w14:textId="77777777" w:rsidR="0060364D" w:rsidRPr="00080782" w:rsidRDefault="0060364D" w:rsidP="0060364D">
                            <w:pPr>
                              <w:numPr>
                                <w:ilvl w:val="0"/>
                                <w:numId w:val="30"/>
                              </w:numPr>
                              <w:overflowPunct/>
                              <w:autoSpaceDE/>
                              <w:autoSpaceDN/>
                              <w:adjustRightInd/>
                              <w:spacing w:after="0" w:line="259" w:lineRule="auto"/>
                              <w:textAlignment w:val="auto"/>
                              <w:rPr>
                                <w:lang w:eastAsia="x-none"/>
                              </w:rPr>
                            </w:pPr>
                            <w:r>
                              <w:rPr>
                                <w:lang w:eastAsia="x-none"/>
                              </w:rPr>
                              <w:t>FFS: X = 8, 16 or 32</w:t>
                            </w:r>
                          </w:p>
                        </w:txbxContent>
                      </wps:txbx>
                      <wps:bodyPr rot="0" vert="horz" wrap="square" lIns="91440" tIns="45720" rIns="91440" bIns="45720" anchor="t" anchorCtr="0">
                        <a:spAutoFit/>
                      </wps:bodyPr>
                    </wps:wsp>
                  </a:graphicData>
                </a:graphic>
              </wp:inline>
            </w:drawing>
          </mc:Choice>
          <mc:Fallback>
            <w:pict>
              <v:shape w14:anchorId="0AC027CE" id="Text Box 3" o:spid="_x0000_s1029"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">
                <v:textbox style="mso-fit-shape-to-text:t">
                  <w:txbxContent>
                    <w:p w14:paraId="3200333A" w14:textId="77777777" w:rsidR="0060364D" w:rsidRDefault="0060364D" w:rsidP="0060364D">
                      <w:pPr>
                        <w:spacing w:after="0"/>
                        <w:rPr>
                          <w:lang w:eastAsia="x-none"/>
                        </w:rPr>
                      </w:pPr>
                      <w:r w:rsidRPr="00EB7804">
                        <w:rPr>
                          <w:highlight w:val="green"/>
                          <w:lang w:eastAsia="x-none"/>
                        </w:rPr>
                        <w:t>Agreement:</w:t>
                      </w:r>
                    </w:p>
                    <w:p w14:paraId="4CBA0758" w14:textId="77777777" w:rsidR="0060364D" w:rsidRDefault="0060364D" w:rsidP="0060364D">
                      <w:pPr>
                        <w:spacing w:after="0"/>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17B89B8E" w14:textId="77777777" w:rsidR="0060364D" w:rsidRPr="00080782" w:rsidRDefault="0060364D" w:rsidP="0060364D">
                      <w:pPr>
                        <w:numPr>
                          <w:ilvl w:val="0"/>
                          <w:numId w:val="30"/>
                        </w:numPr>
                        <w:overflowPunct/>
                        <w:autoSpaceDE/>
                        <w:autoSpaceDN/>
                        <w:adjustRightInd/>
                        <w:spacing w:after="0" w:line="259" w:lineRule="auto"/>
                        <w:textAlignment w:val="auto"/>
                        <w:rPr>
                          <w:lang w:eastAsia="x-none"/>
                        </w:rPr>
                      </w:pPr>
                      <w:r>
                        <w:rPr>
                          <w:lang w:eastAsia="x-none"/>
                        </w:rPr>
                        <w:t>FFS: X = 8, 16 or 32</w:t>
                      </w:r>
                    </w:p>
                  </w:txbxContent>
                </v:textbox>
                <w10:anchorlock/>
              </v:shape>
            </w:pict>
          </mc:Fallback>
        </mc:AlternateContent>
      </w:r>
    </w:p>
    <w:p w14:paraId="3602AB6C" w14:textId="77777777" w:rsidR="0060364D" w:rsidRDefault="0060364D" w:rsidP="0060364D">
      <w:r>
        <w:t xml:space="preserve">For some cases with extremely long RTT, such as the GEO deployment, a single UE would still be subject to suffer from HARQ stalling, but </w:t>
      </w:r>
      <w:proofErr w:type="gramStart"/>
      <w:r>
        <w:t>a number of</w:t>
      </w:r>
      <w:proofErr w:type="gramEnd"/>
      <w:r>
        <w:t xml:space="preserve"> conditions need to be fulfilled for this to happen. The conditions would have to be that the UE is having a need for continuous scheduling while the </w:t>
      </w:r>
      <w:proofErr w:type="spellStart"/>
      <w:r>
        <w:t>gNB</w:t>
      </w:r>
      <w:proofErr w:type="spellEnd"/>
      <w:r>
        <w:t xml:space="preserve"> would have available resources for scheduling this specific UE in a continuous manner. The latter would not be very likely, given the extreme coverage area that is expected for the GEO deployment case. However, as a compromise solution, one could consider </w:t>
      </w:r>
      <w:proofErr w:type="gramStart"/>
      <w:r>
        <w:t>to increase</w:t>
      </w:r>
      <w:proofErr w:type="gramEnd"/>
      <w:r>
        <w:t xml:space="preserve"> the slot aggregation capabilities for such cases to higher values such as e.g. 16 slots being aggregated. This is shown in </w:t>
      </w:r>
      <w:r>
        <w:fldChar w:fldCharType="begin"/>
      </w:r>
      <w:r>
        <w:instrText xml:space="preserve"> REF _Ref78979764 \h </w:instrText>
      </w:r>
      <w:r>
        <w:fldChar w:fldCharType="separate"/>
      </w:r>
      <w:r>
        <w:t xml:space="preserve">Table </w:t>
      </w:r>
      <w:r>
        <w:rPr>
          <w:noProof/>
        </w:rPr>
        <w:t>1</w:t>
      </w:r>
      <w:r>
        <w:fldChar w:fldCharType="end"/>
      </w:r>
      <w:r>
        <w:t xml:space="preserve">, where it is seen that supporting 32 HARQ processes for 15 kHz SCS would leave 512 </w:t>
      </w:r>
      <w:proofErr w:type="spellStart"/>
      <w:r>
        <w:t>ms</w:t>
      </w:r>
      <w:proofErr w:type="spellEnd"/>
      <w:r>
        <w:t xml:space="preserve"> round trip time, which would ensure support for near-continuous scheduling for a single UE, as the RTT for GEO deployments would be ~540 </w:t>
      </w:r>
      <w:proofErr w:type="spellStart"/>
      <w:r>
        <w:t>ms</w:t>
      </w:r>
      <w:proofErr w:type="spellEnd"/>
      <w:r>
        <w:t>. If continuous scheduling is needed, one could consider disabling HARQ feedback for a few HARQ processes to facilitate the continuous scheduling operation.</w:t>
      </w:r>
    </w:p>
    <w:p w14:paraId="1F771FC2" w14:textId="77777777" w:rsidR="0060364D" w:rsidRDefault="0060364D" w:rsidP="0060364D">
      <w:pPr>
        <w:pStyle w:val="Caption"/>
        <w:keepNext/>
      </w:pPr>
      <w:bookmarkStart w:id="2" w:name="_Ref78979764"/>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HARQ round trip time supported for different amount of HARQ processes and for different subcarrier spacing configurations</w:t>
      </w:r>
    </w:p>
    <w:tbl>
      <w:tblPr>
        <w:tblStyle w:val="TableGrid"/>
        <w:tblW w:w="0" w:type="auto"/>
        <w:tblLook w:val="04A0" w:firstRow="1" w:lastRow="0" w:firstColumn="1" w:lastColumn="0" w:noHBand="0" w:noVBand="1"/>
      </w:tblPr>
      <w:tblGrid>
        <w:gridCol w:w="1751"/>
        <w:gridCol w:w="1575"/>
        <w:gridCol w:w="1576"/>
        <w:gridCol w:w="1575"/>
        <w:gridCol w:w="1576"/>
        <w:gridCol w:w="1576"/>
      </w:tblGrid>
      <w:tr w:rsidR="0060364D" w14:paraId="4014A9B4" w14:textId="77777777" w:rsidTr="00EA60BC">
        <w:tc>
          <w:tcPr>
            <w:tcW w:w="1751" w:type="dxa"/>
          </w:tcPr>
          <w:p w14:paraId="380A20EE" w14:textId="77777777" w:rsidR="0060364D" w:rsidRDefault="0060364D" w:rsidP="00EA60BC">
            <w:pPr>
              <w:spacing w:after="0"/>
            </w:pPr>
            <w:r>
              <w:t>Aggregation value</w:t>
            </w:r>
          </w:p>
        </w:tc>
        <w:tc>
          <w:tcPr>
            <w:tcW w:w="1575" w:type="dxa"/>
          </w:tcPr>
          <w:p w14:paraId="779E20ED" w14:textId="77777777" w:rsidR="0060364D" w:rsidRDefault="0060364D" w:rsidP="00EA60BC">
            <w:pPr>
              <w:spacing w:after="0"/>
              <w:jc w:val="center"/>
            </w:pPr>
            <w:r>
              <w:t>1 slot</w:t>
            </w:r>
          </w:p>
        </w:tc>
        <w:tc>
          <w:tcPr>
            <w:tcW w:w="1576" w:type="dxa"/>
          </w:tcPr>
          <w:p w14:paraId="08621578" w14:textId="77777777" w:rsidR="0060364D" w:rsidRDefault="0060364D" w:rsidP="00EA60BC">
            <w:pPr>
              <w:spacing w:after="0"/>
              <w:jc w:val="center"/>
            </w:pPr>
            <w:r>
              <w:t>2 slots</w:t>
            </w:r>
          </w:p>
        </w:tc>
        <w:tc>
          <w:tcPr>
            <w:tcW w:w="1575" w:type="dxa"/>
          </w:tcPr>
          <w:p w14:paraId="35DE4954" w14:textId="77777777" w:rsidR="0060364D" w:rsidRDefault="0060364D" w:rsidP="00EA60BC">
            <w:pPr>
              <w:spacing w:after="0"/>
              <w:jc w:val="center"/>
            </w:pPr>
            <w:r>
              <w:t>4 slots</w:t>
            </w:r>
          </w:p>
        </w:tc>
        <w:tc>
          <w:tcPr>
            <w:tcW w:w="1576" w:type="dxa"/>
          </w:tcPr>
          <w:p w14:paraId="2BAFDFDA" w14:textId="77777777" w:rsidR="0060364D" w:rsidRDefault="0060364D" w:rsidP="00EA60BC">
            <w:pPr>
              <w:spacing w:after="0"/>
              <w:jc w:val="center"/>
            </w:pPr>
            <w:r>
              <w:t>8 slots</w:t>
            </w:r>
          </w:p>
        </w:tc>
        <w:tc>
          <w:tcPr>
            <w:tcW w:w="1576" w:type="dxa"/>
          </w:tcPr>
          <w:p w14:paraId="152B7ADA" w14:textId="77777777" w:rsidR="0060364D" w:rsidRDefault="0060364D" w:rsidP="00EA60BC">
            <w:pPr>
              <w:spacing w:after="0"/>
              <w:jc w:val="center"/>
            </w:pPr>
            <w:r>
              <w:t>16 slots</w:t>
            </w:r>
          </w:p>
        </w:tc>
      </w:tr>
      <w:tr w:rsidR="0060364D" w14:paraId="162B8567" w14:textId="77777777" w:rsidTr="00EA60BC">
        <w:tc>
          <w:tcPr>
            <w:tcW w:w="1751" w:type="dxa"/>
          </w:tcPr>
          <w:p w14:paraId="73BF342E" w14:textId="77777777" w:rsidR="0060364D" w:rsidRDefault="0060364D" w:rsidP="00EA60BC">
            <w:pPr>
              <w:spacing w:after="0"/>
            </w:pPr>
            <w:r>
              <w:t xml:space="preserve">15 kHz SCS, </w:t>
            </w:r>
          </w:p>
          <w:p w14:paraId="0941C818" w14:textId="77777777" w:rsidR="0060364D" w:rsidRDefault="0060364D" w:rsidP="00EA60BC">
            <w:pPr>
              <w:spacing w:after="0"/>
            </w:pPr>
            <w:r>
              <w:t>16 HARQ</w:t>
            </w:r>
          </w:p>
        </w:tc>
        <w:tc>
          <w:tcPr>
            <w:tcW w:w="1575" w:type="dxa"/>
          </w:tcPr>
          <w:p w14:paraId="3BA5EC1A" w14:textId="77777777" w:rsidR="0060364D" w:rsidRDefault="0060364D" w:rsidP="00EA60BC">
            <w:pPr>
              <w:spacing w:after="0"/>
              <w:jc w:val="center"/>
            </w:pPr>
            <w:r>
              <w:t xml:space="preserve">16 </w:t>
            </w:r>
            <w:proofErr w:type="spellStart"/>
            <w:r>
              <w:t>ms</w:t>
            </w:r>
            <w:proofErr w:type="spellEnd"/>
          </w:p>
        </w:tc>
        <w:tc>
          <w:tcPr>
            <w:tcW w:w="1576" w:type="dxa"/>
          </w:tcPr>
          <w:p w14:paraId="675F81CD" w14:textId="77777777" w:rsidR="0060364D" w:rsidRDefault="0060364D" w:rsidP="00EA60BC">
            <w:pPr>
              <w:spacing w:after="0"/>
              <w:jc w:val="center"/>
            </w:pPr>
            <w:r>
              <w:t xml:space="preserve">32 </w:t>
            </w:r>
            <w:proofErr w:type="spellStart"/>
            <w:r>
              <w:t>ms</w:t>
            </w:r>
            <w:proofErr w:type="spellEnd"/>
          </w:p>
        </w:tc>
        <w:tc>
          <w:tcPr>
            <w:tcW w:w="1575" w:type="dxa"/>
          </w:tcPr>
          <w:p w14:paraId="560385F0" w14:textId="77777777" w:rsidR="0060364D" w:rsidRDefault="0060364D" w:rsidP="00EA60BC">
            <w:pPr>
              <w:spacing w:after="0"/>
              <w:jc w:val="center"/>
            </w:pPr>
            <w:r>
              <w:t xml:space="preserve">64 </w:t>
            </w:r>
            <w:proofErr w:type="spellStart"/>
            <w:r>
              <w:t>ms</w:t>
            </w:r>
            <w:proofErr w:type="spellEnd"/>
          </w:p>
        </w:tc>
        <w:tc>
          <w:tcPr>
            <w:tcW w:w="1576" w:type="dxa"/>
          </w:tcPr>
          <w:p w14:paraId="60363AAD" w14:textId="77777777" w:rsidR="0060364D" w:rsidRDefault="0060364D" w:rsidP="00EA60BC">
            <w:pPr>
              <w:spacing w:after="0"/>
              <w:jc w:val="center"/>
            </w:pPr>
            <w:r>
              <w:t xml:space="preserve">128 </w:t>
            </w:r>
            <w:proofErr w:type="spellStart"/>
            <w:r>
              <w:t>ms</w:t>
            </w:r>
            <w:proofErr w:type="spellEnd"/>
          </w:p>
        </w:tc>
        <w:tc>
          <w:tcPr>
            <w:tcW w:w="1576" w:type="dxa"/>
          </w:tcPr>
          <w:p w14:paraId="1B75EDAB" w14:textId="77777777" w:rsidR="0060364D" w:rsidRDefault="0060364D" w:rsidP="00EA60BC">
            <w:pPr>
              <w:spacing w:after="0"/>
              <w:jc w:val="center"/>
            </w:pPr>
            <w:r>
              <w:t xml:space="preserve">256 </w:t>
            </w:r>
            <w:proofErr w:type="spellStart"/>
            <w:r>
              <w:t>ms</w:t>
            </w:r>
            <w:proofErr w:type="spellEnd"/>
          </w:p>
        </w:tc>
      </w:tr>
      <w:tr w:rsidR="0060364D" w14:paraId="398FB19F" w14:textId="77777777" w:rsidTr="00EA60BC">
        <w:tc>
          <w:tcPr>
            <w:tcW w:w="1751" w:type="dxa"/>
          </w:tcPr>
          <w:p w14:paraId="1EA97073" w14:textId="77777777" w:rsidR="0060364D" w:rsidRDefault="0060364D" w:rsidP="00EA60BC">
            <w:pPr>
              <w:spacing w:after="0"/>
            </w:pPr>
            <w:r>
              <w:t xml:space="preserve">15 kHz SCS, </w:t>
            </w:r>
          </w:p>
          <w:p w14:paraId="654BAFCF" w14:textId="77777777" w:rsidR="0060364D" w:rsidRDefault="0060364D" w:rsidP="00EA60BC">
            <w:pPr>
              <w:spacing w:after="0"/>
            </w:pPr>
            <w:r>
              <w:t>32 HARQ</w:t>
            </w:r>
          </w:p>
        </w:tc>
        <w:tc>
          <w:tcPr>
            <w:tcW w:w="1575" w:type="dxa"/>
          </w:tcPr>
          <w:p w14:paraId="23A495B5" w14:textId="77777777" w:rsidR="0060364D" w:rsidRDefault="0060364D" w:rsidP="00EA60BC">
            <w:pPr>
              <w:spacing w:after="0"/>
              <w:jc w:val="center"/>
            </w:pPr>
            <w:r>
              <w:t xml:space="preserve">32 </w:t>
            </w:r>
            <w:proofErr w:type="spellStart"/>
            <w:r>
              <w:t>ms</w:t>
            </w:r>
            <w:proofErr w:type="spellEnd"/>
          </w:p>
        </w:tc>
        <w:tc>
          <w:tcPr>
            <w:tcW w:w="1576" w:type="dxa"/>
          </w:tcPr>
          <w:p w14:paraId="7C0FFDBE" w14:textId="77777777" w:rsidR="0060364D" w:rsidRDefault="0060364D" w:rsidP="00EA60BC">
            <w:pPr>
              <w:spacing w:after="0"/>
              <w:jc w:val="center"/>
            </w:pPr>
            <w:r>
              <w:t xml:space="preserve">64 </w:t>
            </w:r>
            <w:proofErr w:type="spellStart"/>
            <w:r>
              <w:t>ms</w:t>
            </w:r>
            <w:proofErr w:type="spellEnd"/>
          </w:p>
        </w:tc>
        <w:tc>
          <w:tcPr>
            <w:tcW w:w="1575" w:type="dxa"/>
          </w:tcPr>
          <w:p w14:paraId="0C865CAF" w14:textId="77777777" w:rsidR="0060364D" w:rsidRDefault="0060364D" w:rsidP="00EA60BC">
            <w:pPr>
              <w:spacing w:after="0"/>
              <w:jc w:val="center"/>
            </w:pPr>
            <w:r>
              <w:t xml:space="preserve">128 </w:t>
            </w:r>
            <w:proofErr w:type="spellStart"/>
            <w:r>
              <w:t>ms</w:t>
            </w:r>
            <w:proofErr w:type="spellEnd"/>
          </w:p>
        </w:tc>
        <w:tc>
          <w:tcPr>
            <w:tcW w:w="1576" w:type="dxa"/>
          </w:tcPr>
          <w:p w14:paraId="199E6664" w14:textId="77777777" w:rsidR="0060364D" w:rsidRDefault="0060364D" w:rsidP="00EA60BC">
            <w:pPr>
              <w:spacing w:after="0"/>
              <w:jc w:val="center"/>
            </w:pPr>
            <w:r>
              <w:t xml:space="preserve">256 </w:t>
            </w:r>
            <w:proofErr w:type="spellStart"/>
            <w:r>
              <w:t>ms</w:t>
            </w:r>
            <w:proofErr w:type="spellEnd"/>
          </w:p>
        </w:tc>
        <w:tc>
          <w:tcPr>
            <w:tcW w:w="1576" w:type="dxa"/>
          </w:tcPr>
          <w:p w14:paraId="6CCAC25F" w14:textId="77777777" w:rsidR="0060364D" w:rsidRDefault="0060364D" w:rsidP="00EA60BC">
            <w:pPr>
              <w:spacing w:after="0"/>
              <w:jc w:val="center"/>
            </w:pPr>
            <w:r>
              <w:t xml:space="preserve">512 </w:t>
            </w:r>
            <w:proofErr w:type="spellStart"/>
            <w:r>
              <w:t>ms</w:t>
            </w:r>
            <w:proofErr w:type="spellEnd"/>
          </w:p>
        </w:tc>
      </w:tr>
      <w:tr w:rsidR="0060364D" w14:paraId="6498B82F" w14:textId="77777777" w:rsidTr="00EA60BC">
        <w:tc>
          <w:tcPr>
            <w:tcW w:w="1751" w:type="dxa"/>
          </w:tcPr>
          <w:p w14:paraId="589DE505" w14:textId="77777777" w:rsidR="0060364D" w:rsidRDefault="0060364D" w:rsidP="00EA60BC">
            <w:pPr>
              <w:spacing w:after="0"/>
            </w:pPr>
            <w:r>
              <w:t xml:space="preserve">120 kHz SCS, </w:t>
            </w:r>
          </w:p>
          <w:p w14:paraId="3C67DCDD" w14:textId="77777777" w:rsidR="0060364D" w:rsidRDefault="0060364D" w:rsidP="00EA60BC">
            <w:pPr>
              <w:spacing w:after="0"/>
            </w:pPr>
            <w:r>
              <w:t>16 HARQ</w:t>
            </w:r>
          </w:p>
        </w:tc>
        <w:tc>
          <w:tcPr>
            <w:tcW w:w="1575" w:type="dxa"/>
          </w:tcPr>
          <w:p w14:paraId="7790E146" w14:textId="77777777" w:rsidR="0060364D" w:rsidRDefault="0060364D" w:rsidP="00EA60BC">
            <w:pPr>
              <w:spacing w:after="0"/>
              <w:jc w:val="center"/>
            </w:pPr>
            <w:r>
              <w:t xml:space="preserve">2 </w:t>
            </w:r>
            <w:proofErr w:type="spellStart"/>
            <w:r>
              <w:t>ms</w:t>
            </w:r>
            <w:proofErr w:type="spellEnd"/>
          </w:p>
        </w:tc>
        <w:tc>
          <w:tcPr>
            <w:tcW w:w="1576" w:type="dxa"/>
          </w:tcPr>
          <w:p w14:paraId="0C1F3637" w14:textId="77777777" w:rsidR="0060364D" w:rsidRDefault="0060364D" w:rsidP="00EA60BC">
            <w:pPr>
              <w:spacing w:after="0"/>
              <w:jc w:val="center"/>
            </w:pPr>
            <w:r>
              <w:t xml:space="preserve">4 </w:t>
            </w:r>
            <w:proofErr w:type="spellStart"/>
            <w:r>
              <w:t>ms</w:t>
            </w:r>
            <w:proofErr w:type="spellEnd"/>
          </w:p>
        </w:tc>
        <w:tc>
          <w:tcPr>
            <w:tcW w:w="1575" w:type="dxa"/>
          </w:tcPr>
          <w:p w14:paraId="246F9228" w14:textId="77777777" w:rsidR="0060364D" w:rsidRDefault="0060364D" w:rsidP="00EA60BC">
            <w:pPr>
              <w:spacing w:after="0"/>
              <w:jc w:val="center"/>
            </w:pPr>
            <w:r>
              <w:t xml:space="preserve">8 </w:t>
            </w:r>
            <w:proofErr w:type="spellStart"/>
            <w:r>
              <w:t>ms</w:t>
            </w:r>
            <w:proofErr w:type="spellEnd"/>
          </w:p>
        </w:tc>
        <w:tc>
          <w:tcPr>
            <w:tcW w:w="1576" w:type="dxa"/>
          </w:tcPr>
          <w:p w14:paraId="6746C885" w14:textId="77777777" w:rsidR="0060364D" w:rsidRDefault="0060364D" w:rsidP="00EA60BC">
            <w:pPr>
              <w:spacing w:after="0"/>
              <w:jc w:val="center"/>
            </w:pPr>
            <w:r>
              <w:t xml:space="preserve">16 </w:t>
            </w:r>
            <w:proofErr w:type="spellStart"/>
            <w:r>
              <w:t>ms</w:t>
            </w:r>
            <w:proofErr w:type="spellEnd"/>
          </w:p>
        </w:tc>
        <w:tc>
          <w:tcPr>
            <w:tcW w:w="1576" w:type="dxa"/>
          </w:tcPr>
          <w:p w14:paraId="218774CE" w14:textId="77777777" w:rsidR="0060364D" w:rsidRDefault="0060364D" w:rsidP="00EA60BC">
            <w:pPr>
              <w:spacing w:after="0"/>
              <w:jc w:val="center"/>
            </w:pPr>
            <w:r>
              <w:t xml:space="preserve">32 </w:t>
            </w:r>
            <w:proofErr w:type="spellStart"/>
            <w:r>
              <w:t>ms</w:t>
            </w:r>
            <w:proofErr w:type="spellEnd"/>
          </w:p>
        </w:tc>
      </w:tr>
      <w:tr w:rsidR="0060364D" w14:paraId="08B88555" w14:textId="77777777" w:rsidTr="00EA60BC">
        <w:tc>
          <w:tcPr>
            <w:tcW w:w="1751" w:type="dxa"/>
          </w:tcPr>
          <w:p w14:paraId="51DEC980" w14:textId="77777777" w:rsidR="0060364D" w:rsidRDefault="0060364D" w:rsidP="00EA60BC">
            <w:pPr>
              <w:spacing w:after="0"/>
            </w:pPr>
            <w:r>
              <w:t xml:space="preserve">120 kHz SCS, </w:t>
            </w:r>
          </w:p>
          <w:p w14:paraId="6AE518F3" w14:textId="77777777" w:rsidR="0060364D" w:rsidRDefault="0060364D" w:rsidP="00EA60BC">
            <w:pPr>
              <w:spacing w:after="0"/>
            </w:pPr>
            <w:r>
              <w:t>32 HARQ</w:t>
            </w:r>
          </w:p>
        </w:tc>
        <w:tc>
          <w:tcPr>
            <w:tcW w:w="1575" w:type="dxa"/>
          </w:tcPr>
          <w:p w14:paraId="71FB203B" w14:textId="77777777" w:rsidR="0060364D" w:rsidRDefault="0060364D" w:rsidP="00EA60BC">
            <w:pPr>
              <w:spacing w:after="0"/>
              <w:jc w:val="center"/>
            </w:pPr>
            <w:r>
              <w:t xml:space="preserve">4 </w:t>
            </w:r>
            <w:proofErr w:type="spellStart"/>
            <w:r>
              <w:t>ms</w:t>
            </w:r>
            <w:proofErr w:type="spellEnd"/>
          </w:p>
        </w:tc>
        <w:tc>
          <w:tcPr>
            <w:tcW w:w="1576" w:type="dxa"/>
          </w:tcPr>
          <w:p w14:paraId="4A105E4F" w14:textId="77777777" w:rsidR="0060364D" w:rsidRDefault="0060364D" w:rsidP="00EA60BC">
            <w:pPr>
              <w:spacing w:after="0"/>
              <w:jc w:val="center"/>
            </w:pPr>
            <w:r>
              <w:t xml:space="preserve">8 </w:t>
            </w:r>
            <w:proofErr w:type="spellStart"/>
            <w:r>
              <w:t>ms</w:t>
            </w:r>
            <w:proofErr w:type="spellEnd"/>
          </w:p>
        </w:tc>
        <w:tc>
          <w:tcPr>
            <w:tcW w:w="1575" w:type="dxa"/>
          </w:tcPr>
          <w:p w14:paraId="70FEE5AC" w14:textId="77777777" w:rsidR="0060364D" w:rsidRDefault="0060364D" w:rsidP="00EA60BC">
            <w:pPr>
              <w:spacing w:after="0"/>
              <w:jc w:val="center"/>
            </w:pPr>
            <w:r>
              <w:t xml:space="preserve">16 </w:t>
            </w:r>
            <w:proofErr w:type="spellStart"/>
            <w:r>
              <w:t>ms</w:t>
            </w:r>
            <w:proofErr w:type="spellEnd"/>
          </w:p>
        </w:tc>
        <w:tc>
          <w:tcPr>
            <w:tcW w:w="1576" w:type="dxa"/>
          </w:tcPr>
          <w:p w14:paraId="7DBDE3AD" w14:textId="77777777" w:rsidR="0060364D" w:rsidRDefault="0060364D" w:rsidP="00EA60BC">
            <w:pPr>
              <w:spacing w:after="0"/>
              <w:jc w:val="center"/>
            </w:pPr>
            <w:r>
              <w:t xml:space="preserve">32 </w:t>
            </w:r>
            <w:proofErr w:type="spellStart"/>
            <w:r>
              <w:t>ms</w:t>
            </w:r>
            <w:proofErr w:type="spellEnd"/>
          </w:p>
        </w:tc>
        <w:tc>
          <w:tcPr>
            <w:tcW w:w="1576" w:type="dxa"/>
          </w:tcPr>
          <w:p w14:paraId="78D46F23" w14:textId="77777777" w:rsidR="0060364D" w:rsidRDefault="0060364D" w:rsidP="00EA60BC">
            <w:pPr>
              <w:spacing w:after="0"/>
              <w:jc w:val="center"/>
            </w:pPr>
            <w:r>
              <w:t xml:space="preserve">64 </w:t>
            </w:r>
            <w:proofErr w:type="spellStart"/>
            <w:r>
              <w:t>ms</w:t>
            </w:r>
            <w:proofErr w:type="spellEnd"/>
          </w:p>
        </w:tc>
      </w:tr>
    </w:tbl>
    <w:p w14:paraId="29DFCBD9" w14:textId="77777777" w:rsidR="0060364D" w:rsidRDefault="0060364D" w:rsidP="0060364D"/>
    <w:p w14:paraId="099BFFA1" w14:textId="77777777" w:rsidR="0060364D" w:rsidRDefault="0060364D" w:rsidP="0060364D">
      <w:pPr>
        <w:rPr>
          <w:b/>
          <w:bCs/>
        </w:rPr>
      </w:pPr>
      <w:r>
        <w:t xml:space="preserve">One further aspect to consider related to the increased slot aggregation is that the individual PDSCH transmissions will have their own encoding, thereby leading to a relatively high code rate for each transmission. Combined with the high </w:t>
      </w:r>
      <w:proofErr w:type="gramStart"/>
      <w:r>
        <w:t>amount</w:t>
      </w:r>
      <w:proofErr w:type="gramEnd"/>
      <w:r>
        <w:t xml:space="preserve"> of aggregated slots, the effective code rate for each transmission will become quite low, and the resulting throughput will scale downwards accordingly. Since increasing the slot aggregation will negatively impact the provided throughput, the maximum considered slot aggregation should be 16.</w:t>
      </w:r>
    </w:p>
    <w:p w14:paraId="40AA7504" w14:textId="0973F140" w:rsidR="0060364D" w:rsidRPr="004E3FD1" w:rsidRDefault="0060364D" w:rsidP="0060364D">
      <w:pPr>
        <w:rPr>
          <w:b/>
          <w:bCs/>
        </w:rPr>
      </w:pPr>
      <w:r w:rsidRPr="004E3FD1">
        <w:rPr>
          <w:b/>
          <w:bCs/>
        </w:rPr>
        <w:t xml:space="preserve">Proposal </w:t>
      </w:r>
      <w:r w:rsidR="001C42B4">
        <w:rPr>
          <w:b/>
          <w:bCs/>
        </w:rPr>
        <w:t>6</w:t>
      </w:r>
      <w:r w:rsidRPr="004E3FD1">
        <w:rPr>
          <w:b/>
          <w:bCs/>
        </w:rPr>
        <w:t xml:space="preserve">: For NTN operation, </w:t>
      </w:r>
      <w:r>
        <w:rPr>
          <w:b/>
          <w:bCs/>
        </w:rPr>
        <w:t>the maximum level of s</w:t>
      </w:r>
      <w:r w:rsidRPr="004E3FD1">
        <w:rPr>
          <w:b/>
          <w:bCs/>
        </w:rPr>
        <w:t xml:space="preserve">lot aggregation </w:t>
      </w:r>
      <w:r>
        <w:rPr>
          <w:b/>
          <w:bCs/>
        </w:rPr>
        <w:t>to be considered should be 16</w:t>
      </w:r>
      <w:r w:rsidRPr="004E3FD1">
        <w:rPr>
          <w:b/>
          <w:bCs/>
        </w:rPr>
        <w:t xml:space="preserve"> slots.</w:t>
      </w:r>
    </w:p>
    <w:p w14:paraId="73A82122" w14:textId="570C49A7" w:rsidR="001F201D" w:rsidRPr="001F201D" w:rsidRDefault="001F201D" w:rsidP="001F201D"/>
    <w:bookmarkEnd w:id="1"/>
    <w:p w14:paraId="10445A01" w14:textId="480CC7E1" w:rsidR="00885580" w:rsidRDefault="007820D0" w:rsidP="00885580">
      <w:pPr>
        <w:pStyle w:val="Heading1"/>
      </w:pPr>
      <w:r>
        <w:t>Conclusion</w:t>
      </w:r>
    </w:p>
    <w:p w14:paraId="6BBBEEA2" w14:textId="2B4496D4" w:rsidR="001C42B4" w:rsidRDefault="001C42B4" w:rsidP="001C42B4">
      <w:r>
        <w:t>In this contribution we have presented our observations and proposals. These are as follows:</w:t>
      </w:r>
    </w:p>
    <w:p w14:paraId="2E5CC343" w14:textId="77777777" w:rsidR="001C42B4" w:rsidRPr="00FC3281" w:rsidRDefault="001C42B4" w:rsidP="001C42B4">
      <w:pPr>
        <w:rPr>
          <w:b/>
          <w:bCs/>
        </w:rPr>
      </w:pPr>
      <w:r w:rsidRPr="00FC3281">
        <w:rPr>
          <w:b/>
          <w:bCs/>
        </w:rPr>
        <w:lastRenderedPageBreak/>
        <w:t xml:space="preserve">Observation 1: The </w:t>
      </w:r>
      <w:proofErr w:type="spellStart"/>
      <w:r w:rsidRPr="00FC3281">
        <w:rPr>
          <w:b/>
          <w:bCs/>
        </w:rPr>
        <w:t>gNB</w:t>
      </w:r>
      <w:proofErr w:type="spellEnd"/>
      <w:r w:rsidRPr="00FC3281">
        <w:rPr>
          <w:b/>
          <w:bCs/>
        </w:rPr>
        <w:t xml:space="preserve"> may </w:t>
      </w:r>
      <w:r>
        <w:rPr>
          <w:b/>
          <w:bCs/>
        </w:rPr>
        <w:t xml:space="preserve">still </w:t>
      </w:r>
      <w:r w:rsidRPr="00FC3281">
        <w:rPr>
          <w:b/>
          <w:bCs/>
        </w:rPr>
        <w:t>blindly schedule HARQ retransmissions for processes that are not expected to provide HARQ feedback.</w:t>
      </w:r>
    </w:p>
    <w:p w14:paraId="23CF385E" w14:textId="77777777" w:rsidR="001C42B4" w:rsidRPr="00294FE1" w:rsidRDefault="001C42B4" w:rsidP="001C42B4">
      <w:pPr>
        <w:rPr>
          <w:b/>
          <w:bCs/>
        </w:rPr>
      </w:pPr>
      <w:r w:rsidRPr="00294FE1">
        <w:rPr>
          <w:b/>
          <w:bCs/>
        </w:rPr>
        <w:t xml:space="preserve">Observation 2: Even that HARQ feedback may be disabled for a HARQ process, the UE still need to evaluate the </w:t>
      </w:r>
      <w:r>
        <w:rPr>
          <w:b/>
          <w:bCs/>
        </w:rPr>
        <w:t xml:space="preserve">CRC for the received </w:t>
      </w:r>
      <w:r w:rsidRPr="00294FE1">
        <w:rPr>
          <w:b/>
          <w:bCs/>
        </w:rPr>
        <w:t>packet</w:t>
      </w:r>
      <w:r>
        <w:rPr>
          <w:b/>
          <w:bCs/>
        </w:rPr>
        <w:t xml:space="preserve"> on the PDSCH</w:t>
      </w:r>
      <w:r w:rsidRPr="00294FE1">
        <w:rPr>
          <w:b/>
          <w:bCs/>
        </w:rPr>
        <w:t>.</w:t>
      </w:r>
    </w:p>
    <w:p w14:paraId="5FB24630" w14:textId="77777777" w:rsidR="001C42B4" w:rsidRPr="005F6388" w:rsidRDefault="001C42B4" w:rsidP="001C42B4">
      <w:pPr>
        <w:rPr>
          <w:b/>
          <w:bCs/>
        </w:rPr>
      </w:pPr>
      <w:r w:rsidRPr="005F6388">
        <w:rPr>
          <w:b/>
          <w:bCs/>
        </w:rPr>
        <w:t xml:space="preserve">Observation 3: The information on successful or failed packet reception may still be useful for the </w:t>
      </w:r>
      <w:proofErr w:type="spellStart"/>
      <w:r w:rsidRPr="005F6388">
        <w:rPr>
          <w:b/>
          <w:bCs/>
        </w:rPr>
        <w:t>gNB</w:t>
      </w:r>
      <w:proofErr w:type="spellEnd"/>
      <w:r w:rsidRPr="005F6388">
        <w:rPr>
          <w:b/>
          <w:bCs/>
        </w:rPr>
        <w:t>, even that it is received with delay.</w:t>
      </w:r>
    </w:p>
    <w:p w14:paraId="681DEE24" w14:textId="77777777" w:rsidR="001C42B4" w:rsidRPr="00EF771E" w:rsidRDefault="001C42B4" w:rsidP="001C42B4">
      <w:pPr>
        <w:rPr>
          <w:b/>
          <w:bCs/>
        </w:rPr>
      </w:pPr>
      <w:r w:rsidRPr="00EF771E">
        <w:rPr>
          <w:b/>
          <w:bCs/>
        </w:rPr>
        <w:t>Proposal 1: For Type-1 HARQ codebook</w:t>
      </w:r>
      <w:r>
        <w:rPr>
          <w:b/>
          <w:bCs/>
        </w:rPr>
        <w:t xml:space="preserve"> with DCIs carrying both feedback-disabled and feedback enabled HARQ processes</w:t>
      </w:r>
      <w:r w:rsidRPr="00EF771E">
        <w:rPr>
          <w:b/>
          <w:bCs/>
        </w:rPr>
        <w:t>, select Option-2 such that the UE will always generate the true HARQ feedback value.</w:t>
      </w:r>
    </w:p>
    <w:p w14:paraId="12E3AE65" w14:textId="77777777" w:rsidR="001C42B4" w:rsidRPr="00EF771E" w:rsidRDefault="001C42B4" w:rsidP="001C42B4">
      <w:pPr>
        <w:rPr>
          <w:b/>
          <w:bCs/>
        </w:rPr>
      </w:pPr>
      <w:r w:rsidRPr="00EF771E">
        <w:rPr>
          <w:b/>
          <w:bCs/>
        </w:rPr>
        <w:t xml:space="preserve">Proposal </w:t>
      </w:r>
      <w:r>
        <w:rPr>
          <w:b/>
          <w:bCs/>
        </w:rPr>
        <w:t>2</w:t>
      </w:r>
      <w:r w:rsidRPr="00EF771E">
        <w:rPr>
          <w:b/>
          <w:bCs/>
        </w:rPr>
        <w:t>: For Type-1 HARQ codebook</w:t>
      </w:r>
      <w:r>
        <w:rPr>
          <w:b/>
          <w:bCs/>
        </w:rPr>
        <w:t xml:space="preserve"> with DCIs carrying only feedback-disabled HARQ processes</w:t>
      </w:r>
      <w:r w:rsidRPr="00EF771E">
        <w:rPr>
          <w:b/>
          <w:bCs/>
        </w:rPr>
        <w:t>, select Option-</w:t>
      </w:r>
      <w:r>
        <w:rPr>
          <w:b/>
          <w:bCs/>
        </w:rPr>
        <w:t>1</w:t>
      </w:r>
      <w:r w:rsidRPr="00EF771E">
        <w:rPr>
          <w:b/>
          <w:bCs/>
        </w:rPr>
        <w:t xml:space="preserve"> such that the UE will always generate </w:t>
      </w:r>
      <w:r>
        <w:rPr>
          <w:b/>
          <w:bCs/>
        </w:rPr>
        <w:t>a HARQ codebook for transmission</w:t>
      </w:r>
      <w:r w:rsidRPr="00EF771E">
        <w:rPr>
          <w:b/>
          <w:bCs/>
        </w:rPr>
        <w:t>.</w:t>
      </w:r>
    </w:p>
    <w:p w14:paraId="57389C3F" w14:textId="77777777" w:rsidR="001C42B4" w:rsidRPr="009D0F21" w:rsidRDefault="001C42B4" w:rsidP="001C42B4">
      <w:pPr>
        <w:rPr>
          <w:b/>
          <w:bCs/>
        </w:rPr>
      </w:pPr>
      <w:r w:rsidRPr="009D0F21">
        <w:rPr>
          <w:b/>
          <w:bCs/>
        </w:rPr>
        <w:t>Proposal 3: In case of the group agreeing on selecting Option-2 fo</w:t>
      </w:r>
      <w:r>
        <w:rPr>
          <w:b/>
          <w:bCs/>
        </w:rPr>
        <w:t>r</w:t>
      </w:r>
      <w:r w:rsidRPr="009D0F21">
        <w:rPr>
          <w:b/>
          <w:bCs/>
        </w:rPr>
        <w:t xml:space="preserve"> the case of Type-1 HARQ codebook with DCIs carrying only feedback-disabled HARQ processes, this should be limited to cases where the HARQ codebook is the only UCI for the PUCCH</w:t>
      </w:r>
      <w:r>
        <w:rPr>
          <w:b/>
          <w:bCs/>
        </w:rPr>
        <w:t>.</w:t>
      </w:r>
    </w:p>
    <w:p w14:paraId="6B26F763" w14:textId="77777777" w:rsidR="001C42B4" w:rsidRPr="00EF771E" w:rsidRDefault="001C42B4" w:rsidP="001C42B4">
      <w:pPr>
        <w:rPr>
          <w:b/>
          <w:bCs/>
        </w:rPr>
      </w:pPr>
      <w:r w:rsidRPr="00EF771E">
        <w:rPr>
          <w:b/>
          <w:bCs/>
        </w:rPr>
        <w:t xml:space="preserve">Proposal </w:t>
      </w:r>
      <w:r>
        <w:rPr>
          <w:b/>
          <w:bCs/>
        </w:rPr>
        <w:t>4</w:t>
      </w:r>
      <w:r w:rsidRPr="00EF771E">
        <w:rPr>
          <w:b/>
          <w:bCs/>
        </w:rPr>
        <w:t>: For Type-</w:t>
      </w:r>
      <w:r>
        <w:rPr>
          <w:b/>
          <w:bCs/>
        </w:rPr>
        <w:t>2</w:t>
      </w:r>
      <w:r w:rsidRPr="00EF771E">
        <w:rPr>
          <w:b/>
          <w:bCs/>
        </w:rPr>
        <w:t xml:space="preserve"> HARQ codebook</w:t>
      </w:r>
      <w:r>
        <w:rPr>
          <w:b/>
          <w:bCs/>
        </w:rPr>
        <w:t>, select Option-1 such that C-DAI and T-DAI are the count of the feedback-enabled processes.</w:t>
      </w:r>
    </w:p>
    <w:p w14:paraId="437FA09C" w14:textId="77777777" w:rsidR="001C42B4" w:rsidRDefault="001C42B4" w:rsidP="001C42B4">
      <w:pPr>
        <w:rPr>
          <w:b/>
          <w:bCs/>
        </w:rPr>
      </w:pPr>
      <w:r w:rsidRPr="008E3B6D">
        <w:rPr>
          <w:b/>
          <w:bCs/>
        </w:rPr>
        <w:t xml:space="preserve">Proposal </w:t>
      </w:r>
      <w:r>
        <w:rPr>
          <w:b/>
          <w:bCs/>
        </w:rPr>
        <w:t>5</w:t>
      </w:r>
      <w:r w:rsidRPr="008E3B6D">
        <w:rPr>
          <w:b/>
          <w:bCs/>
        </w:rPr>
        <w:t xml:space="preserve">: </w:t>
      </w:r>
      <w:r>
        <w:rPr>
          <w:b/>
          <w:bCs/>
        </w:rPr>
        <w:t xml:space="preserve">No enhancements or optimizations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153B6BDB" w14:textId="77777777" w:rsidR="001C42B4" w:rsidRPr="004E3FD1" w:rsidRDefault="001C42B4" w:rsidP="001C42B4">
      <w:pPr>
        <w:rPr>
          <w:b/>
          <w:bCs/>
        </w:rPr>
      </w:pPr>
      <w:r w:rsidRPr="004E3FD1">
        <w:rPr>
          <w:b/>
          <w:bCs/>
        </w:rPr>
        <w:t xml:space="preserve">Proposal </w:t>
      </w:r>
      <w:r>
        <w:rPr>
          <w:b/>
          <w:bCs/>
        </w:rPr>
        <w:t>6</w:t>
      </w:r>
      <w:r w:rsidRPr="004E3FD1">
        <w:rPr>
          <w:b/>
          <w:bCs/>
        </w:rPr>
        <w:t xml:space="preserve">: For NTN operation, </w:t>
      </w:r>
      <w:r>
        <w:rPr>
          <w:b/>
          <w:bCs/>
        </w:rPr>
        <w:t>the maximum level of s</w:t>
      </w:r>
      <w:r w:rsidRPr="004E3FD1">
        <w:rPr>
          <w:b/>
          <w:bCs/>
        </w:rPr>
        <w:t xml:space="preserve">lot aggregation </w:t>
      </w:r>
      <w:r>
        <w:rPr>
          <w:b/>
          <w:bCs/>
        </w:rPr>
        <w:t>to be considered should be 16</w:t>
      </w:r>
      <w:r w:rsidRPr="004E3FD1">
        <w:rPr>
          <w:b/>
          <w:bCs/>
        </w:rPr>
        <w:t xml:space="preserve"> slots.</w:t>
      </w:r>
    </w:p>
    <w:p w14:paraId="015B17C4" w14:textId="77777777" w:rsidR="001C42B4" w:rsidRDefault="001C42B4" w:rsidP="001C42B4"/>
    <w:p w14:paraId="53CD9119" w14:textId="5206E1F5" w:rsidR="00885580" w:rsidRDefault="00885580" w:rsidP="00885580">
      <w:pPr>
        <w:pStyle w:val="Heading1"/>
        <w:numPr>
          <w:ilvl w:val="0"/>
          <w:numId w:val="0"/>
        </w:numPr>
      </w:pPr>
      <w:r>
        <w:t>References</w:t>
      </w:r>
    </w:p>
    <w:p w14:paraId="50BDA443" w14:textId="77777777" w:rsidR="00F63AB2" w:rsidRDefault="00F63AB2" w:rsidP="00F63AB2">
      <w:pPr>
        <w:pStyle w:val="ListParagraph"/>
        <w:numPr>
          <w:ilvl w:val="0"/>
          <w:numId w:val="27"/>
        </w:numPr>
        <w:rPr>
          <w:sz w:val="20"/>
          <w:szCs w:val="20"/>
        </w:rPr>
      </w:pPr>
      <w:r w:rsidRPr="00840668">
        <w:rPr>
          <w:sz w:val="20"/>
          <w:szCs w:val="20"/>
        </w:rPr>
        <w:t>R1-2110751</w:t>
      </w:r>
      <w:r>
        <w:rPr>
          <w:sz w:val="20"/>
          <w:szCs w:val="20"/>
        </w:rPr>
        <w:t>, ”</w:t>
      </w:r>
      <w:r w:rsidRPr="00840668">
        <w:rPr>
          <w:sz w:val="20"/>
          <w:szCs w:val="20"/>
        </w:rPr>
        <w:t xml:space="preserve">Report of RAN1#106bis-e </w:t>
      </w:r>
      <w:proofErr w:type="spellStart"/>
      <w:r w:rsidRPr="00840668">
        <w:rPr>
          <w:sz w:val="20"/>
          <w:szCs w:val="20"/>
        </w:rPr>
        <w:t>meeting</w:t>
      </w:r>
      <w:proofErr w:type="spellEnd"/>
      <w:r>
        <w:rPr>
          <w:sz w:val="20"/>
          <w:szCs w:val="20"/>
        </w:rPr>
        <w:t>”</w:t>
      </w:r>
    </w:p>
    <w:p w14:paraId="1653855E" w14:textId="77777777" w:rsidR="00F63AB2" w:rsidRDefault="00F63AB2" w:rsidP="00F63AB2">
      <w:pPr>
        <w:pStyle w:val="ListParagraph"/>
        <w:numPr>
          <w:ilvl w:val="0"/>
          <w:numId w:val="27"/>
        </w:numPr>
        <w:spacing w:line="259" w:lineRule="auto"/>
        <w:rPr>
          <w:sz w:val="20"/>
          <w:szCs w:val="20"/>
        </w:rPr>
      </w:pPr>
      <w:r>
        <w:rPr>
          <w:sz w:val="20"/>
          <w:szCs w:val="20"/>
        </w:rPr>
        <w:t xml:space="preserve">R1-2108692, ”Report of RAN1#106-e </w:t>
      </w:r>
      <w:proofErr w:type="spellStart"/>
      <w:r>
        <w:rPr>
          <w:sz w:val="20"/>
          <w:szCs w:val="20"/>
        </w:rPr>
        <w:t>meeting</w:t>
      </w:r>
      <w:proofErr w:type="spellEnd"/>
      <w:r>
        <w:rPr>
          <w:sz w:val="20"/>
          <w:szCs w:val="20"/>
        </w:rPr>
        <w:t>”</w:t>
      </w:r>
    </w:p>
    <w:p w14:paraId="1D3037A0" w14:textId="77777777" w:rsidR="00F63AB2" w:rsidRDefault="00F63AB2" w:rsidP="00F63AB2">
      <w:pPr>
        <w:pStyle w:val="ListParagraph"/>
        <w:numPr>
          <w:ilvl w:val="0"/>
          <w:numId w:val="27"/>
        </w:numPr>
        <w:spacing w:line="259" w:lineRule="auto"/>
        <w:rPr>
          <w:sz w:val="20"/>
          <w:szCs w:val="20"/>
        </w:rPr>
      </w:pPr>
      <w:r>
        <w:rPr>
          <w:sz w:val="20"/>
          <w:szCs w:val="20"/>
        </w:rPr>
        <w:t xml:space="preserve">R1-2106402, ”Report of RAN1#105-e </w:t>
      </w:r>
      <w:proofErr w:type="spellStart"/>
      <w:r>
        <w:rPr>
          <w:sz w:val="20"/>
          <w:szCs w:val="20"/>
        </w:rPr>
        <w:t>meeting</w:t>
      </w:r>
      <w:proofErr w:type="spellEnd"/>
      <w:r>
        <w:rPr>
          <w:sz w:val="20"/>
          <w:szCs w:val="20"/>
        </w:rPr>
        <w:t>”</w:t>
      </w:r>
    </w:p>
    <w:p w14:paraId="093EE10C" w14:textId="73D95C0A" w:rsidR="00205A4B" w:rsidRPr="00205A4B" w:rsidRDefault="00F63AB2" w:rsidP="00205A4B">
      <w:pPr>
        <w:pStyle w:val="ListParagraph"/>
        <w:numPr>
          <w:ilvl w:val="0"/>
          <w:numId w:val="27"/>
        </w:numPr>
        <w:rPr>
          <w:sz w:val="20"/>
          <w:szCs w:val="20"/>
        </w:rPr>
      </w:pPr>
      <w:r>
        <w:rPr>
          <w:sz w:val="20"/>
          <w:szCs w:val="20"/>
        </w:rPr>
        <w:t>R1-2110546, ”</w:t>
      </w:r>
      <w:r w:rsidRPr="00F63AB2">
        <w:rPr>
          <w:sz w:val="20"/>
          <w:szCs w:val="20"/>
        </w:rPr>
        <w:t>Summary#3 of 8.4.3 for HARQ for NTN</w:t>
      </w:r>
      <w:r>
        <w:rPr>
          <w:sz w:val="20"/>
          <w:szCs w:val="20"/>
        </w:rPr>
        <w:t>”</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5D724" w14:textId="77777777" w:rsidR="00D46A4D" w:rsidRDefault="00D46A4D">
      <w:r>
        <w:separator/>
      </w:r>
    </w:p>
  </w:endnote>
  <w:endnote w:type="continuationSeparator" w:id="0">
    <w:p w14:paraId="0BE26F86" w14:textId="77777777" w:rsidR="00D46A4D" w:rsidRDefault="00D4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9FB7B" w14:textId="77777777" w:rsidR="00D46A4D" w:rsidRDefault="00D46A4D">
      <w:r>
        <w:separator/>
      </w:r>
    </w:p>
  </w:footnote>
  <w:footnote w:type="continuationSeparator" w:id="0">
    <w:p w14:paraId="014CA92C" w14:textId="77777777" w:rsidR="00D46A4D" w:rsidRDefault="00D4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7E2498"/>
    <w:multiLevelType w:val="multilevel"/>
    <w:tmpl w:val="0D4A4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4"/>
  </w:num>
  <w:num w:numId="6">
    <w:abstractNumId w:val="25"/>
  </w:num>
  <w:num w:numId="7">
    <w:abstractNumId w:val="16"/>
  </w:num>
  <w:num w:numId="8">
    <w:abstractNumId w:val="13"/>
  </w:num>
  <w:num w:numId="9">
    <w:abstractNumId w:val="28"/>
  </w:num>
  <w:num w:numId="10">
    <w:abstractNumId w:val="4"/>
  </w:num>
  <w:num w:numId="11">
    <w:abstractNumId w:val="18"/>
  </w:num>
  <w:num w:numId="12">
    <w:abstractNumId w:val="3"/>
  </w:num>
  <w:num w:numId="13">
    <w:abstractNumId w:val="10"/>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7"/>
  </w:num>
  <w:num w:numId="21">
    <w:abstractNumId w:val="29"/>
  </w:num>
  <w:num w:numId="22">
    <w:abstractNumId w:val="19"/>
  </w:num>
  <w:num w:numId="23">
    <w:abstractNumId w:val="9"/>
  </w:num>
  <w:num w:numId="24">
    <w:abstractNumId w:val="5"/>
  </w:num>
  <w:num w:numId="25">
    <w:abstractNumId w:val="26"/>
  </w:num>
  <w:num w:numId="26">
    <w:abstractNumId w:val="23"/>
  </w:num>
  <w:num w:numId="27">
    <w:abstractNumId w:val="8"/>
  </w:num>
  <w:num w:numId="28">
    <w:abstractNumId w:val="7"/>
  </w:num>
  <w:num w:numId="29">
    <w:abstractNumId w:val="21"/>
  </w:num>
  <w:num w:numId="3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2B4"/>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71B"/>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48F"/>
    <w:rsid w:val="005F5E6F"/>
    <w:rsid w:val="005F6510"/>
    <w:rsid w:val="005F681C"/>
    <w:rsid w:val="005F6BD4"/>
    <w:rsid w:val="005F7188"/>
    <w:rsid w:val="005F7985"/>
    <w:rsid w:val="00600CEB"/>
    <w:rsid w:val="00602A78"/>
    <w:rsid w:val="00602A84"/>
    <w:rsid w:val="00602AA1"/>
    <w:rsid w:val="00603123"/>
    <w:rsid w:val="0060364D"/>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6F4"/>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601"/>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3AB2"/>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1787</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2021-11-05T16:44:00Z</dcterms:created>
  <dcterms:modified xsi:type="dcterms:W3CDTF">2021-11-05T16:45:00Z</dcterms:modified>
</cp:coreProperties>
</file>