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51A" w:rsidRDefault="002A5230">
      <w:pPr>
        <w:pStyle w:val="3GPPHeader"/>
        <w:spacing w:after="60"/>
      </w:pPr>
      <w:bookmarkStart w:id="0" w:name="_GoBack"/>
      <w:bookmarkEnd w:id="0"/>
      <w:r>
        <w:t>3GPP TSG-RAN WG1 Meeting #106bis-e</w:t>
      </w:r>
      <w:r>
        <w:tab/>
      </w:r>
      <w:r>
        <w:rPr>
          <w:sz w:val="22"/>
          <w:szCs w:val="22"/>
          <w:highlight w:val="yellow"/>
        </w:rPr>
        <w:t>R1-21xxxxx</w:t>
      </w:r>
    </w:p>
    <w:p w:rsidR="00D0451A" w:rsidRDefault="002A5230">
      <w:pPr>
        <w:pStyle w:val="3GPPHeader"/>
        <w:spacing w:after="60"/>
      </w:pPr>
      <w:r>
        <w:t>e-Meeting, October 11</w:t>
      </w:r>
      <w:r>
        <w:rPr>
          <w:vertAlign w:val="superscript"/>
        </w:rPr>
        <w:t>th</w:t>
      </w:r>
      <w:r>
        <w:t xml:space="preserve"> – 19</w:t>
      </w:r>
      <w:r>
        <w:rPr>
          <w:vertAlign w:val="superscript"/>
        </w:rPr>
        <w:t>th</w:t>
      </w:r>
      <w:r>
        <w:t>, 2021</w:t>
      </w:r>
    </w:p>
    <w:p w:rsidR="00D0451A" w:rsidRDefault="00D0451A">
      <w:pPr>
        <w:pStyle w:val="3GPPHeader"/>
      </w:pPr>
    </w:p>
    <w:p w:rsidR="00D0451A" w:rsidRDefault="002A5230">
      <w:pPr>
        <w:pStyle w:val="3GPPHeader"/>
        <w:rPr>
          <w:sz w:val="22"/>
          <w:szCs w:val="22"/>
          <w:lang w:val="en-US"/>
        </w:rPr>
      </w:pPr>
      <w:r>
        <w:rPr>
          <w:sz w:val="22"/>
          <w:szCs w:val="22"/>
          <w:lang w:val="en-US"/>
        </w:rPr>
        <w:t>Agenda Item:</w:t>
      </w:r>
      <w:r>
        <w:rPr>
          <w:sz w:val="22"/>
          <w:szCs w:val="22"/>
          <w:lang w:val="en-US"/>
        </w:rPr>
        <w:tab/>
        <w:t>8.9.2</w:t>
      </w:r>
    </w:p>
    <w:p w:rsidR="00D0451A" w:rsidRDefault="002A5230">
      <w:pPr>
        <w:pStyle w:val="3GPPHeader"/>
        <w:rPr>
          <w:sz w:val="22"/>
          <w:szCs w:val="22"/>
        </w:rPr>
      </w:pPr>
      <w:r>
        <w:rPr>
          <w:sz w:val="22"/>
          <w:szCs w:val="22"/>
        </w:rPr>
        <w:t>Source:</w:t>
      </w:r>
      <w:r>
        <w:rPr>
          <w:sz w:val="22"/>
          <w:szCs w:val="22"/>
        </w:rPr>
        <w:tab/>
        <w:t>Moderator (Ericsson)</w:t>
      </w:r>
    </w:p>
    <w:p w:rsidR="00D0451A" w:rsidRDefault="002A5230">
      <w:pPr>
        <w:pStyle w:val="3GPPHeader"/>
        <w:ind w:left="1701" w:hanging="1701"/>
        <w:rPr>
          <w:sz w:val="22"/>
          <w:szCs w:val="22"/>
        </w:rPr>
      </w:pPr>
      <w:r>
        <w:rPr>
          <w:sz w:val="22"/>
          <w:szCs w:val="22"/>
        </w:rPr>
        <w:t>Title:</w:t>
      </w:r>
      <w:r>
        <w:rPr>
          <w:sz w:val="22"/>
          <w:szCs w:val="22"/>
        </w:rPr>
        <w:tab/>
        <w:t>Feature Lead Summary [106bis-e-LTE-Rel17-NB-IoT-eMTC-02] - final checkpoint</w:t>
      </w:r>
    </w:p>
    <w:p w:rsidR="00D0451A" w:rsidRDefault="002A5230">
      <w:pPr>
        <w:pStyle w:val="3GPPHeader"/>
        <w:rPr>
          <w:sz w:val="22"/>
          <w:szCs w:val="22"/>
        </w:rPr>
      </w:pPr>
      <w:r>
        <w:rPr>
          <w:sz w:val="22"/>
          <w:szCs w:val="22"/>
        </w:rPr>
        <w:t>Document for:</w:t>
      </w:r>
      <w:r>
        <w:rPr>
          <w:sz w:val="22"/>
          <w:szCs w:val="22"/>
        </w:rPr>
        <w:tab/>
        <w:t>Discussion and Decision</w:t>
      </w:r>
    </w:p>
    <w:p w:rsidR="00D0451A" w:rsidRDefault="00D0451A"/>
    <w:p w:rsidR="00D0451A" w:rsidRDefault="002A5230">
      <w:pPr>
        <w:pStyle w:val="1"/>
      </w:pPr>
      <w:r>
        <w:t>1</w:t>
      </w:r>
      <w:r>
        <w:tab/>
        <w:t>Introduction</w:t>
      </w:r>
    </w:p>
    <w:p w:rsidR="00D0451A" w:rsidRDefault="002A5230">
      <w:pPr>
        <w:pStyle w:val="a6"/>
        <w:rPr>
          <w:rFonts w:ascii="Times New Roman" w:hAnsi="Times New Roman"/>
        </w:rPr>
      </w:pPr>
      <w:r>
        <w:rPr>
          <w:rFonts w:ascii="Times New Roman" w:hAnsi="Times New Roman"/>
        </w:rPr>
        <w:t xml:space="preserve">In the Work Item (WI) on “Additional enhancements for NB-IoT and LTE-MTC” </w:t>
      </w:r>
      <w:r>
        <w:rPr>
          <w:rFonts w:ascii="Times New Roman" w:hAnsi="Times New Roman"/>
        </w:rPr>
        <w:fldChar w:fldCharType="begin"/>
      </w:r>
      <w:r>
        <w:rPr>
          <w:rFonts w:ascii="Times New Roman" w:hAnsi="Times New Roman"/>
        </w:rPr>
        <w:instrText xml:space="preserve"> REF _Ref525929513 \n \h  \* MERGEFORMAT </w:instrText>
      </w:r>
      <w:r>
        <w:rPr>
          <w:rFonts w:ascii="Times New Roman" w:hAnsi="Times New Roman"/>
        </w:rPr>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t>, one of the objectives is to specify the following enhancement for LTE-MTC:</w:t>
      </w:r>
    </w:p>
    <w:tbl>
      <w:tblPr>
        <w:tblStyle w:val="af4"/>
        <w:tblW w:w="9655" w:type="dxa"/>
        <w:tblBorders>
          <w:top w:val="double" w:sz="4" w:space="0" w:color="auto"/>
        </w:tblBorders>
        <w:tblLook w:val="04A0" w:firstRow="1" w:lastRow="0" w:firstColumn="1" w:lastColumn="0" w:noHBand="0" w:noVBand="1"/>
      </w:tblPr>
      <w:tblGrid>
        <w:gridCol w:w="9655"/>
      </w:tblGrid>
      <w:tr w:rsidR="00D0451A">
        <w:trPr>
          <w:trHeight w:val="564"/>
        </w:trPr>
        <w:tc>
          <w:tcPr>
            <w:tcW w:w="9655" w:type="dxa"/>
            <w:tcBorders>
              <w:top w:val="double" w:sz="4" w:space="0" w:color="auto"/>
              <w:left w:val="single" w:sz="4" w:space="0" w:color="auto"/>
              <w:bottom w:val="single" w:sz="4" w:space="0" w:color="auto"/>
              <w:right w:val="single" w:sz="4" w:space="0" w:color="auto"/>
            </w:tcBorders>
          </w:tcPr>
          <w:p w:rsidR="00D0451A" w:rsidRDefault="002A5230">
            <w:pPr>
              <w:pStyle w:val="afc"/>
              <w:numPr>
                <w:ilvl w:val="0"/>
                <w:numId w:val="17"/>
              </w:numPr>
              <w:rPr>
                <w:rFonts w:ascii="Times New Roman" w:eastAsia="等线" w:hAnsi="Times New Roman"/>
                <w:sz w:val="18"/>
                <w:lang w:val="en-US" w:eastAsia="zh-CN"/>
              </w:rPr>
            </w:pPr>
            <w:bookmarkStart w:id="1" w:name="_Hlk31052369"/>
            <w:r>
              <w:rPr>
                <w:rFonts w:ascii="Times New Roman" w:eastAsia="等线" w:hAnsi="Times New Roman"/>
                <w:sz w:val="20"/>
                <w:szCs w:val="24"/>
                <w:lang w:val="en-US" w:eastAsia="zh-CN"/>
              </w:rPr>
              <w:t xml:space="preserve">Support additional PDSCH scheduling delay for introduction of 14-HARQ processes in DL, for </w:t>
            </w:r>
            <w:bookmarkStart w:id="2" w:name="_Hlk31108863"/>
            <w:r>
              <w:rPr>
                <w:rFonts w:ascii="Times New Roman" w:eastAsia="等线" w:hAnsi="Times New Roman"/>
                <w:sz w:val="20"/>
                <w:szCs w:val="24"/>
                <w:lang w:val="en-US" w:eastAsia="zh-CN"/>
              </w:rPr>
              <w:t>HD-FDD Cat M1 UEs</w:t>
            </w:r>
            <w:bookmarkEnd w:id="1"/>
            <w:bookmarkEnd w:id="2"/>
            <w:r>
              <w:rPr>
                <w:rFonts w:ascii="Times New Roman" w:eastAsia="等线" w:hAnsi="Times New Roman"/>
                <w:sz w:val="20"/>
                <w:szCs w:val="24"/>
                <w:lang w:val="en-US" w:eastAsia="zh-CN"/>
              </w:rPr>
              <w:t>. [LTE-MTC] [RAN1]</w:t>
            </w:r>
          </w:p>
        </w:tc>
      </w:tr>
    </w:tbl>
    <w:p w:rsidR="00D0451A" w:rsidRDefault="00D0451A">
      <w:pPr>
        <w:pStyle w:val="a6"/>
        <w:spacing w:after="0"/>
        <w:rPr>
          <w:rFonts w:ascii="Times New Roman" w:hAnsi="Times New Roman"/>
        </w:rPr>
      </w:pPr>
    </w:p>
    <w:p w:rsidR="00D0451A" w:rsidRDefault="002A5230">
      <w:pPr>
        <w:pStyle w:val="a6"/>
        <w:rPr>
          <w:rFonts w:ascii="Times New Roman" w:hAnsi="Times New Roman"/>
        </w:rPr>
      </w:pPr>
      <w:r>
        <w:rPr>
          <w:rFonts w:ascii="Times New Roman" w:hAnsi="Times New Roman"/>
        </w:rPr>
        <w:t>This feature lead summary (FLS) collects companies’ views as described in [2-6], as well as the working assumption and discussions that took place during the corresponding GTW session.</w:t>
      </w:r>
    </w:p>
    <w:p w:rsidR="00D0451A" w:rsidRDefault="002A5230">
      <w:pPr>
        <w:pStyle w:val="a6"/>
        <w:rPr>
          <w:rFonts w:ascii="Times New Roman" w:hAnsi="Times New Roman"/>
        </w:rPr>
      </w:pPr>
      <w:r>
        <w:rPr>
          <w:rFonts w:ascii="Times New Roman" w:hAnsi="Times New Roman"/>
        </w:rPr>
        <w:t xml:space="preserve">Annex 1 contains the agreements reached in RAN1 #102-e [7], RAN1 #103-e [8], RAN1 #104-e [9], RAN1 #104-bis-e [10], RAN1 #105-e [11], and RAN1 #106bis-e [12]. The FLS discussed during the first GTW session can be found in [13]. </w:t>
      </w:r>
    </w:p>
    <w:p w:rsidR="00D0451A" w:rsidRDefault="002A5230">
      <w:pPr>
        <w:pStyle w:val="1"/>
      </w:pPr>
      <w:bookmarkStart w:id="3" w:name="_Ref178064866"/>
      <w:bookmarkStart w:id="4" w:name="_Hlk528365764"/>
      <w:r>
        <w:t>2</w:t>
      </w:r>
      <w:r>
        <w:tab/>
      </w:r>
      <w:bookmarkEnd w:id="3"/>
      <w:r>
        <w:t>FLS on 14 HARQ processes in DL in LTE-MTC</w:t>
      </w:r>
      <w:bookmarkEnd w:id="4"/>
    </w:p>
    <w:p w:rsidR="00D0451A" w:rsidRDefault="002A5230">
      <w:pPr>
        <w:pStyle w:val="21"/>
      </w:pPr>
      <w:r>
        <w:t>2.1</w:t>
      </w:r>
      <w:r>
        <w:tab/>
        <w:t xml:space="preserve">Potential Agreements for Endorsement </w:t>
      </w:r>
    </w:p>
    <w:p w:rsidR="00D0451A" w:rsidRDefault="002A5230">
      <w:r>
        <w:t>There is a number potential agreements that have been stable (some of them even from RAN1# 106-e), thus to speed-up the progress of this Rel-17 objective it is seems possible to agree on the following potential conclusion and potential agreements in a “single-shot”.</w:t>
      </w:r>
    </w:p>
    <w:p w:rsidR="00D0451A" w:rsidRDefault="002A5230">
      <w:pPr>
        <w:keepNext/>
        <w:keepLines/>
        <w:jc w:val="both"/>
        <w:rPr>
          <w:b/>
          <w:bCs/>
        </w:rPr>
      </w:pPr>
      <w:r>
        <w:rPr>
          <w:b/>
          <w:bCs/>
          <w:highlight w:val="yellow"/>
        </w:rPr>
        <w:t>Potential Conclusion#1:</w:t>
      </w:r>
    </w:p>
    <w:p w:rsidR="00D0451A" w:rsidRDefault="002A5230">
      <w:pPr>
        <w:jc w:val="both"/>
        <w:rPr>
          <w:b/>
          <w:bCs/>
          <w:sz w:val="16"/>
          <w:szCs w:val="16"/>
          <w:lang w:val="en-US"/>
        </w:rPr>
      </w:pPr>
      <w:r>
        <w:rPr>
          <w:b/>
          <w:bCs/>
          <w:sz w:val="18"/>
          <w:szCs w:val="18"/>
          <w:lang w:val="en-US"/>
        </w:rPr>
        <w:t>Conclusion: How to implement/describe the states, e.g., table, resulting from the joint encoding solution of Alt-2e is left up to the Editor, based on the agreements for the PDSCH scheduling delay, HARQ-ACK delay and the WA confirmed for Alt-2e.</w:t>
      </w:r>
    </w:p>
    <w:p w:rsidR="00D0451A" w:rsidRDefault="002A5230">
      <w:pPr>
        <w:keepNext/>
        <w:keepLines/>
        <w:jc w:val="both"/>
        <w:rPr>
          <w:b/>
          <w:bCs/>
        </w:rPr>
      </w:pPr>
      <w:r>
        <w:rPr>
          <w:b/>
          <w:bCs/>
          <w:highlight w:val="yellow"/>
        </w:rPr>
        <w:t>Potential Agreement#4:</w:t>
      </w:r>
    </w:p>
    <w:p w:rsidR="00D0451A" w:rsidRDefault="002A5230">
      <w:pPr>
        <w:jc w:val="both"/>
        <w:rPr>
          <w:rFonts w:eastAsia="Calibri"/>
          <w:b/>
          <w:bCs/>
          <w:lang w:val="en-US" w:eastAsia="en-US"/>
        </w:rPr>
      </w:pPr>
      <w:r>
        <w:rPr>
          <w:rFonts w:eastAsia="Calibri"/>
          <w:b/>
          <w:bCs/>
          <w:lang w:val="en-US" w:eastAsia="en-US"/>
        </w:rPr>
        <w:t>The Rel-17 14 HARQ processes feature only applies to User Specific Search Space (USS)</w:t>
      </w:r>
    </w:p>
    <w:p w:rsidR="00D0451A" w:rsidRDefault="002A5230">
      <w:pPr>
        <w:keepNext/>
        <w:keepLines/>
        <w:jc w:val="both"/>
        <w:rPr>
          <w:b/>
          <w:bCs/>
        </w:rPr>
      </w:pPr>
      <w:r>
        <w:rPr>
          <w:b/>
          <w:bCs/>
          <w:highlight w:val="yellow"/>
        </w:rPr>
        <w:t>Potential Agreement#5:</w:t>
      </w:r>
    </w:p>
    <w:p w:rsidR="00D0451A" w:rsidRDefault="002A5230">
      <w:pPr>
        <w:jc w:val="both"/>
        <w:rPr>
          <w:rFonts w:eastAsia="Calibri"/>
          <w:b/>
          <w:bCs/>
          <w:lang w:val="en-US" w:eastAsia="en-US"/>
        </w:rPr>
      </w:pPr>
      <w:r>
        <w:rPr>
          <w:rFonts w:eastAsia="Calibri"/>
          <w:b/>
          <w:bCs/>
          <w:lang w:val="en-US" w:eastAsia="en-US"/>
        </w:rPr>
        <w:t>In Rel-17, for the 14 HARQ processes feature the “HARQ-ACK process number” field uses 4-bits.</w:t>
      </w:r>
    </w:p>
    <w:p w:rsidR="00D0451A" w:rsidRDefault="002A5230">
      <w:pPr>
        <w:pStyle w:val="afc"/>
        <w:numPr>
          <w:ilvl w:val="0"/>
          <w:numId w:val="18"/>
        </w:numPr>
        <w:jc w:val="both"/>
        <w:rPr>
          <w:rFonts w:ascii="Times New Roman" w:hAnsi="Times New Roman"/>
          <w:b/>
          <w:bCs/>
          <w:sz w:val="20"/>
          <w:szCs w:val="20"/>
          <w:lang w:val="en-US"/>
        </w:rPr>
      </w:pPr>
      <w:r>
        <w:rPr>
          <w:rFonts w:ascii="Times New Roman" w:hAnsi="Times New Roman"/>
          <w:b/>
          <w:bCs/>
          <w:sz w:val="20"/>
          <w:szCs w:val="20"/>
          <w:lang w:val="en-US"/>
        </w:rPr>
        <w:lastRenderedPageBreak/>
        <w:t>The mapping associated to the 4-bits of this field is updated to include the newly added HARQ processes (i.e., 11</w:t>
      </w:r>
      <w:r>
        <w:rPr>
          <w:rFonts w:ascii="Times New Roman" w:hAnsi="Times New Roman"/>
          <w:b/>
          <w:bCs/>
          <w:sz w:val="20"/>
          <w:szCs w:val="20"/>
          <w:vertAlign w:val="superscript"/>
          <w:lang w:val="en-US"/>
        </w:rPr>
        <w:t>th</w:t>
      </w:r>
      <w:r>
        <w:rPr>
          <w:rFonts w:ascii="Times New Roman" w:hAnsi="Times New Roman"/>
          <w:b/>
          <w:bCs/>
          <w:sz w:val="20"/>
          <w:szCs w:val="20"/>
          <w:lang w:val="en-US"/>
        </w:rPr>
        <w:t>, 12</w:t>
      </w:r>
      <w:r>
        <w:rPr>
          <w:rFonts w:ascii="Times New Roman" w:hAnsi="Times New Roman"/>
          <w:b/>
          <w:bCs/>
          <w:sz w:val="20"/>
          <w:szCs w:val="20"/>
          <w:vertAlign w:val="superscript"/>
          <w:lang w:val="en-US"/>
        </w:rPr>
        <w:t>th</w:t>
      </w:r>
      <w:r>
        <w:rPr>
          <w:rFonts w:ascii="Times New Roman" w:hAnsi="Times New Roman"/>
          <w:b/>
          <w:bCs/>
          <w:sz w:val="20"/>
          <w:szCs w:val="20"/>
          <w:lang w:val="en-US"/>
        </w:rPr>
        <w:t>, 13</w:t>
      </w:r>
      <w:r>
        <w:rPr>
          <w:rFonts w:ascii="Times New Roman" w:hAnsi="Times New Roman"/>
          <w:b/>
          <w:bCs/>
          <w:sz w:val="20"/>
          <w:szCs w:val="20"/>
          <w:vertAlign w:val="superscript"/>
          <w:lang w:val="en-US"/>
        </w:rPr>
        <w:t>th</w:t>
      </w:r>
      <w:r>
        <w:rPr>
          <w:rFonts w:ascii="Times New Roman" w:hAnsi="Times New Roman"/>
          <w:b/>
          <w:bCs/>
          <w:sz w:val="20"/>
          <w:szCs w:val="20"/>
          <w:lang w:val="en-US"/>
        </w:rPr>
        <w:t>, and 14</w:t>
      </w:r>
      <w:r>
        <w:rPr>
          <w:rFonts w:ascii="Times New Roman" w:hAnsi="Times New Roman"/>
          <w:b/>
          <w:bCs/>
          <w:sz w:val="20"/>
          <w:szCs w:val="20"/>
          <w:vertAlign w:val="superscript"/>
          <w:lang w:val="en-US"/>
        </w:rPr>
        <w:t>th</w:t>
      </w:r>
      <w:r>
        <w:rPr>
          <w:rFonts w:ascii="Times New Roman" w:hAnsi="Times New Roman"/>
          <w:b/>
          <w:bCs/>
          <w:sz w:val="20"/>
          <w:szCs w:val="20"/>
          <w:lang w:val="en-US"/>
        </w:rPr>
        <w:t xml:space="preserve"> HARQ processes).</w:t>
      </w:r>
    </w:p>
    <w:p w:rsidR="00D0451A" w:rsidRDefault="00D0451A">
      <w:pPr>
        <w:keepNext/>
        <w:keepLines/>
        <w:jc w:val="both"/>
        <w:rPr>
          <w:b/>
          <w:bCs/>
          <w:highlight w:val="yellow"/>
        </w:rPr>
      </w:pPr>
    </w:p>
    <w:p w:rsidR="00D0451A" w:rsidRDefault="002A5230">
      <w:pPr>
        <w:keepNext/>
        <w:keepLines/>
        <w:jc w:val="both"/>
        <w:rPr>
          <w:b/>
          <w:bCs/>
        </w:rPr>
      </w:pPr>
      <w:r>
        <w:rPr>
          <w:b/>
          <w:bCs/>
          <w:highlight w:val="yellow"/>
        </w:rPr>
        <w:t>Potential Agreement#6:</w:t>
      </w:r>
    </w:p>
    <w:p w:rsidR="00D0451A" w:rsidRDefault="002A5230">
      <w:pPr>
        <w:jc w:val="both"/>
        <w:rPr>
          <w:rFonts w:eastAsia="Calibri"/>
          <w:b/>
          <w:bCs/>
          <w:lang w:val="en-US" w:eastAsia="en-US"/>
        </w:rPr>
      </w:pPr>
      <w:r>
        <w:rPr>
          <w:rFonts w:eastAsia="Calibri"/>
          <w:b/>
          <w:bCs/>
          <w:lang w:val="en-US" w:eastAsia="en-US"/>
        </w:rPr>
        <w:t>In Rel-17, for the 14 HARQ processes feature the following updates on the technical specification are to be performed.</w:t>
      </w:r>
    </w:p>
    <w:p w:rsidR="00D0451A" w:rsidRDefault="002A5230">
      <w:pPr>
        <w:pStyle w:val="afc"/>
        <w:numPr>
          <w:ilvl w:val="0"/>
          <w:numId w:val="18"/>
        </w:numPr>
        <w:jc w:val="both"/>
        <w:rPr>
          <w:rFonts w:ascii="Times New Roman" w:hAnsi="Times New Roman"/>
          <w:b/>
          <w:bCs/>
          <w:sz w:val="20"/>
          <w:szCs w:val="20"/>
          <w:lang w:val="en-US"/>
        </w:rPr>
      </w:pPr>
      <w:r>
        <w:rPr>
          <w:rFonts w:ascii="Times New Roman" w:hAnsi="Times New Roman"/>
          <w:b/>
          <w:bCs/>
          <w:sz w:val="20"/>
          <w:szCs w:val="20"/>
          <w:lang w:val="en-US"/>
        </w:rPr>
        <w:t>The maximum number of received PDSCH receptions pending HARQ-ACK is set to W = 12 (in Sect. 7.3.1 of TS 36.213) when the UE is configured with 14 HARQ processes.</w:t>
      </w:r>
    </w:p>
    <w:p w:rsidR="00D0451A" w:rsidRDefault="00D0451A">
      <w:pPr>
        <w:rPr>
          <w:lang w:val="en-US"/>
        </w:rPr>
      </w:pPr>
    </w:p>
    <w:p w:rsidR="00D0451A" w:rsidRDefault="002A5230">
      <w:pPr>
        <w:jc w:val="both"/>
        <w:rPr>
          <w:lang w:val="en-US"/>
        </w:rPr>
      </w:pPr>
      <w:r>
        <w:rPr>
          <w:lang w:val="en-US"/>
        </w:rPr>
        <w:t>Companies are kindly requested to provide their views below:</w:t>
      </w:r>
    </w:p>
    <w:tbl>
      <w:tblPr>
        <w:tblStyle w:val="af4"/>
        <w:tblW w:w="0" w:type="auto"/>
        <w:tblLook w:val="04A0" w:firstRow="1" w:lastRow="0" w:firstColumn="1" w:lastColumn="0" w:noHBand="0" w:noVBand="1"/>
      </w:tblPr>
      <w:tblGrid>
        <w:gridCol w:w="1413"/>
        <w:gridCol w:w="2551"/>
        <w:gridCol w:w="5665"/>
      </w:tblGrid>
      <w:tr w:rsidR="00D0451A">
        <w:tc>
          <w:tcPr>
            <w:tcW w:w="1413" w:type="dxa"/>
          </w:tcPr>
          <w:p w:rsidR="00D0451A" w:rsidRDefault="002A5230">
            <w:pPr>
              <w:jc w:val="center"/>
              <w:rPr>
                <w:b/>
                <w:bCs/>
                <w:sz w:val="18"/>
                <w:szCs w:val="18"/>
                <w:lang w:val="de-DE"/>
              </w:rPr>
            </w:pPr>
            <w:r>
              <w:rPr>
                <w:b/>
                <w:bCs/>
                <w:sz w:val="18"/>
                <w:szCs w:val="18"/>
                <w:lang w:val="de-DE"/>
              </w:rPr>
              <w:t>Company</w:t>
            </w:r>
          </w:p>
        </w:tc>
        <w:tc>
          <w:tcPr>
            <w:tcW w:w="2551" w:type="dxa"/>
          </w:tcPr>
          <w:p w:rsidR="00D0451A" w:rsidRDefault="002A5230">
            <w:pPr>
              <w:rPr>
                <w:b/>
                <w:bCs/>
                <w:sz w:val="18"/>
                <w:szCs w:val="18"/>
                <w:lang w:val="de-DE"/>
              </w:rPr>
            </w:pPr>
            <w:r>
              <w:rPr>
                <w:b/>
                <w:bCs/>
                <w:sz w:val="18"/>
                <w:szCs w:val="18"/>
                <w:lang w:val="de-DE"/>
              </w:rPr>
              <w:t>Please confirm that Potential Conclusion#1, Potential Agreement#4, #5, and #6 can be agreed.</w:t>
            </w:r>
          </w:p>
        </w:tc>
        <w:tc>
          <w:tcPr>
            <w:tcW w:w="5665" w:type="dxa"/>
          </w:tcPr>
          <w:p w:rsidR="00D0451A" w:rsidRDefault="002A5230">
            <w:pPr>
              <w:jc w:val="center"/>
              <w:rPr>
                <w:b/>
                <w:bCs/>
                <w:sz w:val="18"/>
                <w:szCs w:val="18"/>
                <w:lang w:val="de-DE"/>
              </w:rPr>
            </w:pPr>
            <w:r>
              <w:rPr>
                <w:b/>
                <w:bCs/>
                <w:sz w:val="18"/>
                <w:szCs w:val="18"/>
                <w:lang w:val="de-DE"/>
              </w:rPr>
              <w:t xml:space="preserve">Comments </w:t>
            </w:r>
          </w:p>
        </w:tc>
      </w:tr>
      <w:tr w:rsidR="00D0451A">
        <w:tc>
          <w:tcPr>
            <w:tcW w:w="1413" w:type="dxa"/>
          </w:tcPr>
          <w:p w:rsidR="00D0451A" w:rsidRDefault="002A5230">
            <w:pPr>
              <w:rPr>
                <w:rFonts w:asciiTheme="minorHAnsi" w:eastAsia="等线" w:hAnsiTheme="minorHAnsi" w:cstheme="minorHAnsi"/>
                <w:bCs/>
                <w:lang w:val="de-DE" w:eastAsia="zh-CN"/>
              </w:rPr>
            </w:pPr>
            <w:r>
              <w:rPr>
                <w:rFonts w:asciiTheme="minorHAnsi" w:eastAsia="等线" w:hAnsiTheme="minorHAnsi" w:cstheme="minorHAnsi" w:hint="eastAsia"/>
                <w:bCs/>
                <w:lang w:val="de-DE" w:eastAsia="zh-CN"/>
              </w:rPr>
              <w:t>Lenovo</w:t>
            </w:r>
            <w:r>
              <w:rPr>
                <w:rFonts w:asciiTheme="minorHAnsi" w:eastAsia="等线" w:hAnsiTheme="minorHAnsi" w:cstheme="minorHAnsi"/>
                <w:bCs/>
                <w:lang w:val="de-DE" w:eastAsia="zh-CN"/>
              </w:rPr>
              <w:t>, MotoM</w:t>
            </w:r>
          </w:p>
        </w:tc>
        <w:tc>
          <w:tcPr>
            <w:tcW w:w="2551" w:type="dxa"/>
          </w:tcPr>
          <w:p w:rsidR="00D0451A" w:rsidRDefault="002A5230">
            <w:pPr>
              <w:jc w:val="center"/>
              <w:rPr>
                <w:rFonts w:asciiTheme="minorHAnsi" w:eastAsia="等线" w:hAnsiTheme="minorHAnsi" w:cstheme="minorHAnsi"/>
                <w:bCs/>
                <w:lang w:val="de-DE" w:eastAsia="zh-CN"/>
              </w:rPr>
            </w:pPr>
            <w:r>
              <w:rPr>
                <w:rFonts w:asciiTheme="minorHAnsi" w:eastAsia="等线" w:hAnsiTheme="minorHAnsi" w:cstheme="minorHAnsi" w:hint="eastAsia"/>
                <w:bCs/>
                <w:lang w:val="de-DE" w:eastAsia="zh-CN"/>
              </w:rPr>
              <w:t>S</w:t>
            </w:r>
            <w:r>
              <w:rPr>
                <w:rFonts w:asciiTheme="minorHAnsi" w:eastAsia="等线" w:hAnsiTheme="minorHAnsi" w:cstheme="minorHAnsi"/>
                <w:bCs/>
                <w:lang w:val="de-DE" w:eastAsia="zh-CN"/>
              </w:rPr>
              <w:t>upport</w:t>
            </w:r>
          </w:p>
        </w:tc>
        <w:tc>
          <w:tcPr>
            <w:tcW w:w="5665" w:type="dxa"/>
          </w:tcPr>
          <w:p w:rsidR="00D0451A" w:rsidRDefault="00D0451A">
            <w:pPr>
              <w:jc w:val="both"/>
              <w:rPr>
                <w:rFonts w:asciiTheme="minorHAnsi" w:eastAsia="等线" w:hAnsiTheme="minorHAnsi" w:cstheme="minorHAnsi"/>
                <w:bCs/>
                <w:lang w:val="de-DE" w:eastAsia="zh-CN"/>
              </w:rPr>
            </w:pPr>
          </w:p>
        </w:tc>
      </w:tr>
      <w:tr w:rsidR="00D0451A">
        <w:tc>
          <w:tcPr>
            <w:tcW w:w="1413" w:type="dxa"/>
          </w:tcPr>
          <w:p w:rsidR="00D0451A" w:rsidRDefault="002A5230">
            <w:pPr>
              <w:rPr>
                <w:rFonts w:asciiTheme="minorHAnsi" w:eastAsia="等线" w:hAnsiTheme="minorHAnsi" w:cstheme="minorHAnsi"/>
                <w:bCs/>
                <w:lang w:val="en-US" w:eastAsia="zh-CN"/>
              </w:rPr>
            </w:pPr>
            <w:r>
              <w:rPr>
                <w:rFonts w:asciiTheme="minorHAnsi" w:eastAsia="等线" w:hAnsiTheme="minorHAnsi" w:cstheme="minorHAnsi" w:hint="eastAsia"/>
                <w:bCs/>
                <w:lang w:val="en-US" w:eastAsia="zh-CN"/>
              </w:rPr>
              <w:t>ZTE, Sanechips</w:t>
            </w:r>
          </w:p>
        </w:tc>
        <w:tc>
          <w:tcPr>
            <w:tcW w:w="2551" w:type="dxa"/>
          </w:tcPr>
          <w:p w:rsidR="00D0451A" w:rsidRDefault="002A5230">
            <w:pPr>
              <w:jc w:val="center"/>
              <w:rPr>
                <w:rFonts w:asciiTheme="minorHAnsi" w:eastAsia="等线" w:hAnsiTheme="minorHAnsi" w:cstheme="minorHAnsi"/>
                <w:bCs/>
                <w:lang w:val="en-US" w:eastAsia="zh-CN"/>
              </w:rPr>
            </w:pPr>
            <w:r>
              <w:rPr>
                <w:rFonts w:asciiTheme="minorHAnsi" w:eastAsia="等线" w:hAnsiTheme="minorHAnsi" w:cstheme="minorHAnsi" w:hint="eastAsia"/>
                <w:bCs/>
                <w:lang w:val="en-US" w:eastAsia="zh-CN"/>
              </w:rPr>
              <w:t xml:space="preserve">Support </w:t>
            </w:r>
          </w:p>
        </w:tc>
        <w:tc>
          <w:tcPr>
            <w:tcW w:w="5665" w:type="dxa"/>
          </w:tcPr>
          <w:p w:rsidR="00D0451A" w:rsidRDefault="00D0451A">
            <w:pPr>
              <w:jc w:val="both"/>
              <w:rPr>
                <w:rFonts w:asciiTheme="minorHAnsi" w:eastAsia="等线" w:hAnsiTheme="minorHAnsi" w:cstheme="minorHAnsi"/>
                <w:bCs/>
                <w:lang w:val="de-DE" w:eastAsia="zh-CN"/>
              </w:rPr>
            </w:pPr>
          </w:p>
        </w:tc>
      </w:tr>
    </w:tbl>
    <w:p w:rsidR="00D0451A" w:rsidRDefault="00D0451A"/>
    <w:p w:rsidR="00D0451A" w:rsidRDefault="002A5230">
      <w:pPr>
        <w:pStyle w:val="21"/>
      </w:pPr>
      <w:r>
        <w:t>2.2</w:t>
      </w:r>
      <w:r>
        <w:tab/>
        <w:t xml:space="preserve">Open issues </w:t>
      </w:r>
    </w:p>
    <w:p w:rsidR="00D0451A" w:rsidRDefault="002A5230">
      <w:r>
        <w:t xml:space="preserve">In subsections below refer to set of issues that require a further discussion. </w:t>
      </w:r>
    </w:p>
    <w:p w:rsidR="00D0451A" w:rsidRDefault="002A5230">
      <w:pPr>
        <w:pStyle w:val="31"/>
        <w:rPr>
          <w:lang w:val="en-US"/>
        </w:rPr>
      </w:pPr>
      <w:r>
        <w:rPr>
          <w:lang w:val="en-US"/>
        </w:rPr>
        <w:t>2.2.1</w:t>
      </w:r>
      <w:r>
        <w:rPr>
          <w:lang w:val="en-US"/>
        </w:rPr>
        <w:tab/>
        <w:t>“Repetition number” field: 2 bits</w:t>
      </w:r>
    </w:p>
    <w:p w:rsidR="00D0451A" w:rsidRDefault="002A5230">
      <w:pPr>
        <w:jc w:val="both"/>
        <w:rPr>
          <w:lang w:val="en-US"/>
        </w:rPr>
      </w:pPr>
      <w:r>
        <w:rPr>
          <w:lang w:val="en-US"/>
        </w:rPr>
        <w:t>Background: During the GTW session it was discussed whether the “Repetition number” field can be set to zero for the 14 HARQ processes feature as to make use of it for joint-encoding purposes. The following three options were considered:</w:t>
      </w:r>
    </w:p>
    <w:p w:rsidR="00D0451A" w:rsidRDefault="002A5230">
      <w:pPr>
        <w:keepNext/>
        <w:keepLines/>
        <w:jc w:val="both"/>
        <w:rPr>
          <w:b/>
          <w:bCs/>
        </w:rPr>
      </w:pPr>
      <w:r>
        <w:rPr>
          <w:b/>
          <w:bCs/>
          <w:highlight w:val="yellow"/>
        </w:rPr>
        <w:t>Potential Agreement#2:</w:t>
      </w:r>
    </w:p>
    <w:p w:rsidR="00D0451A" w:rsidRDefault="002A5230">
      <w:pPr>
        <w:pStyle w:val="xmsonormal"/>
        <w:jc w:val="both"/>
        <w:rPr>
          <w:lang w:val="en-US"/>
        </w:rPr>
      </w:pPr>
      <w:r>
        <w:rPr>
          <w:rFonts w:ascii="Times" w:hAnsi="Times" w:cs="Times"/>
          <w:b/>
          <w:bCs/>
          <w:sz w:val="20"/>
          <w:szCs w:val="20"/>
          <w:lang w:val="en-US"/>
        </w:rPr>
        <w:t>In Rel-17, for the 14 HARQ processes feature the “Repetition number” field is:</w:t>
      </w:r>
    </w:p>
    <w:p w:rsidR="00D0451A" w:rsidRDefault="002A5230">
      <w:pPr>
        <w:pStyle w:val="xmsonormal"/>
        <w:spacing w:line="252" w:lineRule="auto"/>
        <w:ind w:left="720" w:hanging="360"/>
        <w:jc w:val="both"/>
        <w:rPr>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Opt-1: 0-bits when the “HARQ-ACK bundling flag” is set to 1 (i.e., 2-bits from this field become available for jointly-encoding purposes).</w:t>
      </w:r>
    </w:p>
    <w:p w:rsidR="00D0451A" w:rsidRDefault="002A5230">
      <w:pPr>
        <w:pStyle w:val="xmsonormal"/>
        <w:spacing w:line="252" w:lineRule="auto"/>
        <w:ind w:left="720" w:hanging="360"/>
        <w:jc w:val="both"/>
        <w:rPr>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Opt-2: 0-bits when the 14 HARQ processes feature is configured (i.e., 2-bits from this field become available for jointly-encoding purposes).</w:t>
      </w:r>
    </w:p>
    <w:p w:rsidR="00D0451A" w:rsidRDefault="002A5230">
      <w:pPr>
        <w:pStyle w:val="xmsonormal"/>
        <w:spacing w:line="252" w:lineRule="auto"/>
        <w:ind w:left="720" w:hanging="360"/>
        <w:jc w:val="both"/>
        <w:rPr>
          <w:rFonts w:ascii="Times New Roman" w:hAnsi="Times New Roman" w:cs="Times New Roman"/>
          <w:b/>
          <w:bCs/>
          <w:sz w:val="20"/>
          <w:szCs w:val="20"/>
          <w:lang w:val="en-US"/>
        </w:rPr>
      </w:pPr>
      <w:r>
        <w:rPr>
          <w:rFonts w:ascii="Symbol" w:hAnsi="Symbol"/>
          <w:sz w:val="20"/>
          <w:szCs w:val="20"/>
        </w:rPr>
        <w:t></w:t>
      </w:r>
      <w:r>
        <w:rPr>
          <w:rFonts w:ascii="Times New Roman" w:hAnsi="Times New Roman" w:cs="Times New Roman"/>
          <w:sz w:val="14"/>
          <w:szCs w:val="14"/>
          <w:lang w:val="en-US"/>
        </w:rPr>
        <w:t>        </w:t>
      </w:r>
      <w:r>
        <w:rPr>
          <w:rFonts w:ascii="Times New Roman" w:hAnsi="Times New Roman" w:cs="Times New Roman"/>
          <w:b/>
          <w:bCs/>
          <w:sz w:val="20"/>
          <w:szCs w:val="20"/>
          <w:lang w:val="en-US"/>
        </w:rPr>
        <w:t>Opt-3: 2-bits as in legacy.</w:t>
      </w:r>
    </w:p>
    <w:p w:rsidR="00D0451A" w:rsidRDefault="00D0451A">
      <w:pPr>
        <w:jc w:val="both"/>
        <w:rPr>
          <w:lang w:val="en-US"/>
        </w:rPr>
      </w:pPr>
    </w:p>
    <w:p w:rsidR="00D0451A" w:rsidRDefault="002A5230">
      <w:pPr>
        <w:jc w:val="both"/>
        <w:rPr>
          <w:lang w:val="en-US"/>
        </w:rPr>
      </w:pPr>
      <w:r>
        <w:rPr>
          <w:lang w:val="en-US"/>
        </w:rPr>
        <w:t>During the GTW session there were two trends, companies that think that is important to keep usable the “Repetition number” field (as per Opt-1 or Opt-3), and companies that prefer to set the “Repetition number” field to zero-bits from the moment the 14 HARQ processes feature is configured (which means that the “Repetition number” field would remain unusable as long as the 14 HARQ processes feature is configured).</w:t>
      </w:r>
    </w:p>
    <w:p w:rsidR="00D0451A" w:rsidRDefault="002A5230">
      <w:pPr>
        <w:jc w:val="both"/>
        <w:rPr>
          <w:lang w:val="en-US"/>
        </w:rPr>
      </w:pPr>
      <w:r>
        <w:rPr>
          <w:lang w:val="en-US"/>
        </w:rPr>
        <w:t xml:space="preserve">Towards the end of the GTW session there was a comment questioning whether Opt-3 will require any modification on the PDSCH scheduling delay and HARQ-ACK delay expressions, the online time of the GTW session ran-out and it was </w:t>
      </w:r>
      <w:r>
        <w:rPr>
          <w:lang w:val="en-US"/>
        </w:rPr>
        <w:lastRenderedPageBreak/>
        <w:t>no time to answer. In relation with it, below there is an illustration showing that keeping usable the “Repetition number” field will not require any additional modification.</w:t>
      </w:r>
    </w:p>
    <w:p w:rsidR="00D0451A" w:rsidRDefault="002A5230">
      <w:pPr>
        <w:pStyle w:val="afc"/>
        <w:numPr>
          <w:ilvl w:val="0"/>
          <w:numId w:val="19"/>
        </w:numPr>
        <w:jc w:val="both"/>
        <w:rPr>
          <w:rFonts w:ascii="Times New Roman" w:eastAsia="宋体" w:hAnsi="Times New Roman"/>
          <w:sz w:val="20"/>
          <w:szCs w:val="20"/>
          <w:lang w:val="en-US" w:eastAsia="ja-JP"/>
        </w:rPr>
      </w:pPr>
      <w:r>
        <w:rPr>
          <w:rFonts w:ascii="Times New Roman" w:eastAsia="宋体" w:hAnsi="Times New Roman"/>
          <w:sz w:val="20"/>
          <w:szCs w:val="20"/>
          <w:lang w:val="en-US" w:eastAsia="ja-JP"/>
        </w:rPr>
        <w:t>PDSCH scheduling delay used along with HARQ-ACK delay configured with Alt-1</w:t>
      </w:r>
    </w:p>
    <w:p w:rsidR="00D0451A" w:rsidRDefault="00D0451A">
      <w:pPr>
        <w:pStyle w:val="afc"/>
        <w:jc w:val="both"/>
        <w:rPr>
          <w:rFonts w:ascii="Times New Roman" w:eastAsia="宋体" w:hAnsi="Times New Roman"/>
          <w:sz w:val="20"/>
          <w:szCs w:val="20"/>
          <w:lang w:val="en-US" w:eastAsia="ja-JP"/>
        </w:rPr>
      </w:pPr>
    </w:p>
    <w:p w:rsidR="00D0451A" w:rsidRDefault="002A5230">
      <w:pPr>
        <w:pStyle w:val="afc"/>
        <w:numPr>
          <w:ilvl w:val="0"/>
          <w:numId w:val="20"/>
        </w:numPr>
        <w:jc w:val="both"/>
        <w:rPr>
          <w:rFonts w:ascii="Times New Roman" w:eastAsia="宋体" w:hAnsi="Times New Roman"/>
          <w:sz w:val="20"/>
          <w:szCs w:val="20"/>
          <w:lang w:val="en-US" w:eastAsia="ja-JP"/>
        </w:rPr>
      </w:pPr>
      <w:r>
        <w:rPr>
          <w:rFonts w:ascii="Times New Roman" w:eastAsia="宋体" w:hAnsi="Times New Roman"/>
          <w:sz w:val="20"/>
          <w:szCs w:val="20"/>
          <w:lang w:val="en-US" w:eastAsia="ja-JP"/>
        </w:rPr>
        <w:t>Handling of the 11th HARQ process (associated to MPDCCH#10 and PDSCH#10) in a single HARQ process scenario without PDSCH repetition:</w:t>
      </w:r>
    </w:p>
    <w:p w:rsidR="00D0451A" w:rsidRDefault="00D0451A">
      <w:pPr>
        <w:pStyle w:val="afc"/>
        <w:ind w:left="1080"/>
        <w:jc w:val="both"/>
        <w:rPr>
          <w:rFonts w:eastAsia="等线"/>
          <w:lang w:val="en-US" w:eastAsia="zh-CN"/>
        </w:rPr>
      </w:pPr>
    </w:p>
    <w:tbl>
      <w:tblPr>
        <w:tblW w:w="0" w:type="auto"/>
        <w:tblCellMar>
          <w:left w:w="0" w:type="dxa"/>
          <w:right w:w="0" w:type="dxa"/>
        </w:tblCellMar>
        <w:tblLook w:val="04A0" w:firstRow="1" w:lastRow="0" w:firstColumn="1" w:lastColumn="0" w:noHBand="0" w:noVBand="1"/>
      </w:tblPr>
      <w:tblGrid>
        <w:gridCol w:w="1061"/>
        <w:gridCol w:w="376"/>
        <w:gridCol w:w="376"/>
        <w:gridCol w:w="296"/>
        <w:gridCol w:w="296"/>
        <w:gridCol w:w="296"/>
        <w:gridCol w:w="296"/>
        <w:gridCol w:w="296"/>
        <w:gridCol w:w="296"/>
        <w:gridCol w:w="296"/>
        <w:gridCol w:w="296"/>
        <w:gridCol w:w="376"/>
        <w:gridCol w:w="376"/>
        <w:gridCol w:w="376"/>
        <w:gridCol w:w="376"/>
        <w:gridCol w:w="376"/>
        <w:gridCol w:w="376"/>
        <w:gridCol w:w="376"/>
        <w:gridCol w:w="376"/>
        <w:gridCol w:w="376"/>
        <w:gridCol w:w="376"/>
        <w:gridCol w:w="376"/>
        <w:gridCol w:w="376"/>
        <w:gridCol w:w="376"/>
        <w:gridCol w:w="264"/>
        <w:gridCol w:w="286"/>
      </w:tblGrid>
      <w:tr w:rsidR="00D0451A">
        <w:trPr>
          <w:trHeight w:val="290"/>
        </w:trPr>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both"/>
              <w:rPr>
                <w:color w:val="000000"/>
                <w:sz w:val="16"/>
                <w:szCs w:val="16"/>
                <w:lang w:val="en-US" w:eastAsia="zh-CN"/>
              </w:rPr>
            </w:pPr>
            <w:r>
              <w:rPr>
                <w:color w:val="000000"/>
                <w:sz w:val="16"/>
                <w:szCs w:val="16"/>
                <w:lang w:val="en-US" w:eastAsia="zh-CN"/>
              </w:rPr>
              <w:t>subframe #</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0</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1</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2</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3</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4</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5</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6</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7</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8</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9</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10</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11</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12</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13</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14</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15</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16</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17</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18</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19</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20</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21</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22</w:t>
            </w:r>
          </w:p>
        </w:tc>
        <w:tc>
          <w:tcPr>
            <w:tcW w:w="264" w:type="dxa"/>
            <w:tcBorders>
              <w:top w:val="single" w:sz="8" w:space="0" w:color="auto"/>
              <w:left w:val="nil"/>
              <w:bottom w:val="single" w:sz="8" w:space="0" w:color="auto"/>
              <w:right w:val="single" w:sz="8" w:space="0" w:color="auto"/>
            </w:tcBorders>
          </w:tcPr>
          <w:p w:rsidR="00D0451A" w:rsidRDefault="00D0451A">
            <w:pPr>
              <w:keepNext/>
              <w:keepLines/>
              <w:jc w:val="center"/>
              <w:rPr>
                <w:color w:val="000000"/>
                <w:sz w:val="16"/>
                <w:szCs w:val="16"/>
                <w:lang w:val="en-US" w:eastAsia="zh-CN"/>
              </w:rPr>
            </w:pPr>
          </w:p>
          <w:p w:rsidR="00D0451A" w:rsidRDefault="002A5230">
            <w:pPr>
              <w:keepNext/>
              <w:keepLines/>
              <w:jc w:val="center"/>
              <w:rPr>
                <w:color w:val="000000"/>
                <w:sz w:val="16"/>
                <w:szCs w:val="16"/>
                <w:lang w:val="en-US" w:eastAsia="zh-CN"/>
              </w:rPr>
            </w:pPr>
            <w:r>
              <w:rPr>
                <w:color w:val="000000"/>
                <w:sz w:val="16"/>
                <w:szCs w:val="16"/>
                <w:lang w:val="en-US" w:eastAsia="zh-CN"/>
              </w:rPr>
              <w:t>23</w:t>
            </w:r>
          </w:p>
        </w:tc>
        <w:tc>
          <w:tcPr>
            <w:tcW w:w="286" w:type="dxa"/>
            <w:tcBorders>
              <w:top w:val="single" w:sz="8" w:space="0" w:color="auto"/>
              <w:left w:val="nil"/>
              <w:bottom w:val="single" w:sz="8" w:space="0" w:color="auto"/>
              <w:right w:val="single" w:sz="8" w:space="0" w:color="auto"/>
            </w:tcBorders>
          </w:tcPr>
          <w:p w:rsidR="00D0451A" w:rsidRDefault="00D0451A">
            <w:pPr>
              <w:keepNext/>
              <w:keepLines/>
              <w:jc w:val="center"/>
              <w:rPr>
                <w:color w:val="000000"/>
                <w:sz w:val="16"/>
                <w:szCs w:val="16"/>
                <w:lang w:val="en-US" w:eastAsia="zh-CN"/>
              </w:rPr>
            </w:pPr>
          </w:p>
          <w:p w:rsidR="00D0451A" w:rsidRDefault="002A5230">
            <w:pPr>
              <w:keepNext/>
              <w:keepLines/>
              <w:jc w:val="center"/>
              <w:rPr>
                <w:color w:val="000000"/>
                <w:sz w:val="16"/>
                <w:szCs w:val="16"/>
                <w:lang w:val="en-US" w:eastAsia="zh-CN"/>
              </w:rPr>
            </w:pPr>
            <w:r>
              <w:rPr>
                <w:color w:val="000000"/>
                <w:sz w:val="16"/>
                <w:szCs w:val="16"/>
                <w:lang w:val="en-US" w:eastAsia="zh-CN"/>
              </w:rPr>
              <w:t>24</w:t>
            </w:r>
          </w:p>
        </w:tc>
      </w:tr>
      <w:tr w:rsidR="00D0451A">
        <w:trPr>
          <w:trHeight w:val="29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rPr>
                <w:color w:val="000000"/>
                <w:sz w:val="16"/>
                <w:szCs w:val="16"/>
                <w:lang w:val="en-US" w:eastAsia="zh-CN"/>
              </w:rPr>
            </w:pPr>
            <w:r>
              <w:rPr>
                <w:color w:val="000000"/>
                <w:sz w:val="16"/>
                <w:szCs w:val="16"/>
                <w:lang w:val="en-US" w:eastAsia="zh-CN"/>
              </w:rPr>
              <w:t>MPDCCH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ED7D31"/>
                <w:sz w:val="16"/>
                <w:szCs w:val="16"/>
                <w:lang w:val="en-US" w:eastAsia="zh-CN"/>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D0451A">
            <w:pPr>
              <w:keepNext/>
              <w:keepLines/>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rPr>
                <w:rFonts w:ascii="Calibri" w:hAnsi="Calibri" w:cs="Calibri"/>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rPr>
                <w:rFonts w:asciiTheme="minorHAnsi" w:hAnsiTheme="minorHAnsi" w:cstheme="minorBidi"/>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rPr>
                <w:color w:val="000000"/>
                <w:sz w:val="16"/>
                <w:szCs w:val="16"/>
                <w:lang w:val="en-US" w:eastAsia="zh-CN"/>
              </w:rPr>
            </w:pPr>
            <w:r>
              <w:rPr>
                <w:color w:val="000000"/>
                <w:sz w:val="16"/>
                <w:szCs w:val="16"/>
                <w:lang w:val="en-US" w:eastAsia="zh-CN"/>
              </w:rPr>
              <w:t> </w:t>
            </w:r>
          </w:p>
        </w:tc>
        <w:tc>
          <w:tcPr>
            <w:tcW w:w="264" w:type="dxa"/>
            <w:tcBorders>
              <w:top w:val="nil"/>
              <w:left w:val="nil"/>
              <w:bottom w:val="single" w:sz="8" w:space="0" w:color="auto"/>
              <w:right w:val="single" w:sz="8" w:space="0" w:color="auto"/>
            </w:tcBorders>
          </w:tcPr>
          <w:p w:rsidR="00D0451A" w:rsidRDefault="00D0451A">
            <w:pPr>
              <w:keepNext/>
              <w:keepLines/>
              <w:jc w:val="center"/>
              <w:rPr>
                <w:color w:val="000000"/>
                <w:sz w:val="16"/>
                <w:szCs w:val="16"/>
                <w:lang w:val="en-US" w:eastAsia="zh-CN"/>
              </w:rPr>
            </w:pPr>
          </w:p>
        </w:tc>
        <w:tc>
          <w:tcPr>
            <w:tcW w:w="286" w:type="dxa"/>
            <w:tcBorders>
              <w:top w:val="nil"/>
              <w:left w:val="nil"/>
              <w:bottom w:val="single" w:sz="8" w:space="0" w:color="auto"/>
              <w:right w:val="single" w:sz="8" w:space="0" w:color="auto"/>
            </w:tcBorders>
          </w:tcPr>
          <w:p w:rsidR="00D0451A" w:rsidRDefault="00D0451A">
            <w:pPr>
              <w:keepNext/>
              <w:keepLines/>
              <w:jc w:val="center"/>
              <w:rPr>
                <w:color w:val="000000"/>
                <w:sz w:val="16"/>
                <w:szCs w:val="16"/>
                <w:lang w:val="en-US" w:eastAsia="zh-CN"/>
              </w:rPr>
            </w:pPr>
          </w:p>
        </w:tc>
      </w:tr>
      <w:tr w:rsidR="00D0451A">
        <w:trPr>
          <w:trHeight w:val="29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rPr>
                <w:color w:val="000000"/>
                <w:sz w:val="16"/>
                <w:szCs w:val="16"/>
                <w:lang w:val="en-US" w:eastAsia="zh-CN"/>
              </w:rPr>
            </w:pPr>
            <w:r>
              <w:rPr>
                <w:color w:val="000000"/>
                <w:sz w:val="16"/>
                <w:szCs w:val="16"/>
                <w:lang w:val="en-US" w:eastAsia="zh-CN"/>
              </w:rPr>
              <w:t>PDSCH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ED7D31"/>
                <w:sz w:val="16"/>
                <w:szCs w:val="16"/>
                <w:lang w:val="en-US" w:eastAsia="zh-CN"/>
              </w:rPr>
            </w:pPr>
            <w:r>
              <w:rPr>
                <w:color w:val="ED7D31"/>
                <w:sz w:val="16"/>
                <w:szCs w:val="16"/>
                <w:lang w:val="en-US" w:eastAsia="zh-CN"/>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D0451A">
            <w:pPr>
              <w:keepNext/>
              <w:keepLines/>
              <w:rPr>
                <w:color w:val="ED7D31"/>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D0451A">
            <w:pPr>
              <w:keepNext/>
              <w:keepLines/>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D0451A">
            <w:pPr>
              <w:keepNext/>
              <w:keepLines/>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D0451A">
            <w:pPr>
              <w:keepNext/>
              <w:keepLines/>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D0451A">
            <w:pPr>
              <w:keepNext/>
              <w:keepLines/>
              <w:rPr>
                <w:color w:val="000000"/>
                <w:sz w:val="16"/>
                <w:szCs w:val="16"/>
                <w:lang w:val="en-US" w:eastAsia="zh-CN"/>
              </w:rPr>
            </w:pPr>
          </w:p>
        </w:tc>
        <w:tc>
          <w:tcPr>
            <w:tcW w:w="264" w:type="dxa"/>
            <w:tcBorders>
              <w:top w:val="nil"/>
              <w:left w:val="nil"/>
              <w:bottom w:val="single" w:sz="8" w:space="0" w:color="auto"/>
              <w:right w:val="single" w:sz="8" w:space="0" w:color="auto"/>
            </w:tcBorders>
          </w:tcPr>
          <w:p w:rsidR="00D0451A" w:rsidRDefault="00D0451A">
            <w:pPr>
              <w:keepNext/>
              <w:keepLines/>
              <w:jc w:val="center"/>
              <w:rPr>
                <w:color w:val="000000"/>
                <w:sz w:val="16"/>
                <w:szCs w:val="16"/>
                <w:lang w:val="en-US" w:eastAsia="zh-CN"/>
              </w:rPr>
            </w:pPr>
          </w:p>
        </w:tc>
        <w:tc>
          <w:tcPr>
            <w:tcW w:w="286" w:type="dxa"/>
            <w:tcBorders>
              <w:top w:val="nil"/>
              <w:left w:val="nil"/>
              <w:bottom w:val="single" w:sz="8" w:space="0" w:color="auto"/>
              <w:right w:val="single" w:sz="8" w:space="0" w:color="auto"/>
            </w:tcBorders>
          </w:tcPr>
          <w:p w:rsidR="00D0451A" w:rsidRDefault="00D0451A">
            <w:pPr>
              <w:keepNext/>
              <w:keepLines/>
              <w:jc w:val="center"/>
              <w:rPr>
                <w:color w:val="000000"/>
                <w:sz w:val="16"/>
                <w:szCs w:val="16"/>
                <w:lang w:val="en-US" w:eastAsia="zh-CN"/>
              </w:rPr>
            </w:pPr>
          </w:p>
        </w:tc>
      </w:tr>
      <w:tr w:rsidR="00D0451A">
        <w:trPr>
          <w:trHeight w:val="29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rPr>
                <w:color w:val="000000"/>
                <w:sz w:val="16"/>
                <w:szCs w:val="16"/>
                <w:lang w:val="en-US" w:eastAsia="zh-CN"/>
              </w:rPr>
            </w:pPr>
            <w:r>
              <w:rPr>
                <w:color w:val="000000"/>
                <w:sz w:val="16"/>
                <w:szCs w:val="16"/>
                <w:lang w:val="en-US" w:eastAsia="zh-CN"/>
              </w:rPr>
              <w:t>PUCCH#</w:t>
            </w:r>
          </w:p>
          <w:p w:rsidR="00D0451A" w:rsidRDefault="002A5230">
            <w:pPr>
              <w:keepNext/>
              <w:keepLines/>
              <w:rPr>
                <w:color w:val="000000"/>
                <w:sz w:val="16"/>
                <w:szCs w:val="16"/>
                <w:lang w:val="en-US" w:eastAsia="zh-CN"/>
              </w:rPr>
            </w:pPr>
            <w:r>
              <w:rPr>
                <w:color w:val="000000"/>
                <w:sz w:val="16"/>
                <w:szCs w:val="16"/>
                <w:lang w:val="en-US" w:eastAsia="zh-CN"/>
              </w:rPr>
              <w:t>HARQ-ACK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D0451A">
            <w:pPr>
              <w:keepNext/>
              <w:keepLines/>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D0451A">
            <w:pPr>
              <w:keepNext/>
              <w:keepLines/>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D0451A">
            <w:pPr>
              <w:keepNext/>
              <w:keepLines/>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keepNext/>
              <w:keepLines/>
              <w:rPr>
                <w:color w:val="000000"/>
                <w:sz w:val="16"/>
                <w:szCs w:val="16"/>
                <w:lang w:val="en-US" w:eastAsia="zh-CN"/>
              </w:rPr>
            </w:pPr>
            <w:r>
              <w:rPr>
                <w:color w:val="000000"/>
                <w:sz w:val="16"/>
                <w:szCs w:val="16"/>
                <w:lang w:val="en-US" w:eastAsia="zh-CN"/>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D0451A">
            <w:pPr>
              <w:keepNext/>
              <w:keepLines/>
              <w:rPr>
                <w:color w:val="000000"/>
                <w:sz w:val="16"/>
                <w:szCs w:val="16"/>
                <w:lang w:val="en-US" w:eastAsia="zh-CN"/>
              </w:rPr>
            </w:pPr>
          </w:p>
        </w:tc>
        <w:tc>
          <w:tcPr>
            <w:tcW w:w="264" w:type="dxa"/>
            <w:tcBorders>
              <w:top w:val="nil"/>
              <w:left w:val="nil"/>
              <w:bottom w:val="single" w:sz="8" w:space="0" w:color="auto"/>
              <w:right w:val="single" w:sz="8" w:space="0" w:color="auto"/>
            </w:tcBorders>
          </w:tcPr>
          <w:p w:rsidR="00D0451A" w:rsidRDefault="00D0451A">
            <w:pPr>
              <w:keepNext/>
              <w:keepLines/>
              <w:jc w:val="center"/>
              <w:rPr>
                <w:color w:val="000000"/>
                <w:sz w:val="16"/>
                <w:szCs w:val="16"/>
                <w:lang w:val="en-US" w:eastAsia="zh-CN"/>
              </w:rPr>
            </w:pPr>
          </w:p>
        </w:tc>
        <w:tc>
          <w:tcPr>
            <w:tcW w:w="286" w:type="dxa"/>
            <w:tcBorders>
              <w:top w:val="nil"/>
              <w:left w:val="nil"/>
              <w:bottom w:val="single" w:sz="8" w:space="0" w:color="auto"/>
              <w:right w:val="single" w:sz="8" w:space="0" w:color="auto"/>
            </w:tcBorders>
          </w:tcPr>
          <w:p w:rsidR="00D0451A" w:rsidRDefault="00D0451A">
            <w:pPr>
              <w:keepNext/>
              <w:keepLines/>
              <w:jc w:val="center"/>
              <w:rPr>
                <w:color w:val="000000"/>
                <w:sz w:val="16"/>
                <w:szCs w:val="16"/>
                <w:lang w:val="en-US" w:eastAsia="zh-CN"/>
              </w:rPr>
            </w:pPr>
          </w:p>
        </w:tc>
      </w:tr>
    </w:tbl>
    <w:p w:rsidR="00D0451A" w:rsidRDefault="002A5230">
      <w:pPr>
        <w:jc w:val="both"/>
        <w:rPr>
          <w:rFonts w:eastAsia="等线"/>
          <w:sz w:val="16"/>
          <w:szCs w:val="16"/>
          <w:lang w:val="en-US" w:eastAsia="zh-CN"/>
        </w:rPr>
      </w:pPr>
      <w:r>
        <w:rPr>
          <w:sz w:val="16"/>
          <w:szCs w:val="16"/>
          <w:lang w:val="en-US"/>
        </w:rPr>
        <w:t>Note: Recall that the minimum HARQ-ACK delay that can be used encompasses 4 subframes.</w:t>
      </w:r>
    </w:p>
    <w:p w:rsidR="00D0451A" w:rsidRDefault="002A5230">
      <w:pPr>
        <w:ind w:left="567" w:firstLine="360"/>
        <w:rPr>
          <w:lang w:val="en-US"/>
        </w:rPr>
      </w:pPr>
      <w:r>
        <w:rPr>
          <w:lang w:val="en-US"/>
        </w:rPr>
        <w:t>Let’s focus on MPDCCH#</w:t>
      </w:r>
      <w:r>
        <w:rPr>
          <w:color w:val="ED7D31" w:themeColor="accent2"/>
          <w:lang w:val="en-US"/>
        </w:rPr>
        <w:t>10</w:t>
      </w:r>
      <w:r>
        <w:rPr>
          <w:lang w:val="en-US"/>
        </w:rPr>
        <w:t xml:space="preserve"> &amp; PDSCH#</w:t>
      </w:r>
      <w:r>
        <w:rPr>
          <w:color w:val="ED7D31" w:themeColor="accent2"/>
          <w:lang w:val="en-US"/>
        </w:rPr>
        <w:t>10</w:t>
      </w:r>
      <w:r>
        <w:rPr>
          <w:lang w:val="en-US"/>
        </w:rPr>
        <w:t>:</w:t>
      </w:r>
    </w:p>
    <w:p w:rsidR="00D0451A" w:rsidRDefault="002A5230">
      <w:pPr>
        <w:pStyle w:val="afc"/>
        <w:numPr>
          <w:ilvl w:val="1"/>
          <w:numId w:val="21"/>
        </w:numPr>
        <w:overflowPunct/>
        <w:autoSpaceDE/>
        <w:autoSpaceDN/>
        <w:adjustRightInd/>
        <w:spacing w:line="240" w:lineRule="auto"/>
        <w:ind w:left="2007"/>
        <w:textAlignment w:val="auto"/>
        <w:rPr>
          <w:rFonts w:ascii="Times New Roman" w:eastAsia="宋体" w:hAnsi="Times New Roman"/>
          <w:sz w:val="20"/>
          <w:szCs w:val="20"/>
          <w:lang w:val="en-US" w:eastAsia="ja-JP"/>
        </w:rPr>
      </w:pPr>
      <w:r>
        <w:rPr>
          <w:rFonts w:ascii="Times New Roman" w:eastAsia="宋体" w:hAnsi="Times New Roman"/>
          <w:sz w:val="20"/>
          <w:szCs w:val="20"/>
          <w:lang w:val="en-US" w:eastAsia="ja-JP"/>
        </w:rPr>
        <w:t>The PDSCH scheduling delay is 1 BL/CE DL subframe + 1 subframe + 3 BL/CE UL subframes + 1 subframe + 1 BL/CE DL subframe.</w:t>
      </w:r>
    </w:p>
    <w:p w:rsidR="00D0451A" w:rsidRDefault="002A5230">
      <w:pPr>
        <w:pStyle w:val="afc"/>
        <w:numPr>
          <w:ilvl w:val="1"/>
          <w:numId w:val="21"/>
        </w:numPr>
        <w:overflowPunct/>
        <w:autoSpaceDE/>
        <w:autoSpaceDN/>
        <w:adjustRightInd/>
        <w:spacing w:line="240" w:lineRule="auto"/>
        <w:ind w:left="2007"/>
        <w:textAlignment w:val="auto"/>
        <w:rPr>
          <w:rFonts w:ascii="Times New Roman" w:eastAsia="宋体" w:hAnsi="Times New Roman"/>
          <w:sz w:val="20"/>
          <w:szCs w:val="20"/>
          <w:lang w:val="en-US" w:eastAsia="ja-JP"/>
        </w:rPr>
      </w:pPr>
      <w:r>
        <w:rPr>
          <w:rFonts w:ascii="Times New Roman" w:eastAsia="宋体" w:hAnsi="Times New Roman"/>
          <w:sz w:val="20"/>
          <w:szCs w:val="20"/>
          <w:lang w:val="en-US" w:eastAsia="ja-JP"/>
        </w:rPr>
        <w:t>The HARQ-ACK delay counting starts from subframe#18 and will be 2 BL/CE DL subframes + 1 subframe + 1 BL/CE UL subframe.</w:t>
      </w:r>
    </w:p>
    <w:p w:rsidR="00D0451A" w:rsidRDefault="00D0451A">
      <w:pPr>
        <w:pStyle w:val="afc"/>
        <w:ind w:left="1080"/>
        <w:jc w:val="both"/>
        <w:rPr>
          <w:rFonts w:eastAsia="等线"/>
          <w:lang w:val="en-US" w:eastAsia="zh-CN"/>
        </w:rPr>
      </w:pPr>
    </w:p>
    <w:p w:rsidR="00D0451A" w:rsidRDefault="002A5230">
      <w:pPr>
        <w:pStyle w:val="afc"/>
        <w:numPr>
          <w:ilvl w:val="0"/>
          <w:numId w:val="20"/>
        </w:numPr>
        <w:jc w:val="both"/>
        <w:rPr>
          <w:rFonts w:ascii="Times New Roman" w:eastAsia="宋体" w:hAnsi="Times New Roman"/>
          <w:sz w:val="20"/>
          <w:szCs w:val="20"/>
          <w:lang w:val="en-US" w:eastAsia="ja-JP"/>
        </w:rPr>
      </w:pPr>
      <w:r>
        <w:rPr>
          <w:rFonts w:ascii="Times New Roman" w:eastAsia="宋体" w:hAnsi="Times New Roman"/>
          <w:sz w:val="20"/>
          <w:szCs w:val="20"/>
          <w:lang w:val="en-US" w:eastAsia="ja-JP"/>
        </w:rPr>
        <w:t>Handling of the 11th HARQ processes (associated to MPDCCH#10 and PDSCH#10) in a single HARQ process scenario with PDSCH repetitions.</w:t>
      </w:r>
    </w:p>
    <w:p w:rsidR="00D0451A" w:rsidRDefault="00D0451A">
      <w:pPr>
        <w:pStyle w:val="afc"/>
        <w:ind w:left="1080"/>
        <w:jc w:val="both"/>
        <w:rPr>
          <w:rFonts w:eastAsia="等线"/>
          <w:lang w:val="en-US" w:eastAsia="zh-CN"/>
        </w:rPr>
      </w:pPr>
    </w:p>
    <w:tbl>
      <w:tblPr>
        <w:tblW w:w="0" w:type="auto"/>
        <w:tblCellMar>
          <w:left w:w="0" w:type="dxa"/>
          <w:right w:w="0" w:type="dxa"/>
        </w:tblCellMar>
        <w:tblLook w:val="04A0" w:firstRow="1" w:lastRow="0" w:firstColumn="1" w:lastColumn="0" w:noHBand="0" w:noVBand="1"/>
      </w:tblPr>
      <w:tblGrid>
        <w:gridCol w:w="1061"/>
        <w:gridCol w:w="376"/>
        <w:gridCol w:w="376"/>
        <w:gridCol w:w="296"/>
        <w:gridCol w:w="296"/>
        <w:gridCol w:w="296"/>
        <w:gridCol w:w="296"/>
        <w:gridCol w:w="296"/>
        <w:gridCol w:w="296"/>
        <w:gridCol w:w="296"/>
        <w:gridCol w:w="296"/>
        <w:gridCol w:w="376"/>
        <w:gridCol w:w="376"/>
        <w:gridCol w:w="376"/>
        <w:gridCol w:w="376"/>
        <w:gridCol w:w="376"/>
        <w:gridCol w:w="376"/>
        <w:gridCol w:w="376"/>
        <w:gridCol w:w="376"/>
        <w:gridCol w:w="376"/>
        <w:gridCol w:w="376"/>
        <w:gridCol w:w="376"/>
        <w:gridCol w:w="376"/>
        <w:gridCol w:w="376"/>
        <w:gridCol w:w="269"/>
        <w:gridCol w:w="281"/>
      </w:tblGrid>
      <w:tr w:rsidR="00D0451A">
        <w:trPr>
          <w:trHeight w:val="290"/>
        </w:trPr>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rsidR="00D0451A" w:rsidRDefault="002A5230">
            <w:pPr>
              <w:rPr>
                <w:color w:val="000000"/>
                <w:sz w:val="16"/>
                <w:szCs w:val="16"/>
                <w:lang w:val="en-US" w:eastAsia="zh-CN"/>
              </w:rPr>
            </w:pPr>
            <w:r>
              <w:rPr>
                <w:color w:val="000000"/>
                <w:sz w:val="16"/>
                <w:szCs w:val="16"/>
                <w:lang w:val="en-US" w:eastAsia="zh-CN"/>
              </w:rPr>
              <w:t>subframe #</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0</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1</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2</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3</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4</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5</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6</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7</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8</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9</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10</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11</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12</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13</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14</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15</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16</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17</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18</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19</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20</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21</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22</w:t>
            </w:r>
          </w:p>
        </w:tc>
        <w:tc>
          <w:tcPr>
            <w:tcW w:w="269" w:type="dxa"/>
            <w:tcBorders>
              <w:top w:val="single" w:sz="8" w:space="0" w:color="auto"/>
              <w:left w:val="nil"/>
              <w:bottom w:val="single" w:sz="8" w:space="0" w:color="auto"/>
              <w:right w:val="single" w:sz="8" w:space="0" w:color="auto"/>
            </w:tcBorders>
          </w:tcPr>
          <w:p w:rsidR="00D0451A" w:rsidRDefault="00D0451A">
            <w:pPr>
              <w:jc w:val="center"/>
              <w:rPr>
                <w:color w:val="000000"/>
                <w:sz w:val="16"/>
                <w:szCs w:val="16"/>
                <w:lang w:val="en-US" w:eastAsia="zh-CN"/>
              </w:rPr>
            </w:pPr>
          </w:p>
          <w:p w:rsidR="00D0451A" w:rsidRDefault="002A5230">
            <w:pPr>
              <w:jc w:val="center"/>
              <w:rPr>
                <w:color w:val="000000"/>
                <w:sz w:val="16"/>
                <w:szCs w:val="16"/>
                <w:lang w:val="en-US" w:eastAsia="zh-CN"/>
              </w:rPr>
            </w:pPr>
            <w:r>
              <w:rPr>
                <w:color w:val="000000"/>
                <w:sz w:val="16"/>
                <w:szCs w:val="16"/>
                <w:lang w:val="en-US" w:eastAsia="zh-CN"/>
              </w:rPr>
              <w:t>23</w:t>
            </w:r>
          </w:p>
        </w:tc>
        <w:tc>
          <w:tcPr>
            <w:tcW w:w="281" w:type="dxa"/>
            <w:tcBorders>
              <w:top w:val="single" w:sz="8" w:space="0" w:color="auto"/>
              <w:left w:val="nil"/>
              <w:bottom w:val="single" w:sz="8" w:space="0" w:color="auto"/>
              <w:right w:val="single" w:sz="8" w:space="0" w:color="auto"/>
            </w:tcBorders>
          </w:tcPr>
          <w:p w:rsidR="00D0451A" w:rsidRDefault="00D0451A">
            <w:pPr>
              <w:jc w:val="center"/>
              <w:rPr>
                <w:color w:val="000000"/>
                <w:sz w:val="16"/>
                <w:szCs w:val="16"/>
                <w:lang w:val="en-US" w:eastAsia="zh-CN"/>
              </w:rPr>
            </w:pPr>
          </w:p>
          <w:p w:rsidR="00D0451A" w:rsidRDefault="002A5230">
            <w:pPr>
              <w:jc w:val="center"/>
              <w:rPr>
                <w:color w:val="000000"/>
                <w:sz w:val="16"/>
                <w:szCs w:val="16"/>
                <w:lang w:val="en-US" w:eastAsia="zh-CN"/>
              </w:rPr>
            </w:pPr>
            <w:r>
              <w:rPr>
                <w:color w:val="000000"/>
                <w:sz w:val="16"/>
                <w:szCs w:val="16"/>
                <w:lang w:val="en-US" w:eastAsia="zh-CN"/>
              </w:rPr>
              <w:t>24</w:t>
            </w:r>
          </w:p>
        </w:tc>
      </w:tr>
      <w:tr w:rsidR="00D0451A">
        <w:trPr>
          <w:trHeight w:val="29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D0451A" w:rsidRDefault="002A5230">
            <w:pPr>
              <w:rPr>
                <w:color w:val="000000"/>
                <w:sz w:val="16"/>
                <w:szCs w:val="16"/>
                <w:lang w:val="en-US" w:eastAsia="zh-CN"/>
              </w:rPr>
            </w:pPr>
            <w:r>
              <w:rPr>
                <w:color w:val="000000"/>
                <w:sz w:val="16"/>
                <w:szCs w:val="16"/>
                <w:lang w:val="en-US" w:eastAsia="zh-CN"/>
              </w:rPr>
              <w:t>MPDCCH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ED7D31"/>
                <w:sz w:val="16"/>
                <w:szCs w:val="16"/>
                <w:lang w:val="en-US" w:eastAsia="zh-CN"/>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D0451A">
            <w:pPr>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rPr>
                <w:rFonts w:ascii="Calibri" w:hAnsi="Calibri" w:cs="Calibri"/>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rPr>
                <w:rFonts w:asciiTheme="minorHAnsi" w:hAnsiTheme="minorHAnsi" w:cstheme="minorBidi"/>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rPr>
                <w:color w:val="000000"/>
                <w:sz w:val="16"/>
                <w:szCs w:val="16"/>
                <w:lang w:val="en-US" w:eastAsia="zh-CN"/>
              </w:rPr>
            </w:pPr>
            <w:r>
              <w:rPr>
                <w:color w:val="000000"/>
                <w:sz w:val="16"/>
                <w:szCs w:val="16"/>
                <w:lang w:val="en-US" w:eastAsia="zh-CN"/>
              </w:rPr>
              <w:t> </w:t>
            </w:r>
          </w:p>
        </w:tc>
        <w:tc>
          <w:tcPr>
            <w:tcW w:w="269" w:type="dxa"/>
            <w:tcBorders>
              <w:top w:val="nil"/>
              <w:left w:val="nil"/>
              <w:bottom w:val="single" w:sz="8" w:space="0" w:color="auto"/>
              <w:right w:val="single" w:sz="8" w:space="0" w:color="auto"/>
            </w:tcBorders>
          </w:tcPr>
          <w:p w:rsidR="00D0451A" w:rsidRDefault="00D0451A">
            <w:pPr>
              <w:jc w:val="center"/>
              <w:rPr>
                <w:color w:val="000000"/>
                <w:sz w:val="16"/>
                <w:szCs w:val="16"/>
                <w:lang w:val="en-US" w:eastAsia="zh-CN"/>
              </w:rPr>
            </w:pPr>
          </w:p>
        </w:tc>
        <w:tc>
          <w:tcPr>
            <w:tcW w:w="281" w:type="dxa"/>
            <w:tcBorders>
              <w:top w:val="nil"/>
              <w:left w:val="nil"/>
              <w:bottom w:val="single" w:sz="8" w:space="0" w:color="auto"/>
              <w:right w:val="single" w:sz="8" w:space="0" w:color="auto"/>
            </w:tcBorders>
          </w:tcPr>
          <w:p w:rsidR="00D0451A" w:rsidRDefault="00D0451A">
            <w:pPr>
              <w:jc w:val="center"/>
              <w:rPr>
                <w:color w:val="000000"/>
                <w:sz w:val="16"/>
                <w:szCs w:val="16"/>
                <w:lang w:val="en-US" w:eastAsia="zh-CN"/>
              </w:rPr>
            </w:pPr>
          </w:p>
        </w:tc>
      </w:tr>
      <w:tr w:rsidR="00D0451A">
        <w:trPr>
          <w:trHeight w:val="29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D0451A" w:rsidRDefault="002A5230">
            <w:pPr>
              <w:rPr>
                <w:color w:val="000000"/>
                <w:sz w:val="16"/>
                <w:szCs w:val="16"/>
                <w:lang w:val="en-US" w:eastAsia="zh-CN"/>
              </w:rPr>
            </w:pPr>
            <w:r>
              <w:rPr>
                <w:color w:val="000000"/>
                <w:sz w:val="16"/>
                <w:szCs w:val="16"/>
                <w:lang w:val="en-US" w:eastAsia="zh-CN"/>
              </w:rPr>
              <w:t>PDSCH</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12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13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3</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4</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5</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6</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7</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8</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9</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ED7D31"/>
                <w:sz w:val="16"/>
                <w:szCs w:val="16"/>
                <w:lang w:val="en-US" w:eastAsia="zh-CN"/>
              </w:rPr>
            </w:pPr>
            <w:r>
              <w:rPr>
                <w:color w:val="ED7D31"/>
                <w:sz w:val="16"/>
                <w:szCs w:val="16"/>
                <w:lang w:val="en-US" w:eastAsia="zh-CN"/>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rPr>
                <w:color w:val="ED7D31"/>
                <w:sz w:val="16"/>
                <w:szCs w:val="16"/>
                <w:lang w:val="en-US" w:eastAsia="zh-CN"/>
              </w:rPr>
            </w:pPr>
            <w:r>
              <w:rPr>
                <w:color w:val="ED7D31"/>
                <w:sz w:val="16"/>
                <w:szCs w:val="16"/>
                <w:lang w:val="en-US" w:eastAsia="zh-CN"/>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rPr>
                <w:color w:val="000000"/>
                <w:sz w:val="16"/>
                <w:szCs w:val="16"/>
                <w:lang w:val="en-US" w:eastAsia="zh-CN"/>
              </w:rPr>
            </w:pPr>
            <w:r>
              <w:rPr>
                <w:color w:val="ED7D31"/>
                <w:sz w:val="16"/>
                <w:szCs w:val="16"/>
                <w:lang w:val="en-US" w:eastAsia="zh-CN"/>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rPr>
                <w:color w:val="000000"/>
                <w:sz w:val="16"/>
                <w:szCs w:val="16"/>
                <w:lang w:val="en-US" w:eastAsia="zh-CN"/>
              </w:rPr>
            </w:pPr>
            <w:r>
              <w:rPr>
                <w:color w:val="ED7D31"/>
                <w:sz w:val="16"/>
                <w:szCs w:val="16"/>
                <w:lang w:val="en-US" w:eastAsia="zh-CN"/>
              </w:rPr>
              <w:t>10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rPr>
                <w:color w:val="000000"/>
                <w:sz w:val="16"/>
                <w:szCs w:val="16"/>
                <w:lang w:val="en-US" w:eastAsia="zh-CN"/>
              </w:rPr>
            </w:pPr>
            <w:r>
              <w:rPr>
                <w:color w:val="000000"/>
                <w:sz w:val="16"/>
                <w:szCs w:val="16"/>
                <w:lang w:val="en-US" w:eastAsia="zh-CN"/>
              </w:rPr>
              <w:t> </w:t>
            </w:r>
          </w:p>
        </w:tc>
        <w:tc>
          <w:tcPr>
            <w:tcW w:w="269" w:type="dxa"/>
            <w:tcBorders>
              <w:top w:val="nil"/>
              <w:left w:val="nil"/>
              <w:bottom w:val="single" w:sz="8" w:space="0" w:color="auto"/>
              <w:right w:val="single" w:sz="8" w:space="0" w:color="auto"/>
            </w:tcBorders>
          </w:tcPr>
          <w:p w:rsidR="00D0451A" w:rsidRDefault="00D0451A">
            <w:pPr>
              <w:jc w:val="center"/>
              <w:rPr>
                <w:color w:val="000000"/>
                <w:sz w:val="16"/>
                <w:szCs w:val="16"/>
                <w:lang w:val="en-US" w:eastAsia="zh-CN"/>
              </w:rPr>
            </w:pPr>
          </w:p>
        </w:tc>
        <w:tc>
          <w:tcPr>
            <w:tcW w:w="281" w:type="dxa"/>
            <w:tcBorders>
              <w:top w:val="nil"/>
              <w:left w:val="nil"/>
              <w:bottom w:val="single" w:sz="8" w:space="0" w:color="auto"/>
              <w:right w:val="single" w:sz="8" w:space="0" w:color="auto"/>
            </w:tcBorders>
          </w:tcPr>
          <w:p w:rsidR="00D0451A" w:rsidRDefault="00D0451A">
            <w:pPr>
              <w:jc w:val="center"/>
              <w:rPr>
                <w:color w:val="000000"/>
                <w:sz w:val="16"/>
                <w:szCs w:val="16"/>
                <w:lang w:val="en-US" w:eastAsia="zh-CN"/>
              </w:rPr>
            </w:pPr>
          </w:p>
        </w:tc>
      </w:tr>
      <w:tr w:rsidR="00D0451A">
        <w:trPr>
          <w:trHeight w:val="290"/>
        </w:trPr>
        <w:tc>
          <w:tcPr>
            <w:tcW w:w="0" w:type="auto"/>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D0451A" w:rsidRDefault="002A5230">
            <w:pPr>
              <w:rPr>
                <w:color w:val="000000"/>
                <w:sz w:val="16"/>
                <w:szCs w:val="16"/>
                <w:lang w:val="en-US" w:eastAsia="zh-CN"/>
              </w:rPr>
            </w:pPr>
            <w:r>
              <w:rPr>
                <w:color w:val="000000"/>
                <w:sz w:val="16"/>
                <w:szCs w:val="16"/>
                <w:lang w:val="en-US" w:eastAsia="zh-CN"/>
              </w:rPr>
              <w:t>PUCCH#</w:t>
            </w:r>
          </w:p>
          <w:p w:rsidR="00D0451A" w:rsidRDefault="002A5230">
            <w:pPr>
              <w:rPr>
                <w:color w:val="000000"/>
                <w:sz w:val="16"/>
                <w:szCs w:val="16"/>
                <w:lang w:val="en-US" w:eastAsia="zh-CN"/>
              </w:rPr>
            </w:pPr>
            <w:r>
              <w:rPr>
                <w:color w:val="000000"/>
                <w:sz w:val="16"/>
                <w:szCs w:val="16"/>
                <w:lang w:val="en-US" w:eastAsia="zh-CN"/>
              </w:rPr>
              <w:t>HARQ-ACK</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0</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1</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jc w:val="right"/>
              <w:rPr>
                <w:color w:val="000000"/>
                <w:sz w:val="16"/>
                <w:szCs w:val="16"/>
                <w:lang w:val="en-US" w:eastAsia="zh-CN"/>
              </w:rPr>
            </w:pPr>
            <w:r>
              <w:rPr>
                <w:color w:val="000000"/>
                <w:sz w:val="16"/>
                <w:szCs w:val="16"/>
                <w:lang w:val="en-US" w:eastAsia="zh-CN"/>
              </w:rPr>
              <w:t>2</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2A5230">
            <w:pPr>
              <w:rPr>
                <w:color w:val="000000"/>
                <w:sz w:val="16"/>
                <w:szCs w:val="16"/>
                <w:lang w:val="en-US" w:eastAsia="zh-CN"/>
              </w:rPr>
            </w:pPr>
            <w:r>
              <w:rPr>
                <w:color w:val="000000"/>
                <w:sz w:val="16"/>
                <w:szCs w:val="16"/>
                <w:lang w:val="en-US" w:eastAsia="zh-CN"/>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D0451A">
            <w:pPr>
              <w:rPr>
                <w:color w:val="000000"/>
                <w:sz w:val="16"/>
                <w:szCs w:val="16"/>
                <w:lang w:val="en-US" w:eastAsia="zh-CN"/>
              </w:rPr>
            </w:pP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tcPr>
          <w:p w:rsidR="00D0451A" w:rsidRDefault="00D0451A">
            <w:pPr>
              <w:rPr>
                <w:lang w:eastAsia="sv-SE"/>
              </w:rPr>
            </w:pPr>
          </w:p>
        </w:tc>
        <w:tc>
          <w:tcPr>
            <w:tcW w:w="269" w:type="dxa"/>
            <w:tcBorders>
              <w:top w:val="nil"/>
              <w:left w:val="nil"/>
              <w:bottom w:val="single" w:sz="8" w:space="0" w:color="auto"/>
              <w:right w:val="single" w:sz="8" w:space="0" w:color="auto"/>
            </w:tcBorders>
          </w:tcPr>
          <w:p w:rsidR="00D0451A" w:rsidRDefault="00D0451A">
            <w:pPr>
              <w:jc w:val="center"/>
              <w:rPr>
                <w:rFonts w:ascii="Calibri" w:hAnsi="Calibri" w:cs="Calibri"/>
                <w:color w:val="000000"/>
                <w:sz w:val="16"/>
                <w:szCs w:val="16"/>
                <w:lang w:val="en-US" w:eastAsia="zh-CN"/>
              </w:rPr>
            </w:pPr>
          </w:p>
        </w:tc>
        <w:tc>
          <w:tcPr>
            <w:tcW w:w="281" w:type="dxa"/>
            <w:tcBorders>
              <w:top w:val="nil"/>
              <w:left w:val="nil"/>
              <w:bottom w:val="single" w:sz="8" w:space="0" w:color="auto"/>
              <w:right w:val="single" w:sz="8" w:space="0" w:color="auto"/>
            </w:tcBorders>
          </w:tcPr>
          <w:p w:rsidR="00D0451A" w:rsidRDefault="00D0451A">
            <w:pPr>
              <w:jc w:val="center"/>
              <w:rPr>
                <w:rFonts w:asciiTheme="minorHAnsi" w:hAnsiTheme="minorHAnsi" w:cstheme="minorBidi"/>
                <w:color w:val="000000"/>
                <w:sz w:val="16"/>
                <w:szCs w:val="16"/>
                <w:lang w:val="en-US" w:eastAsia="zh-CN"/>
              </w:rPr>
            </w:pPr>
          </w:p>
          <w:p w:rsidR="00D0451A" w:rsidRDefault="002A5230">
            <w:pPr>
              <w:jc w:val="center"/>
              <w:rPr>
                <w:color w:val="000000"/>
                <w:sz w:val="16"/>
                <w:szCs w:val="16"/>
                <w:lang w:val="en-US" w:eastAsia="zh-CN"/>
              </w:rPr>
            </w:pPr>
            <w:r>
              <w:rPr>
                <w:color w:val="000000"/>
                <w:sz w:val="16"/>
                <w:szCs w:val="16"/>
                <w:lang w:val="en-US" w:eastAsia="zh-CN"/>
              </w:rPr>
              <w:t>0</w:t>
            </w:r>
          </w:p>
        </w:tc>
      </w:tr>
    </w:tbl>
    <w:p w:rsidR="00D0451A" w:rsidRDefault="002A5230">
      <w:pPr>
        <w:jc w:val="both"/>
        <w:rPr>
          <w:rFonts w:eastAsia="等线"/>
          <w:sz w:val="16"/>
          <w:szCs w:val="16"/>
          <w:lang w:val="en-US" w:eastAsia="zh-CN"/>
        </w:rPr>
      </w:pPr>
      <w:r>
        <w:rPr>
          <w:sz w:val="16"/>
          <w:szCs w:val="16"/>
          <w:lang w:val="en-US"/>
        </w:rPr>
        <w:t>Note: Recall that the minimum HARQ-ACK delay that can be used encompasses 4 subframes.</w:t>
      </w:r>
    </w:p>
    <w:p w:rsidR="00D0451A" w:rsidRDefault="002A5230">
      <w:pPr>
        <w:ind w:left="567" w:firstLine="360"/>
        <w:rPr>
          <w:lang w:val="en-US"/>
        </w:rPr>
      </w:pPr>
      <w:r>
        <w:rPr>
          <w:lang w:val="en-US"/>
        </w:rPr>
        <w:t>Let’s focus on MPDCCH#</w:t>
      </w:r>
      <w:r>
        <w:rPr>
          <w:color w:val="ED7D31" w:themeColor="accent2"/>
          <w:lang w:val="en-US"/>
        </w:rPr>
        <w:t>10</w:t>
      </w:r>
      <w:r>
        <w:rPr>
          <w:lang w:val="en-US"/>
        </w:rPr>
        <w:t xml:space="preserve"> &amp; PDSCH#</w:t>
      </w:r>
      <w:r>
        <w:rPr>
          <w:color w:val="ED7D31" w:themeColor="accent2"/>
          <w:lang w:val="en-US"/>
        </w:rPr>
        <w:t>10</w:t>
      </w:r>
      <w:r>
        <w:rPr>
          <w:lang w:val="en-US"/>
        </w:rPr>
        <w:t>:</w:t>
      </w:r>
    </w:p>
    <w:p w:rsidR="00D0451A" w:rsidRDefault="002A5230">
      <w:pPr>
        <w:pStyle w:val="afc"/>
        <w:numPr>
          <w:ilvl w:val="1"/>
          <w:numId w:val="21"/>
        </w:numPr>
        <w:overflowPunct/>
        <w:autoSpaceDE/>
        <w:autoSpaceDN/>
        <w:adjustRightInd/>
        <w:spacing w:line="240" w:lineRule="auto"/>
        <w:ind w:left="2007"/>
        <w:textAlignment w:val="auto"/>
        <w:rPr>
          <w:rFonts w:ascii="Times New Roman" w:eastAsia="宋体" w:hAnsi="Times New Roman"/>
          <w:sz w:val="20"/>
          <w:szCs w:val="20"/>
          <w:lang w:val="en-US" w:eastAsia="ja-JP"/>
        </w:rPr>
      </w:pPr>
      <w:r>
        <w:rPr>
          <w:rFonts w:ascii="Times New Roman" w:eastAsia="宋体" w:hAnsi="Times New Roman"/>
          <w:sz w:val="20"/>
          <w:szCs w:val="20"/>
          <w:lang w:val="en-US" w:eastAsia="ja-JP"/>
        </w:rPr>
        <w:t>The PDSCH scheduling delay is 1 BL/CE DL subframe + 1 subframe + 3 BL/CE UL subframes + 1 subframe + 1 BL/CE DL subframe.</w:t>
      </w:r>
    </w:p>
    <w:p w:rsidR="00D0451A" w:rsidRDefault="002A5230">
      <w:pPr>
        <w:pStyle w:val="afc"/>
        <w:numPr>
          <w:ilvl w:val="1"/>
          <w:numId w:val="21"/>
        </w:numPr>
        <w:overflowPunct/>
        <w:autoSpaceDE/>
        <w:autoSpaceDN/>
        <w:adjustRightInd/>
        <w:spacing w:line="240" w:lineRule="auto"/>
        <w:ind w:left="2007"/>
        <w:textAlignment w:val="auto"/>
        <w:rPr>
          <w:rFonts w:ascii="Times New Roman" w:eastAsia="宋体" w:hAnsi="Times New Roman"/>
          <w:sz w:val="20"/>
          <w:szCs w:val="20"/>
          <w:lang w:val="en-US" w:eastAsia="ja-JP"/>
        </w:rPr>
      </w:pPr>
      <w:r>
        <w:rPr>
          <w:rFonts w:ascii="Times New Roman" w:eastAsia="宋体" w:hAnsi="Times New Roman"/>
          <w:sz w:val="20"/>
          <w:szCs w:val="20"/>
          <w:lang w:val="en-US" w:eastAsia="ja-JP"/>
        </w:rPr>
        <w:t>The HARQ-ACK delay counting starts from subframe#21 and will be 2 BL/CE DL subframes + 1 subframe + 1 BL/CE UL subframe.</w:t>
      </w:r>
    </w:p>
    <w:p w:rsidR="00D0451A" w:rsidRDefault="00D0451A">
      <w:pPr>
        <w:jc w:val="both"/>
        <w:rPr>
          <w:lang w:val="en-US"/>
        </w:rPr>
      </w:pPr>
    </w:p>
    <w:p w:rsidR="00D0451A" w:rsidRDefault="002A5230">
      <w:pPr>
        <w:jc w:val="both"/>
        <w:rPr>
          <w:lang w:val="en-US"/>
        </w:rPr>
      </w:pPr>
      <w:r>
        <w:rPr>
          <w:lang w:val="en-US"/>
        </w:rPr>
        <w:t>Observations from A) and B):</w:t>
      </w:r>
    </w:p>
    <w:p w:rsidR="00D0451A" w:rsidRDefault="002A5230">
      <w:pPr>
        <w:pStyle w:val="afc"/>
        <w:numPr>
          <w:ilvl w:val="0"/>
          <w:numId w:val="22"/>
        </w:numPr>
        <w:overflowPunct/>
        <w:autoSpaceDE/>
        <w:autoSpaceDN/>
        <w:adjustRightInd/>
        <w:spacing w:line="240" w:lineRule="auto"/>
        <w:jc w:val="both"/>
        <w:textAlignment w:val="auto"/>
        <w:rPr>
          <w:rFonts w:ascii="Times New Roman" w:eastAsia="宋体" w:hAnsi="Times New Roman"/>
          <w:sz w:val="20"/>
          <w:szCs w:val="20"/>
          <w:lang w:val="en-US" w:eastAsia="ja-JP"/>
        </w:rPr>
      </w:pPr>
      <w:r>
        <w:rPr>
          <w:rFonts w:ascii="Times New Roman" w:eastAsia="宋体" w:hAnsi="Times New Roman"/>
          <w:sz w:val="20"/>
          <w:szCs w:val="20"/>
          <w:lang w:val="en-US" w:eastAsia="ja-JP"/>
        </w:rPr>
        <w:t>We can see how the PDSCH scheduling and HARQ-ACK delay expressions do not require any modification, since indeed the required delays are the same for a single HARQ process scenario with and without PDSCH repetition. The same conclusion applies when Alt-2e is configured.</w:t>
      </w:r>
    </w:p>
    <w:p w:rsidR="00D0451A" w:rsidRDefault="00D0451A">
      <w:pPr>
        <w:ind w:firstLine="360"/>
        <w:jc w:val="both"/>
        <w:rPr>
          <w:lang w:val="en-US"/>
        </w:rPr>
      </w:pPr>
    </w:p>
    <w:p w:rsidR="00D0451A" w:rsidRDefault="002A5230">
      <w:pPr>
        <w:pStyle w:val="afc"/>
        <w:numPr>
          <w:ilvl w:val="0"/>
          <w:numId w:val="22"/>
        </w:numPr>
        <w:overflowPunct/>
        <w:autoSpaceDE/>
        <w:autoSpaceDN/>
        <w:adjustRightInd/>
        <w:spacing w:line="240" w:lineRule="auto"/>
        <w:jc w:val="both"/>
        <w:textAlignment w:val="auto"/>
        <w:rPr>
          <w:rFonts w:ascii="Times New Roman" w:eastAsia="宋体" w:hAnsi="Times New Roman"/>
          <w:sz w:val="20"/>
          <w:szCs w:val="20"/>
          <w:lang w:val="en-US" w:eastAsia="ja-JP"/>
        </w:rPr>
      </w:pPr>
      <w:r>
        <w:rPr>
          <w:rFonts w:ascii="Times New Roman" w:eastAsia="宋体" w:hAnsi="Times New Roman"/>
          <w:sz w:val="20"/>
          <w:szCs w:val="20"/>
          <w:lang w:val="en-US" w:eastAsia="ja-JP"/>
        </w:rPr>
        <w:lastRenderedPageBreak/>
        <w:t>Keeping usable the “Repetition number” will allow us to handle situations where the radio conditions deteriorate (which is an unpredictable matter) and where the only suitable choice will be using 1 HARQ process along with PDSCH repetitions (It is worth noting that performing a reconfiguration in such scenario (as per Opt-2) is likely to fail since repetitions would be needed).</w:t>
      </w:r>
    </w:p>
    <w:p w:rsidR="00D0451A" w:rsidRDefault="00D0451A">
      <w:pPr>
        <w:ind w:firstLine="360"/>
        <w:jc w:val="both"/>
        <w:rPr>
          <w:lang w:val="en-US"/>
        </w:rPr>
      </w:pPr>
    </w:p>
    <w:p w:rsidR="00D0451A" w:rsidRDefault="002A5230">
      <w:pPr>
        <w:pStyle w:val="afc"/>
        <w:numPr>
          <w:ilvl w:val="0"/>
          <w:numId w:val="22"/>
        </w:numPr>
        <w:overflowPunct/>
        <w:autoSpaceDE/>
        <w:autoSpaceDN/>
        <w:adjustRightInd/>
        <w:spacing w:line="240" w:lineRule="auto"/>
        <w:jc w:val="both"/>
        <w:textAlignment w:val="auto"/>
        <w:rPr>
          <w:rFonts w:ascii="Times New Roman" w:eastAsia="宋体" w:hAnsi="Times New Roman"/>
          <w:sz w:val="20"/>
          <w:szCs w:val="20"/>
          <w:lang w:val="en-US" w:eastAsia="ja-JP"/>
        </w:rPr>
      </w:pPr>
      <w:r>
        <w:rPr>
          <w:rFonts w:ascii="Times New Roman" w:eastAsia="宋体" w:hAnsi="Times New Roman"/>
          <w:sz w:val="20"/>
          <w:szCs w:val="20"/>
          <w:lang w:val="en-US" w:eastAsia="ja-JP"/>
        </w:rPr>
        <w:t>Moreover, it is important to make clear that Opt-3 does not purse any modification on the PDSCH scheduling delay and HARQ-ACK delay, and that the PDSCH repetitions case is connected to the 1 HARQ process case.</w:t>
      </w:r>
    </w:p>
    <w:p w:rsidR="00D0451A" w:rsidRDefault="00D0451A">
      <w:pPr>
        <w:rPr>
          <w:lang w:val="en-US"/>
        </w:rPr>
      </w:pPr>
    </w:p>
    <w:tbl>
      <w:tblPr>
        <w:tblStyle w:val="af4"/>
        <w:tblW w:w="0" w:type="auto"/>
        <w:tblLook w:val="04A0" w:firstRow="1" w:lastRow="0" w:firstColumn="1" w:lastColumn="0" w:noHBand="0" w:noVBand="1"/>
      </w:tblPr>
      <w:tblGrid>
        <w:gridCol w:w="1511"/>
        <w:gridCol w:w="2170"/>
        <w:gridCol w:w="5948"/>
      </w:tblGrid>
      <w:tr w:rsidR="00D0451A">
        <w:tc>
          <w:tcPr>
            <w:tcW w:w="1511" w:type="dxa"/>
          </w:tcPr>
          <w:p w:rsidR="00D0451A" w:rsidRDefault="002A5230">
            <w:pPr>
              <w:jc w:val="center"/>
              <w:rPr>
                <w:b/>
                <w:bCs/>
                <w:sz w:val="18"/>
                <w:szCs w:val="18"/>
                <w:lang w:val="de-DE"/>
              </w:rPr>
            </w:pPr>
            <w:r>
              <w:rPr>
                <w:b/>
                <w:bCs/>
                <w:sz w:val="18"/>
                <w:szCs w:val="18"/>
                <w:lang w:val="de-DE"/>
              </w:rPr>
              <w:t>Company</w:t>
            </w:r>
          </w:p>
        </w:tc>
        <w:tc>
          <w:tcPr>
            <w:tcW w:w="2170" w:type="dxa"/>
          </w:tcPr>
          <w:p w:rsidR="00D0451A" w:rsidRDefault="002A5230">
            <w:pPr>
              <w:rPr>
                <w:b/>
                <w:bCs/>
                <w:sz w:val="18"/>
                <w:szCs w:val="18"/>
                <w:lang w:val="de-DE"/>
              </w:rPr>
            </w:pPr>
            <w:r>
              <w:rPr>
                <w:b/>
                <w:bCs/>
                <w:sz w:val="18"/>
                <w:szCs w:val="18"/>
                <w:lang w:val="de-DE"/>
              </w:rPr>
              <w:t>Please state your views</w:t>
            </w:r>
          </w:p>
        </w:tc>
        <w:tc>
          <w:tcPr>
            <w:tcW w:w="5948" w:type="dxa"/>
          </w:tcPr>
          <w:p w:rsidR="00D0451A" w:rsidRDefault="002A5230">
            <w:pPr>
              <w:jc w:val="center"/>
              <w:rPr>
                <w:b/>
                <w:bCs/>
                <w:sz w:val="18"/>
                <w:szCs w:val="18"/>
                <w:lang w:val="de-DE"/>
              </w:rPr>
            </w:pPr>
            <w:r>
              <w:rPr>
                <w:b/>
                <w:bCs/>
                <w:sz w:val="18"/>
                <w:szCs w:val="18"/>
                <w:lang w:val="de-DE"/>
              </w:rPr>
              <w:t xml:space="preserve">Comments </w:t>
            </w:r>
          </w:p>
        </w:tc>
      </w:tr>
      <w:tr w:rsidR="00D0451A">
        <w:tc>
          <w:tcPr>
            <w:tcW w:w="1511" w:type="dxa"/>
          </w:tcPr>
          <w:p w:rsidR="00D0451A" w:rsidRDefault="002A5230">
            <w:pPr>
              <w:rPr>
                <w:rFonts w:asciiTheme="minorHAnsi" w:eastAsia="等线" w:hAnsiTheme="minorHAnsi" w:cstheme="minorHAnsi"/>
                <w:bCs/>
                <w:lang w:val="de-DE" w:eastAsia="zh-CN"/>
              </w:rPr>
            </w:pPr>
            <w:r>
              <w:rPr>
                <w:rFonts w:asciiTheme="minorHAnsi" w:eastAsia="等线" w:hAnsiTheme="minorHAnsi" w:cstheme="minorHAnsi" w:hint="eastAsia"/>
                <w:bCs/>
                <w:lang w:val="de-DE" w:eastAsia="zh-CN"/>
              </w:rPr>
              <w:t>L</w:t>
            </w:r>
            <w:r>
              <w:rPr>
                <w:rFonts w:asciiTheme="minorHAnsi" w:eastAsia="等线" w:hAnsiTheme="minorHAnsi" w:cstheme="minorHAnsi"/>
                <w:bCs/>
                <w:lang w:val="de-DE" w:eastAsia="zh-CN"/>
              </w:rPr>
              <w:t>enovo, MotoM</w:t>
            </w:r>
          </w:p>
        </w:tc>
        <w:tc>
          <w:tcPr>
            <w:tcW w:w="2170" w:type="dxa"/>
          </w:tcPr>
          <w:p w:rsidR="00D0451A" w:rsidRDefault="002A5230">
            <w:pPr>
              <w:jc w:val="center"/>
              <w:rPr>
                <w:rFonts w:asciiTheme="minorHAnsi" w:eastAsia="等线" w:hAnsiTheme="minorHAnsi" w:cstheme="minorHAnsi"/>
                <w:bCs/>
                <w:lang w:val="de-DE" w:eastAsia="zh-CN"/>
              </w:rPr>
            </w:pPr>
            <w:r>
              <w:rPr>
                <w:rFonts w:asciiTheme="minorHAnsi" w:eastAsia="等线" w:hAnsiTheme="minorHAnsi" w:cstheme="minorHAnsi" w:hint="eastAsia"/>
                <w:bCs/>
                <w:lang w:val="de-DE" w:eastAsia="zh-CN"/>
              </w:rPr>
              <w:t>O</w:t>
            </w:r>
            <w:r>
              <w:rPr>
                <w:rFonts w:asciiTheme="minorHAnsi" w:eastAsia="等线" w:hAnsiTheme="minorHAnsi" w:cstheme="minorHAnsi"/>
                <w:bCs/>
                <w:lang w:val="de-DE" w:eastAsia="zh-CN"/>
              </w:rPr>
              <w:t>pt-2</w:t>
            </w:r>
          </w:p>
        </w:tc>
        <w:tc>
          <w:tcPr>
            <w:tcW w:w="5948" w:type="dxa"/>
          </w:tcPr>
          <w:p w:rsidR="00D0451A" w:rsidRDefault="002A5230">
            <w:pPr>
              <w:jc w:val="both"/>
              <w:rPr>
                <w:rFonts w:asciiTheme="minorHAnsi" w:eastAsia="等线" w:hAnsiTheme="minorHAnsi" w:cstheme="minorHAnsi"/>
                <w:bCs/>
                <w:lang w:val="de-DE" w:eastAsia="zh-CN"/>
              </w:rPr>
            </w:pPr>
            <w:r>
              <w:rPr>
                <w:rFonts w:asciiTheme="minorHAnsi" w:eastAsia="等线" w:hAnsiTheme="minorHAnsi" w:cstheme="minorHAnsi"/>
                <w:bCs/>
                <w:lang w:val="de-DE" w:eastAsia="zh-CN"/>
              </w:rPr>
              <w:t>From the observation B, if we go ahead the timeline of scheduling HARQ process #11 and #12.... with repetition after HARQ process#10, there will be problems in HARQ-ACK delay issue. Otherwise, there will be resource waste,e.g, in subframe #21 and #22.</w:t>
            </w:r>
          </w:p>
          <w:p w:rsidR="00D0451A" w:rsidRDefault="002A5230">
            <w:pPr>
              <w:jc w:val="both"/>
              <w:rPr>
                <w:rFonts w:asciiTheme="minorHAnsi" w:hAnsiTheme="minorHAnsi"/>
                <w:lang w:val="en-US"/>
              </w:rPr>
            </w:pPr>
            <w:r>
              <w:rPr>
                <w:rFonts w:asciiTheme="minorHAnsi" w:eastAsia="等线" w:hAnsiTheme="minorHAnsi" w:cstheme="minorHAnsi"/>
                <w:bCs/>
                <w:lang w:val="de-DE" w:eastAsia="zh-CN"/>
              </w:rPr>
              <w:t xml:space="preserve">If repetition number field is kept as legacy, how about the </w:t>
            </w:r>
            <w:r>
              <w:rPr>
                <w:rFonts w:asciiTheme="minorHAnsi" w:hAnsiTheme="minorHAnsi"/>
                <w:lang w:val="en-US"/>
              </w:rPr>
              <w:t xml:space="preserve">HARQ-ACK bundling flag field? If we assume there is no HARQ-ACK bundling flag field if 14HARQ is configured (based on majority of companies’ feedback). That is, if 14HARQ process is configured, HARQ-ACK bundling is enabled simultaneously. If HARQ-ACK bundling is enabled, there is no MPDCCH and PDSCH repetition in legacy Rel.14(although the field of </w:t>
            </w:r>
            <w:r>
              <w:rPr>
                <w:rFonts w:asciiTheme="minorHAnsi" w:eastAsia="等线" w:hAnsiTheme="minorHAnsi" w:cstheme="minorHAnsi"/>
                <w:bCs/>
                <w:lang w:val="de-DE" w:eastAsia="zh-CN"/>
              </w:rPr>
              <w:t xml:space="preserve">repetition number field is kept in DCI format 6-1A as </w:t>
            </w:r>
            <w:r>
              <w:rPr>
                <w:rFonts w:asciiTheme="minorHAnsi" w:hAnsiTheme="minorHAnsi"/>
                <w:lang w:val="en-US"/>
              </w:rPr>
              <w:t>HARQ-ACK bundling flag=1, we can’t configure the repetition number =2 if HARQ-ACK bundling flag=1).</w:t>
            </w:r>
          </w:p>
          <w:p w:rsidR="00D0451A" w:rsidRDefault="002A5230">
            <w:pPr>
              <w:jc w:val="both"/>
              <w:rPr>
                <w:sz w:val="20"/>
                <w:szCs w:val="20"/>
                <w:lang w:val="en-US"/>
              </w:rPr>
            </w:pPr>
            <w:r>
              <w:rPr>
                <w:rFonts w:eastAsia="MS Mincho"/>
                <w:sz w:val="20"/>
                <w:szCs w:val="20"/>
                <w:highlight w:val="green"/>
                <w:lang w:val="en-US"/>
              </w:rPr>
              <w:t>RAN1#87</w:t>
            </w:r>
            <w:r>
              <w:rPr>
                <w:rFonts w:eastAsia="MS Mincho"/>
                <w:sz w:val="20"/>
                <w:szCs w:val="20"/>
                <w:highlight w:val="green"/>
                <w:lang w:val="de-DE"/>
              </w:rPr>
              <w:t xml:space="preserve"> and RAN1#88</w:t>
            </w:r>
            <w:r>
              <w:rPr>
                <w:rFonts w:eastAsia="MS Mincho"/>
                <w:sz w:val="20"/>
                <w:szCs w:val="20"/>
                <w:highlight w:val="green"/>
                <w:lang w:val="en-US"/>
              </w:rPr>
              <w:t xml:space="preserve"> agreement:</w:t>
            </w:r>
            <w:r>
              <w:rPr>
                <w:rFonts w:eastAsia="MS Mincho"/>
                <w:sz w:val="20"/>
                <w:szCs w:val="20"/>
                <w:lang w:val="en-US"/>
              </w:rPr>
              <w:t xml:space="preserve"> [R1-1706780]</w:t>
            </w:r>
          </w:p>
          <w:p w:rsidR="00D0451A" w:rsidRDefault="002A5230">
            <w:pPr>
              <w:numPr>
                <w:ilvl w:val="0"/>
                <w:numId w:val="23"/>
              </w:numPr>
              <w:overflowPunct/>
              <w:autoSpaceDE/>
              <w:autoSpaceDN/>
              <w:adjustRightInd/>
              <w:spacing w:after="0" w:line="240" w:lineRule="auto"/>
              <w:textAlignment w:val="auto"/>
              <w:rPr>
                <w:rFonts w:eastAsia="MS Mincho"/>
                <w:sz w:val="20"/>
                <w:szCs w:val="20"/>
                <w:lang w:val="en-US"/>
              </w:rPr>
            </w:pPr>
            <w:r>
              <w:rPr>
                <w:rFonts w:eastAsia="MS Mincho"/>
                <w:sz w:val="20"/>
                <w:szCs w:val="20"/>
                <w:lang w:val="en-US"/>
              </w:rPr>
              <w:t>If repetition is used for MPDCCH or PDSCH, HARQ-ACK bundling is not used</w:t>
            </w:r>
          </w:p>
          <w:p w:rsidR="00D0451A" w:rsidRDefault="00D0451A">
            <w:pPr>
              <w:jc w:val="both"/>
              <w:rPr>
                <w:rFonts w:asciiTheme="minorHAnsi" w:eastAsia="等线" w:hAnsiTheme="minorHAnsi" w:cstheme="minorHAnsi"/>
                <w:bCs/>
                <w:lang w:val="en-US" w:eastAsia="zh-CN"/>
              </w:rPr>
            </w:pPr>
          </w:p>
          <w:p w:rsidR="00D0451A" w:rsidRDefault="002A5230">
            <w:pPr>
              <w:jc w:val="both"/>
              <w:rPr>
                <w:rFonts w:asciiTheme="minorHAnsi" w:eastAsia="等线" w:hAnsiTheme="minorHAnsi" w:cstheme="minorHAnsi"/>
                <w:bCs/>
                <w:lang w:val="en-US" w:eastAsia="zh-CN"/>
              </w:rPr>
            </w:pPr>
            <w:r>
              <w:rPr>
                <w:rFonts w:asciiTheme="minorHAnsi" w:eastAsia="等线" w:hAnsiTheme="minorHAnsi" w:cstheme="minorHAnsi"/>
                <w:bCs/>
                <w:lang w:val="en-US" w:eastAsia="zh-CN"/>
              </w:rPr>
              <w:t>If we consider PDSCH repetition to combat the channel fading, it seems there is no corresponding PUCCH with repetition to align the similar UL/DL coverage level. Because we use lots of time to get the following agreement based on the assumption that if the UE is configured with 14HARQ, the channel condition is good enough.</w:t>
            </w:r>
          </w:p>
          <w:p w:rsidR="00D0451A" w:rsidRDefault="002A5230">
            <w:pPr>
              <w:keepNext/>
              <w:keepLines/>
              <w:overflowPunct/>
              <w:autoSpaceDE/>
              <w:autoSpaceDN/>
              <w:adjustRightInd/>
              <w:spacing w:after="0"/>
              <w:jc w:val="both"/>
              <w:textAlignment w:val="auto"/>
              <w:rPr>
                <w:b/>
                <w:bCs/>
                <w:sz w:val="20"/>
                <w:szCs w:val="20"/>
                <w:highlight w:val="green"/>
                <w:lang w:val="en-US" w:eastAsia="en-US"/>
              </w:rPr>
            </w:pPr>
            <w:r>
              <w:rPr>
                <w:b/>
                <w:bCs/>
                <w:sz w:val="20"/>
                <w:szCs w:val="20"/>
                <w:highlight w:val="green"/>
                <w:lang w:val="en-US" w:eastAsia="en-US"/>
              </w:rPr>
              <w:t>Agreement</w:t>
            </w:r>
          </w:p>
          <w:p w:rsidR="00D0451A" w:rsidRDefault="002A5230">
            <w:pPr>
              <w:keepNext/>
              <w:keepLines/>
              <w:overflowPunct/>
              <w:autoSpaceDE/>
              <w:autoSpaceDN/>
              <w:adjustRightInd/>
              <w:spacing w:after="0"/>
              <w:jc w:val="both"/>
              <w:textAlignment w:val="auto"/>
              <w:rPr>
                <w:rFonts w:eastAsia="Batang"/>
                <w:sz w:val="20"/>
                <w:szCs w:val="20"/>
                <w:lang w:val="de-DE" w:eastAsia="en-US"/>
              </w:rPr>
            </w:pPr>
            <w:r>
              <w:rPr>
                <w:sz w:val="20"/>
                <w:szCs w:val="20"/>
                <w:lang w:val="en-US" w:eastAsia="en-US"/>
              </w:rPr>
              <w:t>In Rel-17, for the 14 HARQ processes feature,</w:t>
            </w:r>
            <w:r>
              <w:rPr>
                <w:rFonts w:eastAsia="Batang"/>
                <w:sz w:val="20"/>
                <w:szCs w:val="20"/>
                <w:lang w:val="en-US" w:eastAsia="en-US"/>
              </w:rPr>
              <w:t xml:space="preserve"> PUCCH repetition is not supported with HARQ-ACK bundling.</w:t>
            </w:r>
          </w:p>
          <w:p w:rsidR="00D0451A" w:rsidRDefault="00D0451A">
            <w:pPr>
              <w:keepNext/>
              <w:keepLines/>
              <w:overflowPunct/>
              <w:autoSpaceDE/>
              <w:autoSpaceDN/>
              <w:adjustRightInd/>
              <w:spacing w:after="0"/>
              <w:jc w:val="both"/>
              <w:textAlignment w:val="auto"/>
              <w:rPr>
                <w:rFonts w:eastAsia="Batang"/>
                <w:sz w:val="20"/>
                <w:szCs w:val="20"/>
                <w:lang w:val="de-DE" w:eastAsia="en-US"/>
              </w:rPr>
            </w:pPr>
          </w:p>
          <w:p w:rsidR="00D0451A" w:rsidRDefault="00D0451A">
            <w:pPr>
              <w:keepNext/>
              <w:keepLines/>
              <w:overflowPunct/>
              <w:autoSpaceDE/>
              <w:autoSpaceDN/>
              <w:adjustRightInd/>
              <w:spacing w:after="0"/>
              <w:jc w:val="both"/>
              <w:textAlignment w:val="auto"/>
              <w:rPr>
                <w:rFonts w:eastAsia="Batang"/>
                <w:sz w:val="20"/>
                <w:szCs w:val="20"/>
                <w:lang w:val="de-DE" w:eastAsia="en-US"/>
              </w:rPr>
            </w:pPr>
          </w:p>
        </w:tc>
      </w:tr>
      <w:tr w:rsidR="00D0451A">
        <w:tc>
          <w:tcPr>
            <w:tcW w:w="1511" w:type="dxa"/>
          </w:tcPr>
          <w:p w:rsidR="00D0451A" w:rsidRDefault="002A5230">
            <w:pPr>
              <w:rPr>
                <w:rFonts w:eastAsia="等线"/>
                <w:bCs/>
                <w:sz w:val="18"/>
                <w:szCs w:val="18"/>
                <w:lang w:val="en-US" w:eastAsia="zh-CN"/>
              </w:rPr>
            </w:pPr>
            <w:r>
              <w:rPr>
                <w:rFonts w:eastAsia="等线" w:hint="eastAsia"/>
                <w:bCs/>
                <w:sz w:val="18"/>
                <w:szCs w:val="18"/>
                <w:lang w:val="en-US" w:eastAsia="zh-CN"/>
              </w:rPr>
              <w:t>ZTE, Sanechips</w:t>
            </w:r>
          </w:p>
        </w:tc>
        <w:tc>
          <w:tcPr>
            <w:tcW w:w="2170" w:type="dxa"/>
          </w:tcPr>
          <w:p w:rsidR="00D0451A" w:rsidRDefault="002A5230">
            <w:pPr>
              <w:jc w:val="center"/>
              <w:rPr>
                <w:rFonts w:eastAsia="等线"/>
                <w:bCs/>
                <w:sz w:val="18"/>
                <w:szCs w:val="18"/>
                <w:lang w:val="en-US" w:eastAsia="zh-CN"/>
              </w:rPr>
            </w:pPr>
            <w:r>
              <w:rPr>
                <w:rFonts w:eastAsia="等线" w:hint="eastAsia"/>
                <w:bCs/>
                <w:sz w:val="18"/>
                <w:szCs w:val="18"/>
                <w:lang w:val="en-US" w:eastAsia="zh-CN"/>
              </w:rPr>
              <w:t>Opt-2</w:t>
            </w:r>
          </w:p>
        </w:tc>
        <w:tc>
          <w:tcPr>
            <w:tcW w:w="5948" w:type="dxa"/>
          </w:tcPr>
          <w:p w:rsidR="00D0451A" w:rsidRDefault="002A5230">
            <w:pPr>
              <w:jc w:val="both"/>
              <w:rPr>
                <w:rFonts w:eastAsia="等线"/>
                <w:bCs/>
                <w:sz w:val="18"/>
                <w:szCs w:val="18"/>
                <w:lang w:val="en-US" w:eastAsia="zh-CN"/>
              </w:rPr>
            </w:pPr>
            <w:r>
              <w:rPr>
                <w:rFonts w:eastAsia="等线" w:hint="eastAsia"/>
                <w:bCs/>
                <w:sz w:val="18"/>
                <w:szCs w:val="18"/>
                <w:lang w:val="en-US" w:eastAsia="zh-CN"/>
              </w:rPr>
              <w:t xml:space="preserve">As shown in the given example, if the channel condition change cause the PDSCH repetition of HARQ process #10, similarly, more PDSCHs also would face this problem and they also should be retransmitted. Therefore, if PDSCH </w:t>
            </w:r>
            <w:r>
              <w:rPr>
                <w:rFonts w:eastAsia="等线" w:hint="eastAsia"/>
                <w:bCs/>
                <w:sz w:val="18"/>
                <w:szCs w:val="18"/>
                <w:lang w:val="en-US" w:eastAsia="zh-CN"/>
              </w:rPr>
              <w:lastRenderedPageBreak/>
              <w:t>repetition is taken into account, this should be considered for multiple HARQ process or all the processes, which brings out the new design requirement for HARQ delay values.</w:t>
            </w:r>
          </w:p>
          <w:p w:rsidR="00D0451A" w:rsidRDefault="002A5230">
            <w:pPr>
              <w:jc w:val="both"/>
              <w:rPr>
                <w:rFonts w:eastAsia="等线"/>
                <w:bCs/>
                <w:sz w:val="18"/>
                <w:szCs w:val="18"/>
                <w:lang w:val="en-US" w:eastAsia="zh-CN"/>
              </w:rPr>
            </w:pPr>
            <w:r>
              <w:rPr>
                <w:rFonts w:eastAsia="等线" w:hint="eastAsia"/>
                <w:bCs/>
                <w:sz w:val="18"/>
                <w:szCs w:val="18"/>
                <w:lang w:val="en-US" w:eastAsia="zh-CN"/>
              </w:rPr>
              <w:t xml:space="preserve">14-HARQ processes feature is used for peak data rate improvement without repetition. If PDSCH supports repetition, then 14-HARQ process feature can not improve the peak data rate. </w:t>
            </w:r>
          </w:p>
          <w:p w:rsidR="00D0451A" w:rsidRDefault="002A5230">
            <w:pPr>
              <w:jc w:val="both"/>
              <w:rPr>
                <w:rFonts w:eastAsia="等线"/>
                <w:bCs/>
                <w:sz w:val="18"/>
                <w:szCs w:val="18"/>
                <w:lang w:val="en-US" w:eastAsia="zh-CN"/>
              </w:rPr>
            </w:pPr>
            <w:r>
              <w:rPr>
                <w:rFonts w:eastAsia="等线" w:hint="eastAsia"/>
                <w:bCs/>
                <w:sz w:val="18"/>
                <w:szCs w:val="18"/>
                <w:lang w:val="en-US" w:eastAsia="zh-CN"/>
              </w:rPr>
              <w:t>Therefore, PDSCH repetition should not be supported for 14-HARQ feature.</w:t>
            </w:r>
          </w:p>
        </w:tc>
      </w:tr>
      <w:tr w:rsidR="00D0451A">
        <w:tc>
          <w:tcPr>
            <w:tcW w:w="1511" w:type="dxa"/>
          </w:tcPr>
          <w:p w:rsidR="00D0451A" w:rsidRDefault="009D05C2">
            <w:pPr>
              <w:rPr>
                <w:rFonts w:eastAsia="等线"/>
                <w:bCs/>
                <w:sz w:val="18"/>
                <w:szCs w:val="18"/>
                <w:lang w:val="en-US" w:eastAsia="zh-CN"/>
              </w:rPr>
            </w:pPr>
            <w:r>
              <w:rPr>
                <w:rFonts w:eastAsia="等线" w:hint="eastAsia"/>
                <w:bCs/>
                <w:sz w:val="18"/>
                <w:szCs w:val="18"/>
                <w:lang w:val="en-US" w:eastAsia="zh-CN"/>
              </w:rPr>
              <w:lastRenderedPageBreak/>
              <w:t>Huawei, HiSilicon</w:t>
            </w:r>
          </w:p>
        </w:tc>
        <w:tc>
          <w:tcPr>
            <w:tcW w:w="2170" w:type="dxa"/>
          </w:tcPr>
          <w:p w:rsidR="00D0451A" w:rsidRDefault="009D05C2">
            <w:pPr>
              <w:jc w:val="center"/>
              <w:rPr>
                <w:rFonts w:eastAsia="等线"/>
                <w:bCs/>
                <w:sz w:val="18"/>
                <w:szCs w:val="18"/>
                <w:lang w:val="en-US" w:eastAsia="zh-CN"/>
              </w:rPr>
            </w:pPr>
            <w:r>
              <w:rPr>
                <w:rFonts w:eastAsia="等线" w:hint="eastAsia"/>
                <w:bCs/>
                <w:sz w:val="18"/>
                <w:szCs w:val="18"/>
                <w:lang w:val="en-US" w:eastAsia="zh-CN"/>
              </w:rPr>
              <w:t>Opt-2</w:t>
            </w:r>
          </w:p>
        </w:tc>
        <w:tc>
          <w:tcPr>
            <w:tcW w:w="5948" w:type="dxa"/>
          </w:tcPr>
          <w:p w:rsidR="00D0451A" w:rsidRDefault="009D05C2">
            <w:pPr>
              <w:jc w:val="both"/>
              <w:rPr>
                <w:rFonts w:eastAsia="等线"/>
                <w:bCs/>
                <w:sz w:val="18"/>
                <w:szCs w:val="18"/>
                <w:lang w:val="de-DE" w:eastAsia="zh-CN"/>
              </w:rPr>
            </w:pPr>
            <w:r>
              <w:rPr>
                <w:rFonts w:eastAsia="等线"/>
                <w:bCs/>
                <w:sz w:val="18"/>
                <w:szCs w:val="18"/>
                <w:lang w:val="de-DE" w:eastAsia="zh-CN"/>
              </w:rPr>
              <w:t>W</w:t>
            </w:r>
            <w:r>
              <w:rPr>
                <w:rFonts w:eastAsia="等线" w:hint="eastAsia"/>
                <w:bCs/>
                <w:sz w:val="18"/>
                <w:szCs w:val="18"/>
                <w:lang w:val="de-DE" w:eastAsia="zh-CN"/>
              </w:rPr>
              <w:t xml:space="preserve">hen </w:t>
            </w:r>
            <w:r>
              <w:rPr>
                <w:rFonts w:eastAsia="等线"/>
                <w:bCs/>
                <w:sz w:val="18"/>
                <w:szCs w:val="18"/>
                <w:lang w:val="de-DE" w:eastAsia="zh-CN"/>
              </w:rPr>
              <w:t xml:space="preserve">14-HARQ processes is configured, the use of PDSCH repetition is a corner case. Anyway, if eNB really needs to schedule </w:t>
            </w:r>
            <w:r w:rsidR="00764DC7">
              <w:rPr>
                <w:rFonts w:eastAsia="等线"/>
                <w:bCs/>
                <w:sz w:val="18"/>
                <w:szCs w:val="18"/>
                <w:lang w:val="de-DE" w:eastAsia="zh-CN"/>
              </w:rPr>
              <w:t>PDSCH repetitions, then eNB can use the common search space, there’s the fallback DCI which can be used.</w:t>
            </w:r>
          </w:p>
        </w:tc>
      </w:tr>
      <w:tr w:rsidR="00D0451A">
        <w:tc>
          <w:tcPr>
            <w:tcW w:w="1511" w:type="dxa"/>
          </w:tcPr>
          <w:p w:rsidR="00D0451A" w:rsidRDefault="00D0451A">
            <w:pPr>
              <w:rPr>
                <w:rFonts w:eastAsia="等线"/>
                <w:bCs/>
                <w:sz w:val="18"/>
                <w:szCs w:val="18"/>
                <w:lang w:val="en-US" w:eastAsia="zh-CN"/>
              </w:rPr>
            </w:pPr>
          </w:p>
        </w:tc>
        <w:tc>
          <w:tcPr>
            <w:tcW w:w="2170" w:type="dxa"/>
          </w:tcPr>
          <w:p w:rsidR="00D0451A" w:rsidRDefault="00D0451A">
            <w:pPr>
              <w:jc w:val="center"/>
              <w:rPr>
                <w:rFonts w:eastAsia="等线"/>
                <w:bCs/>
                <w:sz w:val="18"/>
                <w:szCs w:val="18"/>
                <w:lang w:val="en-US" w:eastAsia="zh-CN"/>
              </w:rPr>
            </w:pPr>
          </w:p>
        </w:tc>
        <w:tc>
          <w:tcPr>
            <w:tcW w:w="5948" w:type="dxa"/>
          </w:tcPr>
          <w:p w:rsidR="00D0451A" w:rsidRDefault="00D0451A">
            <w:pPr>
              <w:jc w:val="both"/>
              <w:rPr>
                <w:rFonts w:eastAsia="等线"/>
                <w:bCs/>
                <w:sz w:val="18"/>
                <w:szCs w:val="18"/>
                <w:lang w:val="de-DE" w:eastAsia="zh-CN"/>
              </w:rPr>
            </w:pPr>
          </w:p>
        </w:tc>
      </w:tr>
      <w:tr w:rsidR="00D0451A">
        <w:tc>
          <w:tcPr>
            <w:tcW w:w="1511" w:type="dxa"/>
          </w:tcPr>
          <w:p w:rsidR="00D0451A" w:rsidRDefault="00D0451A">
            <w:pPr>
              <w:rPr>
                <w:rFonts w:eastAsia="等线"/>
                <w:bCs/>
                <w:sz w:val="18"/>
                <w:szCs w:val="18"/>
                <w:lang w:val="en-US" w:eastAsia="zh-CN"/>
              </w:rPr>
            </w:pPr>
          </w:p>
        </w:tc>
        <w:tc>
          <w:tcPr>
            <w:tcW w:w="2170" w:type="dxa"/>
          </w:tcPr>
          <w:p w:rsidR="00D0451A" w:rsidRDefault="00D0451A">
            <w:pPr>
              <w:jc w:val="center"/>
              <w:rPr>
                <w:rFonts w:eastAsia="等线"/>
                <w:bCs/>
                <w:sz w:val="18"/>
                <w:szCs w:val="18"/>
                <w:lang w:val="en-US" w:eastAsia="zh-CN"/>
              </w:rPr>
            </w:pPr>
          </w:p>
        </w:tc>
        <w:tc>
          <w:tcPr>
            <w:tcW w:w="5948" w:type="dxa"/>
          </w:tcPr>
          <w:p w:rsidR="00D0451A" w:rsidRDefault="00D0451A">
            <w:pPr>
              <w:jc w:val="both"/>
              <w:rPr>
                <w:rFonts w:eastAsia="等线"/>
                <w:bCs/>
                <w:sz w:val="18"/>
                <w:szCs w:val="18"/>
                <w:lang w:val="de-DE" w:eastAsia="zh-CN"/>
              </w:rPr>
            </w:pPr>
          </w:p>
        </w:tc>
      </w:tr>
      <w:tr w:rsidR="00D0451A">
        <w:tc>
          <w:tcPr>
            <w:tcW w:w="1511" w:type="dxa"/>
          </w:tcPr>
          <w:p w:rsidR="00D0451A" w:rsidRDefault="00D0451A">
            <w:pPr>
              <w:rPr>
                <w:rFonts w:eastAsia="等线"/>
                <w:bCs/>
                <w:sz w:val="18"/>
                <w:szCs w:val="18"/>
                <w:lang w:val="en-US" w:eastAsia="zh-CN"/>
              </w:rPr>
            </w:pPr>
          </w:p>
        </w:tc>
        <w:tc>
          <w:tcPr>
            <w:tcW w:w="2170" w:type="dxa"/>
          </w:tcPr>
          <w:p w:rsidR="00D0451A" w:rsidRDefault="00D0451A">
            <w:pPr>
              <w:jc w:val="center"/>
              <w:rPr>
                <w:rFonts w:eastAsia="等线"/>
                <w:bCs/>
                <w:sz w:val="18"/>
                <w:szCs w:val="18"/>
                <w:lang w:val="en-US" w:eastAsia="zh-CN"/>
              </w:rPr>
            </w:pPr>
          </w:p>
        </w:tc>
        <w:tc>
          <w:tcPr>
            <w:tcW w:w="5948" w:type="dxa"/>
          </w:tcPr>
          <w:p w:rsidR="00D0451A" w:rsidRDefault="00D0451A">
            <w:pPr>
              <w:jc w:val="both"/>
              <w:rPr>
                <w:rFonts w:eastAsia="等线"/>
                <w:bCs/>
                <w:sz w:val="18"/>
                <w:szCs w:val="18"/>
                <w:lang w:val="de-DE" w:eastAsia="zh-CN"/>
              </w:rPr>
            </w:pPr>
          </w:p>
        </w:tc>
      </w:tr>
    </w:tbl>
    <w:p w:rsidR="00D0451A" w:rsidRDefault="00D0451A">
      <w:pPr>
        <w:rPr>
          <w:lang w:val="en-US"/>
        </w:rPr>
      </w:pPr>
    </w:p>
    <w:p w:rsidR="00D0451A" w:rsidRDefault="002A5230">
      <w:pPr>
        <w:pStyle w:val="31"/>
        <w:rPr>
          <w:lang w:val="en-US"/>
        </w:rPr>
      </w:pPr>
      <w:r>
        <w:rPr>
          <w:lang w:val="en-US"/>
        </w:rPr>
        <w:t>2.2.2</w:t>
      </w:r>
      <w:r>
        <w:rPr>
          <w:lang w:val="en-US"/>
        </w:rPr>
        <w:tab/>
        <w:t>“HARQ-ACK delay” field: 3 bits</w:t>
      </w:r>
    </w:p>
    <w:p w:rsidR="00D0451A" w:rsidRDefault="002A5230">
      <w:pPr>
        <w:jc w:val="both"/>
        <w:rPr>
          <w:lang w:val="en-US"/>
        </w:rPr>
      </w:pPr>
      <w:r>
        <w:rPr>
          <w:lang w:val="en-US"/>
        </w:rPr>
        <w:t>Background: In Rel-17, the HARQ-ACK delay (either based on Alt-1 or Alt-2e) will be indicated together with the PDSCH Scheduling delay through joint-encoding using a single DCI field. Thus, it is under discussion whether this legacy DCI field will be set to 0-bits depending on the status of the HARQ-ACK bundling flag, or if it will set to 0-bits from the moment the 14 HARQ process feature is configured.</w:t>
      </w:r>
    </w:p>
    <w:p w:rsidR="00D0451A" w:rsidRDefault="002A5230">
      <w:pPr>
        <w:keepNext/>
        <w:keepLines/>
        <w:jc w:val="both"/>
        <w:rPr>
          <w:b/>
          <w:bCs/>
        </w:rPr>
      </w:pPr>
      <w:r>
        <w:rPr>
          <w:b/>
          <w:bCs/>
          <w:highlight w:val="yellow"/>
        </w:rPr>
        <w:t>Potential Agreement#3:</w:t>
      </w:r>
    </w:p>
    <w:p w:rsidR="00D0451A" w:rsidRDefault="002A5230">
      <w:pPr>
        <w:pStyle w:val="xmsonormal"/>
        <w:jc w:val="both"/>
        <w:rPr>
          <w:lang w:val="en-US"/>
        </w:rPr>
      </w:pPr>
      <w:r>
        <w:rPr>
          <w:rFonts w:ascii="Times" w:hAnsi="Times" w:cs="Times"/>
          <w:b/>
          <w:bCs/>
          <w:sz w:val="20"/>
          <w:szCs w:val="20"/>
          <w:lang w:val="en-US"/>
        </w:rPr>
        <w:t>In Rel-17, for the 14 HARQ processes feature the “HARQ-ACK delay” field is:</w:t>
      </w:r>
    </w:p>
    <w:p w:rsidR="00D0451A" w:rsidRDefault="002A5230">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xml:space="preserve">         </w:t>
      </w:r>
      <w:r>
        <w:rPr>
          <w:rFonts w:ascii="Times New Roman" w:hAnsi="Times New Roman" w:cs="Times New Roman"/>
          <w:b/>
          <w:bCs/>
          <w:sz w:val="20"/>
          <w:szCs w:val="20"/>
          <w:lang w:val="en-US"/>
        </w:rPr>
        <w:t>Opt-1: 0-bits when the "HARQ-ACK bundling flag" is set to 1 (i.e., 3-bits from this field become available for jointly-encoding purposes)</w:t>
      </w:r>
    </w:p>
    <w:p w:rsidR="00D0451A" w:rsidRDefault="002A5230">
      <w:pPr>
        <w:pStyle w:val="xmsonormal"/>
        <w:spacing w:line="252" w:lineRule="auto"/>
        <w:ind w:left="720" w:hanging="360"/>
        <w:jc w:val="both"/>
        <w:rPr>
          <w:lang w:val="en-US"/>
        </w:rPr>
      </w:pPr>
      <w:r>
        <w:rPr>
          <w:rFonts w:ascii="Symbol" w:hAnsi="Symbol"/>
          <w:sz w:val="20"/>
          <w:szCs w:val="20"/>
          <w:lang w:val="en-US"/>
        </w:rPr>
        <w:t></w:t>
      </w:r>
      <w:r>
        <w:rPr>
          <w:rFonts w:ascii="Times New Roman" w:hAnsi="Times New Roman" w:cs="Times New Roman"/>
          <w:sz w:val="14"/>
          <w:szCs w:val="14"/>
          <w:lang w:val="en-US"/>
        </w:rPr>
        <w:t xml:space="preserve">         </w:t>
      </w:r>
      <w:r>
        <w:rPr>
          <w:rFonts w:ascii="Times New Roman" w:hAnsi="Times New Roman" w:cs="Times New Roman"/>
          <w:b/>
          <w:bCs/>
          <w:sz w:val="20"/>
          <w:szCs w:val="20"/>
          <w:lang w:val="en-US"/>
        </w:rPr>
        <w:t>Opt-2: 0-bits when the 14 HARQ processes feature is configured (i.e., 3-bits from this field become available for jointly-encoding purposes).</w:t>
      </w:r>
    </w:p>
    <w:p w:rsidR="00D0451A" w:rsidRDefault="00D0451A">
      <w:pPr>
        <w:jc w:val="both"/>
        <w:rPr>
          <w:lang w:val="en-US"/>
        </w:rPr>
      </w:pPr>
    </w:p>
    <w:p w:rsidR="00D0451A" w:rsidRDefault="002A5230">
      <w:pPr>
        <w:jc w:val="both"/>
        <w:rPr>
          <w:lang w:val="en-US"/>
        </w:rPr>
      </w:pPr>
      <w:r>
        <w:rPr>
          <w:lang w:val="en-US"/>
        </w:rPr>
        <w:t>Companies are kindly requested to provide their views below:</w:t>
      </w:r>
    </w:p>
    <w:tbl>
      <w:tblPr>
        <w:tblStyle w:val="af4"/>
        <w:tblW w:w="0" w:type="auto"/>
        <w:tblLook w:val="04A0" w:firstRow="1" w:lastRow="0" w:firstColumn="1" w:lastColumn="0" w:noHBand="0" w:noVBand="1"/>
      </w:tblPr>
      <w:tblGrid>
        <w:gridCol w:w="1616"/>
        <w:gridCol w:w="2632"/>
        <w:gridCol w:w="5381"/>
      </w:tblGrid>
      <w:tr w:rsidR="00D0451A">
        <w:tc>
          <w:tcPr>
            <w:tcW w:w="1616" w:type="dxa"/>
          </w:tcPr>
          <w:p w:rsidR="00D0451A" w:rsidRDefault="002A5230">
            <w:pPr>
              <w:jc w:val="center"/>
              <w:rPr>
                <w:b/>
                <w:bCs/>
                <w:sz w:val="20"/>
                <w:szCs w:val="20"/>
                <w:lang w:val="de-DE"/>
              </w:rPr>
            </w:pPr>
            <w:r>
              <w:rPr>
                <w:b/>
                <w:bCs/>
                <w:sz w:val="20"/>
                <w:szCs w:val="20"/>
                <w:lang w:val="de-DE"/>
              </w:rPr>
              <w:t>Company</w:t>
            </w:r>
          </w:p>
        </w:tc>
        <w:tc>
          <w:tcPr>
            <w:tcW w:w="2632" w:type="dxa"/>
          </w:tcPr>
          <w:p w:rsidR="00D0451A" w:rsidRDefault="002A5230">
            <w:pPr>
              <w:pStyle w:val="Observation"/>
              <w:numPr>
                <w:ilvl w:val="0"/>
                <w:numId w:val="0"/>
              </w:numPr>
              <w:rPr>
                <w:rFonts w:ascii="Times New Roman" w:hAnsi="Times New Roman"/>
                <w:sz w:val="20"/>
                <w:szCs w:val="20"/>
                <w:lang w:val="de-DE"/>
              </w:rPr>
            </w:pPr>
            <w:r>
              <w:rPr>
                <w:rFonts w:ascii="Times New Roman" w:hAnsi="Times New Roman"/>
                <w:sz w:val="20"/>
                <w:szCs w:val="20"/>
                <w:lang w:val="de-DE"/>
              </w:rPr>
              <w:t xml:space="preserve">Please state your views </w:t>
            </w:r>
          </w:p>
        </w:tc>
        <w:tc>
          <w:tcPr>
            <w:tcW w:w="5381" w:type="dxa"/>
          </w:tcPr>
          <w:p w:rsidR="00D0451A" w:rsidRDefault="002A5230">
            <w:pPr>
              <w:jc w:val="center"/>
              <w:rPr>
                <w:b/>
                <w:bCs/>
                <w:sz w:val="20"/>
                <w:szCs w:val="20"/>
                <w:lang w:val="de-DE"/>
              </w:rPr>
            </w:pPr>
            <w:r>
              <w:rPr>
                <w:b/>
                <w:bCs/>
                <w:sz w:val="20"/>
                <w:szCs w:val="20"/>
                <w:lang w:val="de-DE"/>
              </w:rPr>
              <w:t xml:space="preserve">Comments </w:t>
            </w:r>
          </w:p>
        </w:tc>
      </w:tr>
      <w:tr w:rsidR="00D0451A">
        <w:tc>
          <w:tcPr>
            <w:tcW w:w="1616" w:type="dxa"/>
          </w:tcPr>
          <w:p w:rsidR="00D0451A" w:rsidRDefault="002A5230">
            <w:pPr>
              <w:rPr>
                <w:rFonts w:asciiTheme="minorHAnsi" w:eastAsia="等线" w:hAnsiTheme="minorHAnsi" w:cstheme="minorHAnsi"/>
                <w:bCs/>
                <w:lang w:val="de-DE" w:eastAsia="zh-CN"/>
              </w:rPr>
            </w:pPr>
            <w:r>
              <w:rPr>
                <w:rFonts w:asciiTheme="minorHAnsi" w:eastAsia="等线" w:hAnsiTheme="minorHAnsi" w:cstheme="minorHAnsi" w:hint="eastAsia"/>
                <w:bCs/>
                <w:lang w:val="de-DE" w:eastAsia="zh-CN"/>
              </w:rPr>
              <w:t>L</w:t>
            </w:r>
            <w:r>
              <w:rPr>
                <w:rFonts w:asciiTheme="minorHAnsi" w:eastAsia="等线" w:hAnsiTheme="minorHAnsi" w:cstheme="minorHAnsi"/>
                <w:bCs/>
                <w:lang w:val="de-DE" w:eastAsia="zh-CN"/>
              </w:rPr>
              <w:t>enovo, MotoM</w:t>
            </w:r>
          </w:p>
        </w:tc>
        <w:tc>
          <w:tcPr>
            <w:tcW w:w="2632" w:type="dxa"/>
          </w:tcPr>
          <w:p w:rsidR="00D0451A" w:rsidRDefault="002A5230">
            <w:pPr>
              <w:rPr>
                <w:rFonts w:asciiTheme="minorHAnsi" w:eastAsia="等线" w:hAnsiTheme="minorHAnsi" w:cstheme="minorHAnsi"/>
                <w:bCs/>
                <w:lang w:val="de-DE" w:eastAsia="zh-CN"/>
              </w:rPr>
            </w:pPr>
            <w:r>
              <w:rPr>
                <w:rFonts w:asciiTheme="minorHAnsi" w:eastAsia="等线" w:hAnsiTheme="minorHAnsi" w:cstheme="minorHAnsi" w:hint="eastAsia"/>
                <w:bCs/>
                <w:lang w:val="de-DE" w:eastAsia="zh-CN"/>
              </w:rPr>
              <w:t>O</w:t>
            </w:r>
            <w:r>
              <w:rPr>
                <w:rFonts w:asciiTheme="minorHAnsi" w:eastAsia="等线" w:hAnsiTheme="minorHAnsi" w:cstheme="minorHAnsi"/>
                <w:bCs/>
                <w:lang w:val="de-DE" w:eastAsia="zh-CN"/>
              </w:rPr>
              <w:t>pt 2</w:t>
            </w:r>
          </w:p>
        </w:tc>
        <w:tc>
          <w:tcPr>
            <w:tcW w:w="5381" w:type="dxa"/>
          </w:tcPr>
          <w:p w:rsidR="00D0451A" w:rsidRDefault="00D0451A">
            <w:pPr>
              <w:jc w:val="both"/>
              <w:rPr>
                <w:rFonts w:asciiTheme="minorHAnsi" w:eastAsia="等线" w:hAnsiTheme="minorHAnsi" w:cstheme="minorHAnsi"/>
                <w:bCs/>
                <w:lang w:val="de-DE" w:eastAsia="zh-CN"/>
              </w:rPr>
            </w:pPr>
          </w:p>
        </w:tc>
      </w:tr>
      <w:tr w:rsidR="00D0451A">
        <w:tc>
          <w:tcPr>
            <w:tcW w:w="1616" w:type="dxa"/>
          </w:tcPr>
          <w:p w:rsidR="00D0451A" w:rsidRDefault="002A5230">
            <w:pPr>
              <w:rPr>
                <w:rFonts w:eastAsia="等线"/>
                <w:bCs/>
                <w:lang w:val="en-US" w:eastAsia="zh-CN"/>
              </w:rPr>
            </w:pPr>
            <w:r>
              <w:rPr>
                <w:rFonts w:eastAsia="等线" w:hint="eastAsia"/>
                <w:bCs/>
                <w:lang w:val="en-US" w:eastAsia="zh-CN"/>
              </w:rPr>
              <w:t>ZTE, Sanechips</w:t>
            </w:r>
          </w:p>
        </w:tc>
        <w:tc>
          <w:tcPr>
            <w:tcW w:w="2632" w:type="dxa"/>
          </w:tcPr>
          <w:p w:rsidR="00D0451A" w:rsidRDefault="002A5230">
            <w:pPr>
              <w:rPr>
                <w:sz w:val="20"/>
                <w:szCs w:val="20"/>
                <w:lang w:val="en-US" w:eastAsia="zh-CN"/>
              </w:rPr>
            </w:pPr>
            <w:r>
              <w:rPr>
                <w:rFonts w:hint="eastAsia"/>
                <w:sz w:val="20"/>
                <w:szCs w:val="20"/>
                <w:lang w:val="en-US" w:eastAsia="zh-CN"/>
              </w:rPr>
              <w:t>Opt-2</w:t>
            </w:r>
          </w:p>
        </w:tc>
        <w:tc>
          <w:tcPr>
            <w:tcW w:w="5381" w:type="dxa"/>
          </w:tcPr>
          <w:p w:rsidR="00D0451A" w:rsidRDefault="00D0451A">
            <w:pPr>
              <w:rPr>
                <w:rFonts w:eastAsia="等线"/>
                <w:bCs/>
                <w:lang w:val="de-DE" w:eastAsia="zh-CN"/>
              </w:rPr>
            </w:pPr>
          </w:p>
        </w:tc>
      </w:tr>
      <w:tr w:rsidR="00D0451A">
        <w:tc>
          <w:tcPr>
            <w:tcW w:w="1616" w:type="dxa"/>
          </w:tcPr>
          <w:p w:rsidR="00D0451A" w:rsidRDefault="00D34AD8">
            <w:pPr>
              <w:rPr>
                <w:rFonts w:eastAsia="等线"/>
                <w:bCs/>
                <w:lang w:val="en-US" w:eastAsia="zh-CN"/>
              </w:rPr>
            </w:pPr>
            <w:r>
              <w:rPr>
                <w:rFonts w:eastAsia="等线" w:hint="eastAsia"/>
                <w:bCs/>
                <w:lang w:val="en-US" w:eastAsia="zh-CN"/>
              </w:rPr>
              <w:t>Huawei, HiSilicon</w:t>
            </w:r>
          </w:p>
        </w:tc>
        <w:tc>
          <w:tcPr>
            <w:tcW w:w="2632" w:type="dxa"/>
          </w:tcPr>
          <w:p w:rsidR="00D0451A" w:rsidRPr="00D34AD8" w:rsidRDefault="00D34AD8">
            <w:pPr>
              <w:rPr>
                <w:rFonts w:eastAsia="等线"/>
                <w:sz w:val="20"/>
                <w:szCs w:val="20"/>
                <w:lang w:val="en-US" w:eastAsia="zh-CN"/>
              </w:rPr>
            </w:pPr>
            <w:r>
              <w:rPr>
                <w:rFonts w:eastAsia="等线" w:hint="eastAsia"/>
                <w:sz w:val="20"/>
                <w:szCs w:val="20"/>
                <w:lang w:val="en-US" w:eastAsia="zh-CN"/>
              </w:rPr>
              <w:t>Opt-2</w:t>
            </w:r>
          </w:p>
        </w:tc>
        <w:tc>
          <w:tcPr>
            <w:tcW w:w="5381" w:type="dxa"/>
          </w:tcPr>
          <w:p w:rsidR="00D0451A" w:rsidRDefault="00D0451A">
            <w:pPr>
              <w:rPr>
                <w:rFonts w:eastAsia="等线"/>
                <w:bCs/>
                <w:lang w:val="de-DE" w:eastAsia="zh-CN"/>
              </w:rPr>
            </w:pPr>
          </w:p>
        </w:tc>
      </w:tr>
      <w:tr w:rsidR="00D0451A">
        <w:tc>
          <w:tcPr>
            <w:tcW w:w="1616" w:type="dxa"/>
          </w:tcPr>
          <w:p w:rsidR="00D0451A" w:rsidRDefault="00D0451A">
            <w:pPr>
              <w:rPr>
                <w:rFonts w:eastAsia="等线"/>
                <w:bCs/>
                <w:lang w:val="en-US" w:eastAsia="zh-CN"/>
              </w:rPr>
            </w:pPr>
          </w:p>
        </w:tc>
        <w:tc>
          <w:tcPr>
            <w:tcW w:w="2632" w:type="dxa"/>
          </w:tcPr>
          <w:p w:rsidR="00D0451A" w:rsidRDefault="00D0451A">
            <w:pPr>
              <w:rPr>
                <w:lang w:val="en-US" w:eastAsia="zh-CN"/>
              </w:rPr>
            </w:pPr>
          </w:p>
        </w:tc>
        <w:tc>
          <w:tcPr>
            <w:tcW w:w="5381" w:type="dxa"/>
          </w:tcPr>
          <w:p w:rsidR="00D0451A" w:rsidRDefault="00D0451A">
            <w:pPr>
              <w:rPr>
                <w:rFonts w:eastAsia="等线"/>
                <w:bCs/>
                <w:lang w:val="de-DE" w:eastAsia="zh-CN"/>
              </w:rPr>
            </w:pPr>
          </w:p>
        </w:tc>
      </w:tr>
      <w:tr w:rsidR="00D0451A">
        <w:tc>
          <w:tcPr>
            <w:tcW w:w="1616" w:type="dxa"/>
          </w:tcPr>
          <w:p w:rsidR="00D0451A" w:rsidRDefault="00D0451A">
            <w:pPr>
              <w:rPr>
                <w:rFonts w:eastAsia="等线"/>
                <w:bCs/>
                <w:lang w:val="en-US" w:eastAsia="zh-CN"/>
              </w:rPr>
            </w:pPr>
          </w:p>
        </w:tc>
        <w:tc>
          <w:tcPr>
            <w:tcW w:w="2632" w:type="dxa"/>
          </w:tcPr>
          <w:p w:rsidR="00D0451A" w:rsidRDefault="00D0451A">
            <w:pPr>
              <w:rPr>
                <w:rFonts w:eastAsia="等线"/>
                <w:lang w:val="en-US" w:eastAsia="zh-CN"/>
              </w:rPr>
            </w:pPr>
          </w:p>
        </w:tc>
        <w:tc>
          <w:tcPr>
            <w:tcW w:w="5381" w:type="dxa"/>
          </w:tcPr>
          <w:p w:rsidR="00D0451A" w:rsidRDefault="00D0451A">
            <w:pPr>
              <w:rPr>
                <w:rFonts w:eastAsia="等线"/>
                <w:bCs/>
                <w:lang w:val="de-DE" w:eastAsia="zh-CN"/>
              </w:rPr>
            </w:pPr>
          </w:p>
        </w:tc>
      </w:tr>
      <w:tr w:rsidR="00D0451A">
        <w:tc>
          <w:tcPr>
            <w:tcW w:w="1616" w:type="dxa"/>
          </w:tcPr>
          <w:p w:rsidR="00D0451A" w:rsidRDefault="00D0451A">
            <w:pPr>
              <w:rPr>
                <w:rFonts w:eastAsia="等线"/>
                <w:bCs/>
                <w:lang w:val="en-US" w:eastAsia="zh-CN"/>
              </w:rPr>
            </w:pPr>
          </w:p>
        </w:tc>
        <w:tc>
          <w:tcPr>
            <w:tcW w:w="2632" w:type="dxa"/>
          </w:tcPr>
          <w:p w:rsidR="00D0451A" w:rsidRDefault="00D0451A">
            <w:pPr>
              <w:rPr>
                <w:rFonts w:eastAsia="等线"/>
                <w:lang w:val="en-US" w:eastAsia="zh-CN"/>
              </w:rPr>
            </w:pPr>
          </w:p>
        </w:tc>
        <w:tc>
          <w:tcPr>
            <w:tcW w:w="5381" w:type="dxa"/>
          </w:tcPr>
          <w:p w:rsidR="00D0451A" w:rsidRDefault="00D0451A">
            <w:pPr>
              <w:keepNext/>
              <w:keepLines/>
              <w:rPr>
                <w:rFonts w:eastAsia="等线"/>
                <w:bCs/>
                <w:lang w:val="de-DE" w:eastAsia="zh-CN"/>
              </w:rPr>
            </w:pPr>
          </w:p>
        </w:tc>
      </w:tr>
    </w:tbl>
    <w:p w:rsidR="00D0451A" w:rsidRDefault="00D0451A">
      <w:pPr>
        <w:jc w:val="both"/>
      </w:pPr>
    </w:p>
    <w:p w:rsidR="00D0451A" w:rsidRDefault="00D0451A"/>
    <w:p w:rsidR="00D0451A" w:rsidRDefault="002A5230">
      <w:pPr>
        <w:pStyle w:val="31"/>
        <w:rPr>
          <w:lang w:val="en-US"/>
        </w:rPr>
      </w:pPr>
      <w:r>
        <w:rPr>
          <w:lang w:val="en-US"/>
        </w:rPr>
        <w:t>2.2.3</w:t>
      </w:r>
      <w:r>
        <w:rPr>
          <w:lang w:val="en-US"/>
        </w:rPr>
        <w:tab/>
        <w:t>HARQ-ACK delay set(s) for Alt-2e</w:t>
      </w:r>
    </w:p>
    <w:p w:rsidR="00D0451A" w:rsidRDefault="002A5230">
      <w:pPr>
        <w:jc w:val="both"/>
      </w:pPr>
      <w:r>
        <w:t>Background: During the GTW session, the following Working Assumption was reached:</w:t>
      </w:r>
    </w:p>
    <w:tbl>
      <w:tblPr>
        <w:tblStyle w:val="af4"/>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629"/>
      </w:tblGrid>
      <w:tr w:rsidR="00D0451A">
        <w:tc>
          <w:tcPr>
            <w:tcW w:w="9629" w:type="dxa"/>
          </w:tcPr>
          <w:p w:rsidR="00D0451A" w:rsidRDefault="002A5230">
            <w:pPr>
              <w:keepNext/>
              <w:keepLines/>
              <w:jc w:val="both"/>
              <w:rPr>
                <w:b/>
                <w:bCs/>
                <w:highlight w:val="darkYellow"/>
                <w:lang w:val="de-DE"/>
              </w:rPr>
            </w:pPr>
            <w:r>
              <w:rPr>
                <w:b/>
                <w:bCs/>
                <w:highlight w:val="darkYellow"/>
                <w:lang w:val="de-DE"/>
              </w:rPr>
              <w:t>Working Assumption</w:t>
            </w:r>
          </w:p>
          <w:p w:rsidR="00D0451A" w:rsidRDefault="002A5230">
            <w:pPr>
              <w:jc w:val="both"/>
              <w:rPr>
                <w:b/>
                <w:bCs/>
                <w:sz w:val="18"/>
                <w:szCs w:val="18"/>
                <w:lang w:val="en-US"/>
              </w:rPr>
            </w:pPr>
            <w:r>
              <w:rPr>
                <w:b/>
                <w:bCs/>
                <w:sz w:val="18"/>
                <w:szCs w:val="18"/>
                <w:lang w:val="en-US"/>
              </w:rPr>
              <w:t xml:space="preserve">For the joint encoding </w:t>
            </w:r>
            <w:bookmarkStart w:id="5" w:name="_Hlk84427629"/>
            <w:r>
              <w:rPr>
                <w:b/>
                <w:bCs/>
                <w:sz w:val="18"/>
                <w:szCs w:val="18"/>
                <w:lang w:val="en-US"/>
              </w:rPr>
              <w:t>of “PDSCH Scheduling delay” and “HARQ-ACK delay” when Alt-2e is configured</w:t>
            </w:r>
            <w:bookmarkEnd w:id="5"/>
            <w:r>
              <w:rPr>
                <w:b/>
                <w:bCs/>
                <w:sz w:val="18"/>
                <w:szCs w:val="18"/>
                <w:lang w:val="en-US"/>
              </w:rPr>
              <w:t>, the HARQ-ACK delay set has a size of:</w:t>
            </w:r>
          </w:p>
          <w:p w:rsidR="00D0451A" w:rsidRDefault="002A5230">
            <w:pPr>
              <w:pStyle w:val="afc"/>
              <w:numPr>
                <w:ilvl w:val="0"/>
                <w:numId w:val="24"/>
              </w:numPr>
              <w:jc w:val="both"/>
              <w:rPr>
                <w:b/>
                <w:bCs/>
                <w:sz w:val="18"/>
                <w:szCs w:val="18"/>
                <w:lang w:val="en-US"/>
              </w:rPr>
            </w:pPr>
            <w:r>
              <w:rPr>
                <w:b/>
                <w:bCs/>
                <w:sz w:val="18"/>
                <w:szCs w:val="18"/>
                <w:lang w:val="en-US"/>
              </w:rPr>
              <w:t>Alt-C:</w:t>
            </w:r>
          </w:p>
          <w:p w:rsidR="00D0451A" w:rsidRDefault="002A5230">
            <w:pPr>
              <w:pStyle w:val="afc"/>
              <w:numPr>
                <w:ilvl w:val="2"/>
                <w:numId w:val="24"/>
              </w:numPr>
              <w:jc w:val="both"/>
              <w:rPr>
                <w:b/>
                <w:bCs/>
                <w:sz w:val="16"/>
                <w:szCs w:val="16"/>
                <w:lang w:val="en-US"/>
              </w:rPr>
            </w:pPr>
            <w:r>
              <w:rPr>
                <w:b/>
                <w:bCs/>
                <w:sz w:val="16"/>
                <w:szCs w:val="16"/>
                <w:lang w:val="en-US"/>
              </w:rPr>
              <w:t>12 elements: HARQ-ACK delay set = {</w:t>
            </w:r>
            <w:r>
              <w:rPr>
                <w:b/>
                <w:bCs/>
                <w:sz w:val="16"/>
                <w:szCs w:val="16"/>
                <w:highlight w:val="yellow"/>
                <w:lang w:val="en-US"/>
              </w:rPr>
              <w:t>a, b, c, d, e, f, g, h, i, j, k, l</w:t>
            </w:r>
            <w:r>
              <w:rPr>
                <w:b/>
                <w:bCs/>
                <w:sz w:val="16"/>
                <w:szCs w:val="16"/>
                <w:lang w:val="en-US"/>
              </w:rPr>
              <w:t>} for the PDSCH Scheduling delay expression associated to the delay of 2.</w:t>
            </w:r>
          </w:p>
          <w:p w:rsidR="00D0451A" w:rsidRDefault="002A5230">
            <w:pPr>
              <w:pStyle w:val="afc"/>
              <w:numPr>
                <w:ilvl w:val="2"/>
                <w:numId w:val="24"/>
              </w:numPr>
              <w:jc w:val="both"/>
              <w:rPr>
                <w:b/>
                <w:bCs/>
                <w:sz w:val="16"/>
                <w:szCs w:val="16"/>
                <w:lang w:val="en-US"/>
              </w:rPr>
            </w:pPr>
            <w:r>
              <w:rPr>
                <w:b/>
                <w:bCs/>
                <w:sz w:val="16"/>
                <w:szCs w:val="16"/>
                <w:lang w:val="en-US"/>
              </w:rPr>
              <w:t xml:space="preserve">10 elements: HARQ-ACK delay set = </w:t>
            </w:r>
            <w:r>
              <w:rPr>
                <w:b/>
                <w:bCs/>
                <w:sz w:val="16"/>
                <w:szCs w:val="16"/>
                <w:highlight w:val="yellow"/>
                <w:lang w:val="en-US"/>
              </w:rPr>
              <w:t xml:space="preserve">{o, p, q, r, s, t, u, v, </w:t>
            </w:r>
            <w:r>
              <w:rPr>
                <w:rFonts w:hint="eastAsia"/>
                <w:b/>
                <w:bCs/>
                <w:sz w:val="16"/>
                <w:szCs w:val="16"/>
                <w:highlight w:val="yellow"/>
                <w:lang w:val="en-US" w:eastAsia="zh-CN"/>
              </w:rPr>
              <w:t>x</w:t>
            </w:r>
            <w:r>
              <w:rPr>
                <w:b/>
                <w:bCs/>
                <w:sz w:val="16"/>
                <w:szCs w:val="16"/>
                <w:highlight w:val="yellow"/>
                <w:lang w:val="en-US"/>
              </w:rPr>
              <w:t>, w}</w:t>
            </w:r>
            <w:r>
              <w:rPr>
                <w:b/>
                <w:bCs/>
                <w:sz w:val="16"/>
                <w:szCs w:val="16"/>
                <w:lang w:val="en-US"/>
              </w:rPr>
              <w:t xml:space="preserve"> for the two PDSCH Scheduling delay expressions associated to the delay of 7.</w:t>
            </w:r>
          </w:p>
          <w:p w:rsidR="00D0451A" w:rsidRDefault="002A5230">
            <w:pPr>
              <w:pStyle w:val="afc"/>
              <w:numPr>
                <w:ilvl w:val="3"/>
                <w:numId w:val="24"/>
              </w:numPr>
              <w:jc w:val="both"/>
              <w:rPr>
                <w:b/>
                <w:bCs/>
                <w:sz w:val="18"/>
                <w:szCs w:val="18"/>
                <w:lang w:val="en-US"/>
              </w:rPr>
            </w:pPr>
            <w:r>
              <w:rPr>
                <w:rFonts w:ascii="Times New Roman" w:hAnsi="Times New Roman"/>
                <w:b/>
                <w:bCs/>
                <w:sz w:val="16"/>
                <w:szCs w:val="16"/>
                <w:lang w:val="en-US"/>
              </w:rPr>
              <w:t xml:space="preserve">FFS: </w:t>
            </w:r>
            <w:r>
              <w:rPr>
                <w:b/>
                <w:bCs/>
                <w:sz w:val="16"/>
                <w:szCs w:val="16"/>
                <w:lang w:val="en-US"/>
              </w:rPr>
              <w:t xml:space="preserve">The values of </w:t>
            </w:r>
            <w:r>
              <w:rPr>
                <w:b/>
                <w:bCs/>
                <w:sz w:val="16"/>
                <w:szCs w:val="16"/>
                <w:highlight w:val="yellow"/>
                <w:lang w:val="en-US"/>
              </w:rPr>
              <w:t>{a, b, c, d, e, f, g, h, i, j, k, l},</w:t>
            </w:r>
            <w:r>
              <w:rPr>
                <w:b/>
                <w:bCs/>
                <w:sz w:val="16"/>
                <w:szCs w:val="16"/>
                <w:lang w:val="en-US"/>
              </w:rPr>
              <w:t xml:space="preserve"> </w:t>
            </w:r>
            <w:r>
              <w:rPr>
                <w:b/>
                <w:bCs/>
                <w:sz w:val="16"/>
                <w:szCs w:val="16"/>
                <w:highlight w:val="yellow"/>
                <w:lang w:val="en-US"/>
              </w:rPr>
              <w:t xml:space="preserve">{o, p, q, r, s, t, u, v, </w:t>
            </w:r>
            <w:r>
              <w:rPr>
                <w:rFonts w:hint="eastAsia"/>
                <w:b/>
                <w:bCs/>
                <w:sz w:val="16"/>
                <w:szCs w:val="16"/>
                <w:highlight w:val="yellow"/>
                <w:lang w:val="en-US" w:eastAsia="zh-CN"/>
              </w:rPr>
              <w:t>x</w:t>
            </w:r>
            <w:r>
              <w:rPr>
                <w:b/>
                <w:bCs/>
                <w:sz w:val="16"/>
                <w:szCs w:val="16"/>
                <w:highlight w:val="yellow"/>
                <w:lang w:val="en-US"/>
              </w:rPr>
              <w:t>, w}</w:t>
            </w:r>
            <w:r>
              <w:rPr>
                <w:b/>
                <w:bCs/>
                <w:sz w:val="16"/>
                <w:szCs w:val="16"/>
                <w:lang w:val="en-US"/>
              </w:rPr>
              <w:t xml:space="preserve"> where some of these elements may share the same value.</w:t>
            </w:r>
          </w:p>
          <w:p w:rsidR="00D0451A" w:rsidRDefault="002A5230">
            <w:pPr>
              <w:pStyle w:val="afc"/>
              <w:ind w:left="800"/>
              <w:jc w:val="both"/>
              <w:rPr>
                <w:b/>
                <w:bCs/>
                <w:strike/>
                <w:sz w:val="16"/>
                <w:szCs w:val="16"/>
                <w:lang w:val="en-US"/>
              </w:rPr>
            </w:pPr>
            <w:r>
              <w:rPr>
                <w:b/>
                <w:bCs/>
                <w:strike/>
                <w:sz w:val="16"/>
                <w:szCs w:val="16"/>
                <w:lang w:val="en-US"/>
              </w:rPr>
              <w:t xml:space="preserve">Note 1: The highlighted delay values in the alternatives above correspond to either </w:t>
            </w:r>
            <w:r>
              <w:rPr>
                <w:b/>
                <w:bCs/>
                <w:strike/>
                <w:color w:val="00B0F0"/>
                <w:sz w:val="16"/>
                <w:szCs w:val="16"/>
                <w:lang w:val="en-US"/>
              </w:rPr>
              <w:t>range1 = {4, 5, 7, 9, 11, 13, 15, 17}</w:t>
            </w:r>
            <w:r>
              <w:rPr>
                <w:b/>
                <w:bCs/>
                <w:strike/>
                <w:sz w:val="16"/>
                <w:szCs w:val="16"/>
                <w:lang w:val="en-US"/>
              </w:rPr>
              <w:t xml:space="preserve"> or </w:t>
            </w:r>
            <w:r>
              <w:rPr>
                <w:b/>
                <w:bCs/>
                <w:strike/>
                <w:color w:val="ED7D31"/>
                <w:sz w:val="16"/>
                <w:szCs w:val="16"/>
                <w:lang w:val="en-US"/>
              </w:rPr>
              <w:t>range2 = {4, 5, 6, 7, 8, 9, 10, 11}</w:t>
            </w:r>
            <w:r>
              <w:rPr>
                <w:b/>
                <w:bCs/>
                <w:strike/>
                <w:sz w:val="16"/>
                <w:szCs w:val="16"/>
                <w:lang w:val="en-US"/>
              </w:rPr>
              <w:t>.</w:t>
            </w:r>
          </w:p>
          <w:p w:rsidR="00D0451A" w:rsidRDefault="002A5230">
            <w:pPr>
              <w:pStyle w:val="afc"/>
              <w:ind w:left="800"/>
              <w:jc w:val="both"/>
              <w:rPr>
                <w:b/>
                <w:bCs/>
                <w:strike/>
                <w:sz w:val="16"/>
                <w:szCs w:val="16"/>
                <w:lang w:val="en-US"/>
              </w:rPr>
            </w:pPr>
            <w:r>
              <w:rPr>
                <w:b/>
                <w:bCs/>
                <w:strike/>
                <w:sz w:val="16"/>
                <w:szCs w:val="16"/>
                <w:lang w:val="en-US"/>
              </w:rPr>
              <w:t>Note 2: Only one alternative under the umbrella of either Alt-A or Alt-B or Alt-C is to be selected.</w:t>
            </w:r>
          </w:p>
          <w:p w:rsidR="00D0451A" w:rsidRDefault="00D0451A">
            <w:pPr>
              <w:jc w:val="both"/>
              <w:rPr>
                <w:rFonts w:eastAsia="等线"/>
                <w:b/>
                <w:bCs/>
                <w:lang w:val="en-US" w:eastAsia="zh-CN"/>
              </w:rPr>
            </w:pPr>
          </w:p>
        </w:tc>
      </w:tr>
    </w:tbl>
    <w:p w:rsidR="00D0451A" w:rsidRDefault="00D0451A">
      <w:pPr>
        <w:jc w:val="both"/>
        <w:rPr>
          <w:b/>
          <w:bCs/>
          <w:sz w:val="16"/>
          <w:szCs w:val="16"/>
          <w:lang w:val="en-US"/>
        </w:rPr>
      </w:pPr>
    </w:p>
    <w:tbl>
      <w:tblPr>
        <w:tblStyle w:val="af4"/>
        <w:tblW w:w="0" w:type="auto"/>
        <w:tblLook w:val="04A0" w:firstRow="1" w:lastRow="0" w:firstColumn="1" w:lastColumn="0" w:noHBand="0" w:noVBand="1"/>
      </w:tblPr>
      <w:tblGrid>
        <w:gridCol w:w="1413"/>
        <w:gridCol w:w="2551"/>
        <w:gridCol w:w="5665"/>
      </w:tblGrid>
      <w:tr w:rsidR="00D0451A">
        <w:tc>
          <w:tcPr>
            <w:tcW w:w="1413" w:type="dxa"/>
          </w:tcPr>
          <w:p w:rsidR="00D0451A" w:rsidRDefault="002A5230">
            <w:pPr>
              <w:jc w:val="center"/>
              <w:rPr>
                <w:b/>
                <w:bCs/>
                <w:sz w:val="18"/>
                <w:szCs w:val="18"/>
                <w:lang w:val="de-DE"/>
              </w:rPr>
            </w:pPr>
            <w:r>
              <w:rPr>
                <w:b/>
                <w:bCs/>
                <w:sz w:val="18"/>
                <w:szCs w:val="18"/>
                <w:lang w:val="de-DE"/>
              </w:rPr>
              <w:t>Company</w:t>
            </w:r>
          </w:p>
        </w:tc>
        <w:tc>
          <w:tcPr>
            <w:tcW w:w="2551" w:type="dxa"/>
          </w:tcPr>
          <w:p w:rsidR="00D0451A" w:rsidRDefault="002A5230">
            <w:pPr>
              <w:rPr>
                <w:b/>
                <w:bCs/>
                <w:sz w:val="18"/>
                <w:szCs w:val="18"/>
                <w:lang w:val="de-DE"/>
              </w:rPr>
            </w:pPr>
            <w:r>
              <w:rPr>
                <w:b/>
                <w:bCs/>
                <w:sz w:val="18"/>
                <w:szCs w:val="18"/>
                <w:lang w:val="de-DE"/>
              </w:rPr>
              <w:t>Please provide your initial views on what should be the delay values for HARQ-ACK delay sets of Alt-C.</w:t>
            </w:r>
          </w:p>
        </w:tc>
        <w:tc>
          <w:tcPr>
            <w:tcW w:w="5665" w:type="dxa"/>
          </w:tcPr>
          <w:p w:rsidR="00D0451A" w:rsidRDefault="002A5230">
            <w:pPr>
              <w:jc w:val="center"/>
              <w:rPr>
                <w:b/>
                <w:bCs/>
                <w:sz w:val="18"/>
                <w:szCs w:val="18"/>
                <w:lang w:val="de-DE"/>
              </w:rPr>
            </w:pPr>
            <w:r>
              <w:rPr>
                <w:b/>
                <w:bCs/>
                <w:sz w:val="18"/>
                <w:szCs w:val="18"/>
                <w:lang w:val="de-DE"/>
              </w:rPr>
              <w:t xml:space="preserve">Comments </w:t>
            </w:r>
          </w:p>
        </w:tc>
      </w:tr>
      <w:tr w:rsidR="00D0451A">
        <w:tc>
          <w:tcPr>
            <w:tcW w:w="1413" w:type="dxa"/>
          </w:tcPr>
          <w:p w:rsidR="00D0451A" w:rsidRDefault="002A5230">
            <w:pPr>
              <w:rPr>
                <w:rFonts w:asciiTheme="minorHAnsi" w:eastAsia="等线" w:hAnsiTheme="minorHAnsi" w:cstheme="minorHAnsi"/>
                <w:bCs/>
                <w:lang w:val="de-DE" w:eastAsia="zh-CN"/>
              </w:rPr>
            </w:pPr>
            <w:r>
              <w:rPr>
                <w:rFonts w:asciiTheme="minorHAnsi" w:eastAsia="等线" w:hAnsiTheme="minorHAnsi" w:cstheme="minorHAnsi" w:hint="eastAsia"/>
                <w:bCs/>
                <w:lang w:val="de-DE" w:eastAsia="zh-CN"/>
              </w:rPr>
              <w:t>L</w:t>
            </w:r>
            <w:r>
              <w:rPr>
                <w:rFonts w:asciiTheme="minorHAnsi" w:eastAsia="等线" w:hAnsiTheme="minorHAnsi" w:cstheme="minorHAnsi"/>
                <w:bCs/>
                <w:lang w:val="de-DE" w:eastAsia="zh-CN"/>
              </w:rPr>
              <w:t>enovo, MotoM</w:t>
            </w:r>
          </w:p>
        </w:tc>
        <w:tc>
          <w:tcPr>
            <w:tcW w:w="2551" w:type="dxa"/>
          </w:tcPr>
          <w:p w:rsidR="00D0451A" w:rsidRDefault="00D0451A">
            <w:pPr>
              <w:jc w:val="center"/>
              <w:rPr>
                <w:rFonts w:asciiTheme="minorHAnsi" w:eastAsia="等线" w:hAnsiTheme="minorHAnsi" w:cstheme="minorHAnsi"/>
                <w:bCs/>
                <w:lang w:val="de-DE" w:eastAsia="zh-CN"/>
              </w:rPr>
            </w:pPr>
          </w:p>
        </w:tc>
        <w:tc>
          <w:tcPr>
            <w:tcW w:w="5665" w:type="dxa"/>
          </w:tcPr>
          <w:p w:rsidR="00D0451A" w:rsidRDefault="002A5230">
            <w:pPr>
              <w:jc w:val="both"/>
              <w:rPr>
                <w:rFonts w:asciiTheme="minorHAnsi" w:eastAsia="等线" w:hAnsiTheme="minorHAnsi" w:cstheme="minorHAnsi"/>
                <w:bCs/>
                <w:lang w:val="de-DE" w:eastAsia="zh-CN"/>
              </w:rPr>
            </w:pPr>
            <w:r>
              <w:rPr>
                <w:rFonts w:asciiTheme="minorHAnsi" w:eastAsia="等线" w:hAnsiTheme="minorHAnsi" w:cstheme="minorHAnsi"/>
                <w:bCs/>
                <w:lang w:val="de-DE" w:eastAsia="zh-CN"/>
              </w:rPr>
              <w:t>If HARQ-ACK delay set is 12+10</w:t>
            </w:r>
            <w:r>
              <w:rPr>
                <w:rFonts w:asciiTheme="minorHAnsi" w:eastAsia="等线" w:hAnsiTheme="minorHAnsi" w:cstheme="minorHAnsi" w:hint="eastAsia"/>
                <w:bCs/>
                <w:lang w:val="de-DE" w:eastAsia="zh-CN"/>
              </w:rPr>
              <w:t>+</w:t>
            </w:r>
            <w:r>
              <w:rPr>
                <w:rFonts w:asciiTheme="minorHAnsi" w:eastAsia="等线" w:hAnsiTheme="minorHAnsi" w:cstheme="minorHAnsi"/>
                <w:bCs/>
                <w:lang w:val="de-DE" w:eastAsia="zh-CN"/>
              </w:rPr>
              <w:t>10</w:t>
            </w:r>
            <w:r>
              <w:rPr>
                <w:rFonts w:asciiTheme="minorHAnsi" w:eastAsia="等线" w:hAnsiTheme="minorHAnsi" w:cstheme="minorHAnsi" w:hint="eastAsia"/>
                <w:bCs/>
                <w:lang w:val="de-DE" w:eastAsia="zh-CN"/>
              </w:rPr>
              <w:t>,</w:t>
            </w:r>
            <w:r>
              <w:rPr>
                <w:rFonts w:asciiTheme="minorHAnsi" w:eastAsia="等线" w:hAnsiTheme="minorHAnsi" w:cstheme="minorHAnsi"/>
                <w:bCs/>
                <w:lang w:val="de-DE" w:eastAsia="zh-CN"/>
              </w:rPr>
              <w:t xml:space="preserve"> we should relax the support the percentage of invalid suframe to ~20%. So our preference of HARQ-ACK delay set is</w:t>
            </w:r>
          </w:p>
          <w:p w:rsidR="00D0451A" w:rsidRDefault="002A5230">
            <w:pPr>
              <w:jc w:val="both"/>
              <w:rPr>
                <w:rFonts w:asciiTheme="minorHAnsi" w:eastAsia="等线" w:hAnsiTheme="minorHAnsi" w:cstheme="minorHAnsi"/>
                <w:bCs/>
                <w:lang w:val="de-DE" w:eastAsia="zh-CN"/>
              </w:rPr>
            </w:pPr>
            <w:r>
              <w:rPr>
                <w:rFonts w:asciiTheme="minorHAnsi" w:eastAsia="等线" w:hAnsiTheme="minorHAnsi" w:cstheme="minorHAnsi" w:hint="eastAsia"/>
                <w:bCs/>
                <w:lang w:val="de-DE" w:eastAsia="zh-CN"/>
              </w:rPr>
              <w:t>{</w:t>
            </w:r>
            <w:r>
              <w:rPr>
                <w:rFonts w:asciiTheme="minorHAnsi" w:eastAsia="等线" w:hAnsiTheme="minorHAnsi" w:cstheme="minorHAnsi"/>
                <w:bCs/>
                <w:lang w:val="de-DE" w:eastAsia="zh-CN"/>
              </w:rPr>
              <w:t>4,5,6,7,8,9,10,11,12,13,14,15}</w:t>
            </w:r>
          </w:p>
          <w:p w:rsidR="00D0451A" w:rsidRDefault="002A5230">
            <w:pPr>
              <w:jc w:val="both"/>
              <w:rPr>
                <w:rFonts w:asciiTheme="minorHAnsi" w:eastAsia="等线" w:hAnsiTheme="minorHAnsi" w:cstheme="minorHAnsi"/>
                <w:bCs/>
                <w:lang w:val="de-DE" w:eastAsia="zh-CN"/>
              </w:rPr>
            </w:pPr>
            <w:r>
              <w:rPr>
                <w:rFonts w:asciiTheme="minorHAnsi" w:eastAsia="等线" w:hAnsiTheme="minorHAnsi" w:cstheme="minorHAnsi" w:hint="eastAsia"/>
                <w:bCs/>
                <w:lang w:val="de-DE" w:eastAsia="zh-CN"/>
              </w:rPr>
              <w:t>{</w:t>
            </w:r>
            <w:r>
              <w:rPr>
                <w:rFonts w:asciiTheme="minorHAnsi" w:eastAsia="等线" w:hAnsiTheme="minorHAnsi" w:cstheme="minorHAnsi"/>
                <w:bCs/>
                <w:lang w:val="de-DE" w:eastAsia="zh-CN"/>
              </w:rPr>
              <w:t>4,5,[6],12,13,14,15,16,17,18,[19]}</w:t>
            </w:r>
          </w:p>
        </w:tc>
      </w:tr>
      <w:tr w:rsidR="00D0451A">
        <w:tc>
          <w:tcPr>
            <w:tcW w:w="1413" w:type="dxa"/>
          </w:tcPr>
          <w:p w:rsidR="00D0451A" w:rsidRDefault="002A5230">
            <w:pPr>
              <w:rPr>
                <w:rFonts w:eastAsia="等线"/>
                <w:bCs/>
                <w:sz w:val="18"/>
                <w:szCs w:val="18"/>
                <w:lang w:val="en-US" w:eastAsia="zh-CN"/>
              </w:rPr>
            </w:pPr>
            <w:r>
              <w:rPr>
                <w:rFonts w:eastAsia="等线" w:hint="eastAsia"/>
                <w:bCs/>
                <w:sz w:val="18"/>
                <w:szCs w:val="18"/>
                <w:lang w:val="en-US" w:eastAsia="zh-CN"/>
              </w:rPr>
              <w:t>ZTE, Sanechips</w:t>
            </w:r>
          </w:p>
        </w:tc>
        <w:tc>
          <w:tcPr>
            <w:tcW w:w="2551" w:type="dxa"/>
          </w:tcPr>
          <w:p w:rsidR="00D0451A" w:rsidRDefault="00D0451A">
            <w:pPr>
              <w:jc w:val="center"/>
              <w:rPr>
                <w:rFonts w:asciiTheme="minorHAnsi" w:eastAsia="等线" w:hAnsiTheme="minorHAnsi" w:cstheme="minorHAnsi"/>
                <w:bCs/>
                <w:lang w:val="de-DE" w:eastAsia="zh-CN"/>
              </w:rPr>
            </w:pPr>
          </w:p>
        </w:tc>
        <w:tc>
          <w:tcPr>
            <w:tcW w:w="5665" w:type="dxa"/>
          </w:tcPr>
          <w:p w:rsidR="00D0451A" w:rsidRDefault="002A5230">
            <w:pPr>
              <w:jc w:val="both"/>
              <w:rPr>
                <w:rFonts w:asciiTheme="minorHAnsi" w:eastAsia="等线" w:hAnsiTheme="minorHAnsi" w:cstheme="minorHAnsi"/>
                <w:bCs/>
                <w:lang w:val="en-US" w:eastAsia="zh-CN"/>
              </w:rPr>
            </w:pPr>
            <w:r>
              <w:rPr>
                <w:rFonts w:asciiTheme="minorHAnsi" w:eastAsia="等线" w:hAnsiTheme="minorHAnsi" w:cstheme="minorHAnsi" w:hint="eastAsia"/>
                <w:bCs/>
                <w:lang w:val="en-US" w:eastAsia="zh-CN"/>
              </w:rPr>
              <w:t>For scheduling delay 2:</w:t>
            </w:r>
          </w:p>
          <w:p w:rsidR="00D0451A" w:rsidRDefault="002A5230">
            <w:pPr>
              <w:jc w:val="both"/>
              <w:rPr>
                <w:rFonts w:asciiTheme="minorHAnsi" w:eastAsia="等线" w:hAnsiTheme="minorHAnsi" w:cstheme="minorHAnsi"/>
                <w:bCs/>
                <w:lang w:val="en-US" w:eastAsia="zh-CN"/>
              </w:rPr>
            </w:pPr>
            <w:r>
              <w:rPr>
                <w:rFonts w:asciiTheme="minorHAnsi" w:eastAsia="等线" w:hAnsiTheme="minorHAnsi" w:cstheme="minorHAnsi" w:hint="eastAsia"/>
                <w:bCs/>
                <w:lang w:val="en-US" w:eastAsia="zh-CN"/>
              </w:rPr>
              <w:t>{4,5,6,7,8,9,10,11,12,13,15,17}</w:t>
            </w:r>
          </w:p>
          <w:p w:rsidR="00D0451A" w:rsidRDefault="002A5230">
            <w:pPr>
              <w:jc w:val="both"/>
              <w:rPr>
                <w:rFonts w:asciiTheme="minorHAnsi" w:eastAsia="等线" w:hAnsiTheme="minorHAnsi" w:cstheme="minorHAnsi"/>
                <w:bCs/>
                <w:lang w:val="en-US" w:eastAsia="zh-CN"/>
              </w:rPr>
            </w:pPr>
            <w:r>
              <w:rPr>
                <w:rFonts w:asciiTheme="minorHAnsi" w:eastAsia="等线" w:hAnsiTheme="minorHAnsi" w:cstheme="minorHAnsi" w:hint="eastAsia"/>
                <w:bCs/>
                <w:lang w:val="en-US" w:eastAsia="zh-CN"/>
              </w:rPr>
              <w:t>For scheduling delay 7:</w:t>
            </w:r>
          </w:p>
          <w:p w:rsidR="00D0451A" w:rsidRDefault="002A5230">
            <w:pPr>
              <w:jc w:val="both"/>
              <w:rPr>
                <w:rFonts w:asciiTheme="minorHAnsi" w:eastAsia="等线" w:hAnsiTheme="minorHAnsi" w:cstheme="minorHAnsi"/>
                <w:bCs/>
                <w:lang w:val="de-DE" w:eastAsia="zh-CN"/>
              </w:rPr>
            </w:pPr>
            <w:r>
              <w:rPr>
                <w:rFonts w:asciiTheme="minorHAnsi" w:eastAsia="等线" w:hAnsiTheme="minorHAnsi" w:cstheme="minorHAnsi" w:hint="eastAsia"/>
                <w:bCs/>
                <w:lang w:val="en-US" w:eastAsia="zh-CN"/>
              </w:rPr>
              <w:t>{12,13,14,15,16,17,18,19,4,5}</w:t>
            </w:r>
          </w:p>
        </w:tc>
      </w:tr>
      <w:tr w:rsidR="00D0451A">
        <w:tc>
          <w:tcPr>
            <w:tcW w:w="1413" w:type="dxa"/>
          </w:tcPr>
          <w:p w:rsidR="00D0451A" w:rsidRDefault="00D0451A">
            <w:pPr>
              <w:rPr>
                <w:rFonts w:eastAsia="等线"/>
                <w:bCs/>
                <w:sz w:val="18"/>
                <w:szCs w:val="18"/>
                <w:lang w:val="en-US" w:eastAsia="zh-CN"/>
              </w:rPr>
            </w:pPr>
          </w:p>
        </w:tc>
        <w:tc>
          <w:tcPr>
            <w:tcW w:w="2551" w:type="dxa"/>
          </w:tcPr>
          <w:p w:rsidR="00D0451A" w:rsidRDefault="00D0451A">
            <w:pPr>
              <w:jc w:val="center"/>
              <w:rPr>
                <w:rFonts w:eastAsia="等线"/>
                <w:bCs/>
                <w:sz w:val="18"/>
                <w:szCs w:val="18"/>
                <w:lang w:val="en-US" w:eastAsia="zh-CN"/>
              </w:rPr>
            </w:pPr>
          </w:p>
        </w:tc>
        <w:tc>
          <w:tcPr>
            <w:tcW w:w="5665" w:type="dxa"/>
          </w:tcPr>
          <w:p w:rsidR="00D0451A" w:rsidRDefault="00D0451A">
            <w:pPr>
              <w:jc w:val="both"/>
              <w:rPr>
                <w:rFonts w:eastAsia="等线"/>
                <w:bCs/>
                <w:sz w:val="18"/>
                <w:szCs w:val="18"/>
                <w:lang w:val="de-DE" w:eastAsia="zh-CN"/>
              </w:rPr>
            </w:pPr>
          </w:p>
        </w:tc>
      </w:tr>
      <w:tr w:rsidR="00D0451A">
        <w:tc>
          <w:tcPr>
            <w:tcW w:w="1413" w:type="dxa"/>
          </w:tcPr>
          <w:p w:rsidR="00D0451A" w:rsidRDefault="00D0451A">
            <w:pPr>
              <w:rPr>
                <w:rFonts w:eastAsia="等线"/>
                <w:bCs/>
                <w:sz w:val="18"/>
                <w:szCs w:val="18"/>
                <w:lang w:val="en-US" w:eastAsia="zh-CN"/>
              </w:rPr>
            </w:pPr>
          </w:p>
        </w:tc>
        <w:tc>
          <w:tcPr>
            <w:tcW w:w="2551" w:type="dxa"/>
          </w:tcPr>
          <w:p w:rsidR="00D0451A" w:rsidRDefault="00D0451A">
            <w:pPr>
              <w:jc w:val="center"/>
              <w:rPr>
                <w:rFonts w:eastAsia="等线"/>
                <w:bCs/>
                <w:sz w:val="18"/>
                <w:szCs w:val="18"/>
                <w:lang w:val="en-US" w:eastAsia="zh-CN"/>
              </w:rPr>
            </w:pPr>
          </w:p>
        </w:tc>
        <w:tc>
          <w:tcPr>
            <w:tcW w:w="5665" w:type="dxa"/>
          </w:tcPr>
          <w:p w:rsidR="00D0451A" w:rsidRDefault="00D0451A">
            <w:pPr>
              <w:jc w:val="both"/>
              <w:rPr>
                <w:rFonts w:eastAsia="等线"/>
                <w:bCs/>
                <w:sz w:val="18"/>
                <w:szCs w:val="18"/>
                <w:lang w:val="en-US" w:eastAsia="zh-CN"/>
              </w:rPr>
            </w:pPr>
          </w:p>
        </w:tc>
      </w:tr>
      <w:tr w:rsidR="00D0451A">
        <w:tc>
          <w:tcPr>
            <w:tcW w:w="1413" w:type="dxa"/>
          </w:tcPr>
          <w:p w:rsidR="00D0451A" w:rsidRDefault="00D0451A">
            <w:pPr>
              <w:rPr>
                <w:rFonts w:eastAsia="等线"/>
                <w:bCs/>
                <w:sz w:val="18"/>
                <w:szCs w:val="18"/>
                <w:lang w:val="en-US" w:eastAsia="zh-CN"/>
              </w:rPr>
            </w:pPr>
          </w:p>
        </w:tc>
        <w:tc>
          <w:tcPr>
            <w:tcW w:w="2551" w:type="dxa"/>
          </w:tcPr>
          <w:p w:rsidR="00D0451A" w:rsidRDefault="00D0451A">
            <w:pPr>
              <w:jc w:val="center"/>
              <w:rPr>
                <w:rFonts w:eastAsia="等线"/>
                <w:bCs/>
                <w:sz w:val="18"/>
                <w:szCs w:val="18"/>
                <w:lang w:val="en-US" w:eastAsia="zh-CN"/>
              </w:rPr>
            </w:pPr>
          </w:p>
        </w:tc>
        <w:tc>
          <w:tcPr>
            <w:tcW w:w="5665" w:type="dxa"/>
          </w:tcPr>
          <w:p w:rsidR="00D0451A" w:rsidRDefault="00D0451A">
            <w:pPr>
              <w:jc w:val="both"/>
              <w:rPr>
                <w:rFonts w:eastAsia="等线"/>
                <w:bCs/>
                <w:sz w:val="18"/>
                <w:szCs w:val="18"/>
                <w:lang w:val="en-US" w:eastAsia="zh-CN"/>
              </w:rPr>
            </w:pPr>
          </w:p>
        </w:tc>
      </w:tr>
      <w:tr w:rsidR="00D0451A">
        <w:tc>
          <w:tcPr>
            <w:tcW w:w="1413" w:type="dxa"/>
          </w:tcPr>
          <w:p w:rsidR="00D0451A" w:rsidRDefault="00D0451A">
            <w:pPr>
              <w:rPr>
                <w:rFonts w:eastAsia="等线"/>
                <w:bCs/>
                <w:sz w:val="18"/>
                <w:szCs w:val="18"/>
                <w:lang w:val="en-US" w:eastAsia="zh-CN"/>
              </w:rPr>
            </w:pPr>
          </w:p>
        </w:tc>
        <w:tc>
          <w:tcPr>
            <w:tcW w:w="2551" w:type="dxa"/>
          </w:tcPr>
          <w:p w:rsidR="00D0451A" w:rsidRDefault="00D0451A">
            <w:pPr>
              <w:jc w:val="center"/>
              <w:rPr>
                <w:rFonts w:eastAsia="等线"/>
                <w:bCs/>
                <w:sz w:val="18"/>
                <w:szCs w:val="18"/>
                <w:lang w:val="en-US" w:eastAsia="zh-CN"/>
              </w:rPr>
            </w:pPr>
          </w:p>
        </w:tc>
        <w:tc>
          <w:tcPr>
            <w:tcW w:w="5665" w:type="dxa"/>
          </w:tcPr>
          <w:p w:rsidR="00D0451A" w:rsidRDefault="00D0451A">
            <w:pPr>
              <w:jc w:val="both"/>
              <w:rPr>
                <w:rFonts w:eastAsia="等线"/>
                <w:bCs/>
                <w:sz w:val="18"/>
                <w:szCs w:val="18"/>
                <w:lang w:val="en-US" w:eastAsia="zh-CN"/>
              </w:rPr>
            </w:pPr>
          </w:p>
        </w:tc>
      </w:tr>
    </w:tbl>
    <w:p w:rsidR="00D0451A" w:rsidRDefault="00D0451A"/>
    <w:p w:rsidR="00D0451A" w:rsidRDefault="002A5230">
      <w:pPr>
        <w:pStyle w:val="1"/>
      </w:pPr>
      <w:r>
        <w:lastRenderedPageBreak/>
        <w:t>3</w:t>
      </w:r>
      <w:r>
        <w:tab/>
        <w:t>References</w:t>
      </w:r>
    </w:p>
    <w:bookmarkStart w:id="6" w:name="_Ref525824664"/>
    <w:bookmarkStart w:id="7" w:name="_Ref189809556"/>
    <w:bookmarkStart w:id="8" w:name="_Hlk4751152"/>
    <w:bookmarkStart w:id="9" w:name="_Ref174151459"/>
    <w:p w:rsidR="00D0451A" w:rsidRDefault="002A5230">
      <w:pPr>
        <w:pStyle w:val="Reference"/>
      </w:pPr>
      <w:r>
        <w:fldChar w:fldCharType="begin"/>
      </w:r>
      <w:r>
        <w:instrText xml:space="preserve"> HYPERLINK "http://www.3gpp.org/ftp/TSG_RAN/TSG_RAN/TSGR_88e/Docs/RP-201306.zip" </w:instrText>
      </w:r>
      <w:r>
        <w:fldChar w:fldCharType="separate"/>
      </w:r>
      <w:r>
        <w:rPr>
          <w:rStyle w:val="af9"/>
        </w:rPr>
        <w:t>RP-201306</w:t>
      </w:r>
      <w:r>
        <w:fldChar w:fldCharType="end"/>
      </w:r>
      <w:r>
        <w:t>, WID: Additional enhancements for NB-IoT and LTE-MTC, RAN #88e, Electronic Meeting, June 29</w:t>
      </w:r>
      <w:r>
        <w:rPr>
          <w:vertAlign w:val="superscript"/>
        </w:rPr>
        <w:t>th</w:t>
      </w:r>
      <w:r>
        <w:t>-3</w:t>
      </w:r>
      <w:r>
        <w:rPr>
          <w:vertAlign w:val="superscript"/>
        </w:rPr>
        <w:t>rd</w:t>
      </w:r>
      <w:r>
        <w:t>, 2020.</w:t>
      </w:r>
    </w:p>
    <w:p w:rsidR="00D0451A" w:rsidRDefault="002E4DE5">
      <w:pPr>
        <w:pStyle w:val="Reference"/>
      </w:pPr>
      <w:hyperlink r:id="rId13" w:history="1">
        <w:r w:rsidR="002A5230">
          <w:rPr>
            <w:rStyle w:val="af9"/>
            <w:lang w:val="en-US"/>
          </w:rPr>
          <w:t>R1-2108778</w:t>
        </w:r>
      </w:hyperlink>
      <w:r w:rsidR="002A5230">
        <w:t>, “Support of 14-HARQ processes in DL for HD-FDD MTC UEs,” Huawei, HiSilicon, RAN1 #106bis-e, October 11</w:t>
      </w:r>
      <w:r w:rsidR="002A5230">
        <w:rPr>
          <w:vertAlign w:val="superscript"/>
        </w:rPr>
        <w:t>th</w:t>
      </w:r>
      <w:r w:rsidR="002A5230">
        <w:t xml:space="preserve"> – 19</w:t>
      </w:r>
      <w:r w:rsidR="002A5230">
        <w:rPr>
          <w:vertAlign w:val="superscript"/>
        </w:rPr>
        <w:t>th</w:t>
      </w:r>
      <w:r w:rsidR="002A5230">
        <w:t>, 2021.</w:t>
      </w:r>
    </w:p>
    <w:p w:rsidR="00D0451A" w:rsidRDefault="002E4DE5">
      <w:pPr>
        <w:pStyle w:val="Reference"/>
      </w:pPr>
      <w:hyperlink r:id="rId14" w:history="1">
        <w:r w:rsidR="002A5230">
          <w:rPr>
            <w:rStyle w:val="af9"/>
            <w:lang w:val="en-US"/>
          </w:rPr>
          <w:t>R1-2109315</w:t>
        </w:r>
      </w:hyperlink>
      <w:r w:rsidR="002A5230">
        <w:t>, “Support of 14-HARQ processes in DL for eMTC,” Nokia, Nokia Shanghai Bell, RAN1 #106bis-e, October 11</w:t>
      </w:r>
      <w:r w:rsidR="002A5230">
        <w:rPr>
          <w:vertAlign w:val="superscript"/>
        </w:rPr>
        <w:t>th</w:t>
      </w:r>
      <w:r w:rsidR="002A5230">
        <w:t xml:space="preserve"> – 19</w:t>
      </w:r>
      <w:r w:rsidR="002A5230">
        <w:rPr>
          <w:vertAlign w:val="superscript"/>
        </w:rPr>
        <w:t>th</w:t>
      </w:r>
      <w:r w:rsidR="002A5230">
        <w:t>, 2021.</w:t>
      </w:r>
    </w:p>
    <w:p w:rsidR="00D0451A" w:rsidRDefault="002E4DE5">
      <w:pPr>
        <w:pStyle w:val="Reference"/>
      </w:pPr>
      <w:hyperlink r:id="rId15" w:history="1">
        <w:r w:rsidR="002A5230">
          <w:rPr>
            <w:rStyle w:val="af9"/>
            <w:lang w:val="en-US"/>
          </w:rPr>
          <w:t>R1-2109338</w:t>
        </w:r>
      </w:hyperlink>
      <w:r w:rsidR="002A5230">
        <w:t>, “Remaining issues on 14-HARQ processes in DL for eMTC,” ZTE, RAN1 #106bis-e, October 11</w:t>
      </w:r>
      <w:r w:rsidR="002A5230">
        <w:rPr>
          <w:vertAlign w:val="superscript"/>
        </w:rPr>
        <w:t>th</w:t>
      </w:r>
      <w:r w:rsidR="002A5230">
        <w:t xml:space="preserve"> – 19</w:t>
      </w:r>
      <w:r w:rsidR="002A5230">
        <w:rPr>
          <w:vertAlign w:val="superscript"/>
        </w:rPr>
        <w:t>th</w:t>
      </w:r>
      <w:r w:rsidR="002A5230">
        <w:t>, 2021.</w:t>
      </w:r>
    </w:p>
    <w:p w:rsidR="00D0451A" w:rsidRDefault="002E4DE5">
      <w:pPr>
        <w:pStyle w:val="Reference"/>
      </w:pPr>
      <w:hyperlink r:id="rId16" w:history="1">
        <w:r w:rsidR="002A5230">
          <w:rPr>
            <w:rStyle w:val="af9"/>
            <w:lang w:val="en-US"/>
          </w:rPr>
          <w:t>R1-2109175</w:t>
        </w:r>
      </w:hyperlink>
      <w:r w:rsidR="002A5230">
        <w:t>, “Support of 14 HARQ processes and scheduling delay,” Qualcomm Incorporated, RAN1 #106bis-e, October 11</w:t>
      </w:r>
      <w:r w:rsidR="002A5230">
        <w:rPr>
          <w:vertAlign w:val="superscript"/>
        </w:rPr>
        <w:t>th</w:t>
      </w:r>
      <w:r w:rsidR="002A5230">
        <w:t xml:space="preserve"> – 19</w:t>
      </w:r>
      <w:r w:rsidR="002A5230">
        <w:rPr>
          <w:vertAlign w:val="superscript"/>
        </w:rPr>
        <w:t>th</w:t>
      </w:r>
      <w:r w:rsidR="002A5230">
        <w:t>, 2021.</w:t>
      </w:r>
    </w:p>
    <w:p w:rsidR="00D0451A" w:rsidRDefault="002E4DE5">
      <w:pPr>
        <w:pStyle w:val="Reference"/>
      </w:pPr>
      <w:hyperlink r:id="rId17" w:history="1">
        <w:r w:rsidR="002A5230">
          <w:rPr>
            <w:rStyle w:val="af9"/>
            <w:lang w:val="en-US"/>
          </w:rPr>
          <w:t>R1-2110317</w:t>
        </w:r>
      </w:hyperlink>
      <w:r w:rsidR="002A5230">
        <w:t>, “Support of 14 HARQ processes in DL in LTE-MTC,” Ericsson, RAN1 #106bis-e, October 11</w:t>
      </w:r>
      <w:r w:rsidR="002A5230">
        <w:rPr>
          <w:vertAlign w:val="superscript"/>
        </w:rPr>
        <w:t>th</w:t>
      </w:r>
      <w:r w:rsidR="002A5230">
        <w:t xml:space="preserve"> – 19</w:t>
      </w:r>
      <w:r w:rsidR="002A5230">
        <w:rPr>
          <w:vertAlign w:val="superscript"/>
        </w:rPr>
        <w:t>th</w:t>
      </w:r>
      <w:r w:rsidR="002A5230">
        <w:t>, 2021.</w:t>
      </w:r>
    </w:p>
    <w:p w:rsidR="00D0451A" w:rsidRDefault="002A5230">
      <w:pPr>
        <w:pStyle w:val="Reference"/>
      </w:pPr>
      <w:r>
        <w:t>Session notes for 8.9 (Rel-17 enhancements for NB-IoT and LTE-MTC), Ad-hoc chair (Samsung), 3GPP TSG RAN WG1 Meeting #102-e, e-Meeting, August 17</w:t>
      </w:r>
      <w:r>
        <w:rPr>
          <w:vertAlign w:val="superscript"/>
        </w:rPr>
        <w:t>th</w:t>
      </w:r>
      <w:r>
        <w:t xml:space="preserve"> – 28</w:t>
      </w:r>
      <w:r>
        <w:rPr>
          <w:vertAlign w:val="superscript"/>
        </w:rPr>
        <w:t>th</w:t>
      </w:r>
      <w:r>
        <w:t>, 2020.</w:t>
      </w:r>
    </w:p>
    <w:p w:rsidR="00D0451A" w:rsidRDefault="002A5230">
      <w:pPr>
        <w:pStyle w:val="Reference"/>
      </w:pPr>
      <w:r>
        <w:t>Session notes for 8.9 (Rel-17 enhancements for NB-IoT and LTE-MTC), Ad-hoc chair (Samsung), 3GPP TSG RAN WG1 Meeting #103-e, e-Meeting, October 26</w:t>
      </w:r>
      <w:r>
        <w:rPr>
          <w:vertAlign w:val="superscript"/>
        </w:rPr>
        <w:t>th</w:t>
      </w:r>
      <w:r>
        <w:t xml:space="preserve"> – November 13</w:t>
      </w:r>
      <w:r>
        <w:rPr>
          <w:vertAlign w:val="superscript"/>
        </w:rPr>
        <w:t>th</w:t>
      </w:r>
      <w:r>
        <w:t>, 2020.</w:t>
      </w:r>
    </w:p>
    <w:p w:rsidR="00D0451A" w:rsidRDefault="002A5230">
      <w:pPr>
        <w:pStyle w:val="Reference"/>
      </w:pPr>
      <w:r>
        <w:t>Session notes for 8.9 (Rel-17 enhancements for NB-IoT and LTE-MTC), Ad-hoc chair (Samsung), 3GPP TSG RAN WG1 Meeting #104-e, e-Meeting, January 25</w:t>
      </w:r>
      <w:r>
        <w:rPr>
          <w:vertAlign w:val="superscript"/>
        </w:rPr>
        <w:t>th</w:t>
      </w:r>
      <w:r>
        <w:t xml:space="preserve"> – February 5</w:t>
      </w:r>
      <w:r>
        <w:rPr>
          <w:vertAlign w:val="superscript"/>
        </w:rPr>
        <w:t>th</w:t>
      </w:r>
      <w:r>
        <w:t>, 2021.</w:t>
      </w:r>
      <w:bookmarkEnd w:id="6"/>
      <w:bookmarkEnd w:id="7"/>
      <w:bookmarkEnd w:id="8"/>
      <w:bookmarkEnd w:id="9"/>
    </w:p>
    <w:p w:rsidR="00D0451A" w:rsidRDefault="002A5230">
      <w:pPr>
        <w:pStyle w:val="Reference"/>
      </w:pPr>
      <w:r>
        <w:t>Session notes for 8.9 (Rel-17 enhancements for NB-IoT and LTE-MTC), Ad-hoc chair (Samsung), 3GPP TSG RAN WG1 Meeting #104-bis-e, e-Meeting, April 12</w:t>
      </w:r>
      <w:r>
        <w:rPr>
          <w:vertAlign w:val="superscript"/>
        </w:rPr>
        <w:t>th</w:t>
      </w:r>
      <w:r>
        <w:t xml:space="preserve"> – 20</w:t>
      </w:r>
      <w:r>
        <w:rPr>
          <w:vertAlign w:val="superscript"/>
        </w:rPr>
        <w:t>th</w:t>
      </w:r>
      <w:r>
        <w:t>, 2021.</w:t>
      </w:r>
    </w:p>
    <w:p w:rsidR="00D0451A" w:rsidRDefault="002A5230">
      <w:pPr>
        <w:pStyle w:val="Reference"/>
      </w:pPr>
      <w:r>
        <w:t>Session notes for 8.9 (Rel-17 enhancements for NB-IoT and LTE-MTC), Ad-hoc chair (Samsung), 3GPP TSG RAN WG1 Meeting #105-e, e-Meeting, May 10</w:t>
      </w:r>
      <w:r>
        <w:rPr>
          <w:vertAlign w:val="superscript"/>
        </w:rPr>
        <w:t>th</w:t>
      </w:r>
      <w:r>
        <w:t xml:space="preserve"> – 27</w:t>
      </w:r>
      <w:r>
        <w:rPr>
          <w:vertAlign w:val="superscript"/>
        </w:rPr>
        <w:t>th</w:t>
      </w:r>
      <w:r>
        <w:t>, 2021.</w:t>
      </w:r>
    </w:p>
    <w:p w:rsidR="00D0451A" w:rsidRDefault="002A5230">
      <w:pPr>
        <w:pStyle w:val="Reference"/>
      </w:pPr>
      <w:r>
        <w:t>Session notes for 8.9 (Rel-17 enhancements for NB-IoT and LTE-MTC), Ad-hoc chair (Samsung), 3GPP TSG RAN WG1 Meeting #106-e, e-Meeting, August 16</w:t>
      </w:r>
      <w:r>
        <w:rPr>
          <w:vertAlign w:val="superscript"/>
        </w:rPr>
        <w:t>th</w:t>
      </w:r>
      <w:r>
        <w:t xml:space="preserve"> – 27</w:t>
      </w:r>
      <w:r>
        <w:rPr>
          <w:vertAlign w:val="superscript"/>
        </w:rPr>
        <w:t>th</w:t>
      </w:r>
      <w:r>
        <w:t>, 2021.</w:t>
      </w:r>
    </w:p>
    <w:p w:rsidR="00D0451A" w:rsidRDefault="002E4DE5">
      <w:pPr>
        <w:pStyle w:val="Reference"/>
      </w:pPr>
      <w:hyperlink r:id="rId18" w:history="1">
        <w:r w:rsidR="002A5230">
          <w:rPr>
            <w:rStyle w:val="af9"/>
          </w:rPr>
          <w:t>R1-2110413</w:t>
        </w:r>
      </w:hyperlink>
      <w:r w:rsidR="002A5230">
        <w:t>, “Feature Lead Summary [106bis-e-LTE-Rel17-NB-IoT-eMTC-02] - first checkpoint”, Moderator (Ericsson), RAN1 #106bis-e, October 11</w:t>
      </w:r>
      <w:r w:rsidR="002A5230">
        <w:rPr>
          <w:vertAlign w:val="superscript"/>
        </w:rPr>
        <w:t>th</w:t>
      </w:r>
      <w:r w:rsidR="002A5230">
        <w:t xml:space="preserve"> – 19</w:t>
      </w:r>
      <w:r w:rsidR="002A5230">
        <w:rPr>
          <w:vertAlign w:val="superscript"/>
        </w:rPr>
        <w:t>th</w:t>
      </w:r>
      <w:r w:rsidR="002A5230">
        <w:t>, 2021.</w:t>
      </w:r>
    </w:p>
    <w:p w:rsidR="00D0451A" w:rsidRDefault="002A5230">
      <w:pPr>
        <w:pStyle w:val="1"/>
      </w:pPr>
      <w:r>
        <w:t>Annex 1</w:t>
      </w:r>
    </w:p>
    <w:p w:rsidR="00D0451A" w:rsidRDefault="002A5230">
      <w:pPr>
        <w:pStyle w:val="21"/>
      </w:pPr>
      <w:r>
        <w:t>A1.1 List of agreements from RAN1 #102-e:</w:t>
      </w:r>
    </w:p>
    <w:p w:rsidR="00D0451A" w:rsidRDefault="002A5230">
      <w:pPr>
        <w:jc w:val="both"/>
        <w:rPr>
          <w:b/>
          <w:bCs/>
          <w:highlight w:val="green"/>
        </w:rPr>
      </w:pPr>
      <w:r>
        <w:rPr>
          <w:b/>
          <w:bCs/>
          <w:highlight w:val="green"/>
        </w:rPr>
        <w:t xml:space="preserve">Agreement </w:t>
      </w:r>
    </w:p>
    <w:p w:rsidR="00D0451A" w:rsidRDefault="002A5230">
      <w:pPr>
        <w:jc w:val="both"/>
      </w:pPr>
      <w:r>
        <w:t xml:space="preserve">Introduce a new RRC configuration parameter to enable 14 HARQ processes. </w:t>
      </w:r>
    </w:p>
    <w:p w:rsidR="00D0451A" w:rsidRDefault="002A5230">
      <w:pPr>
        <w:jc w:val="both"/>
        <w:rPr>
          <w:b/>
          <w:bCs/>
          <w:highlight w:val="green"/>
        </w:rPr>
      </w:pPr>
      <w:r>
        <w:rPr>
          <w:b/>
          <w:bCs/>
          <w:highlight w:val="green"/>
        </w:rPr>
        <w:t>Agreement</w:t>
      </w:r>
    </w:p>
    <w:p w:rsidR="00D0451A" w:rsidRDefault="002A5230">
      <w:pPr>
        <w:jc w:val="both"/>
      </w:pPr>
      <w:r>
        <w:t>For a UE configured with 14 HARQ processes, a PDSCH scheduling delay of 2 BL/CE DL subframes and 7 [FFS subframes type(s)] is supported at least in the PUCCH non-repetition case:</w:t>
      </w:r>
    </w:p>
    <w:p w:rsidR="00D0451A" w:rsidRDefault="002A5230">
      <w:pPr>
        <w:numPr>
          <w:ilvl w:val="0"/>
          <w:numId w:val="25"/>
        </w:numPr>
        <w:overflowPunct/>
        <w:autoSpaceDE/>
        <w:autoSpaceDN/>
        <w:adjustRightInd/>
        <w:spacing w:after="0"/>
        <w:jc w:val="both"/>
        <w:textAlignment w:val="auto"/>
      </w:pPr>
      <w:r>
        <w:t>FFS details of signaling.</w:t>
      </w:r>
    </w:p>
    <w:p w:rsidR="00D0451A" w:rsidRDefault="002A5230">
      <w:pPr>
        <w:numPr>
          <w:ilvl w:val="0"/>
          <w:numId w:val="25"/>
        </w:numPr>
        <w:overflowPunct/>
        <w:autoSpaceDE/>
        <w:autoSpaceDN/>
        <w:adjustRightInd/>
        <w:spacing w:after="0"/>
        <w:jc w:val="both"/>
        <w:textAlignment w:val="auto"/>
      </w:pPr>
      <w:r>
        <w:t>FFS other delay values to account for the presence of non-BL/CE subframes in the PUCCH non-repetition case.</w:t>
      </w:r>
    </w:p>
    <w:p w:rsidR="00D0451A" w:rsidRDefault="002A5230">
      <w:pPr>
        <w:numPr>
          <w:ilvl w:val="0"/>
          <w:numId w:val="25"/>
        </w:numPr>
        <w:overflowPunct/>
        <w:autoSpaceDE/>
        <w:autoSpaceDN/>
        <w:adjustRightInd/>
        <w:spacing w:after="0"/>
        <w:jc w:val="both"/>
        <w:textAlignment w:val="auto"/>
      </w:pPr>
      <w:r>
        <w:t>FFS if the 14 HARQ processes feature is supported in PUCCH repetition case.</w:t>
      </w:r>
    </w:p>
    <w:p w:rsidR="00D0451A" w:rsidRDefault="00D0451A">
      <w:pPr>
        <w:rPr>
          <w:lang w:eastAsia="zh-CN"/>
        </w:rPr>
      </w:pPr>
    </w:p>
    <w:p w:rsidR="00D0451A" w:rsidRDefault="002A5230">
      <w:pPr>
        <w:jc w:val="both"/>
        <w:rPr>
          <w:b/>
          <w:bCs/>
          <w:highlight w:val="darkYellow"/>
        </w:rPr>
      </w:pPr>
      <w:r>
        <w:rPr>
          <w:b/>
          <w:bCs/>
          <w:highlight w:val="darkYellow"/>
        </w:rPr>
        <w:t>Working Assumption</w:t>
      </w:r>
    </w:p>
    <w:p w:rsidR="00D0451A" w:rsidRDefault="002A5230">
      <w:pPr>
        <w:jc w:val="both"/>
      </w:pPr>
      <w:r>
        <w:t>Introduce a new optional UE capability to support 14 HARQ processes</w:t>
      </w:r>
    </w:p>
    <w:p w:rsidR="00D0451A" w:rsidRDefault="002A5230">
      <w:pPr>
        <w:pStyle w:val="21"/>
      </w:pPr>
      <w:r>
        <w:t>A1.2 List of agreements from RAN1 #103-e:</w:t>
      </w:r>
    </w:p>
    <w:p w:rsidR="00D0451A" w:rsidRDefault="002A5230">
      <w:pPr>
        <w:rPr>
          <w:b/>
          <w:bCs/>
          <w:highlight w:val="green"/>
          <w:lang w:eastAsia="zh-CN"/>
        </w:rPr>
      </w:pPr>
      <w:r>
        <w:rPr>
          <w:b/>
          <w:bCs/>
          <w:highlight w:val="green"/>
          <w:lang w:eastAsia="zh-CN"/>
        </w:rPr>
        <w:t>Agreement</w:t>
      </w:r>
    </w:p>
    <w:p w:rsidR="00D0451A" w:rsidRDefault="002A5230">
      <w:pPr>
        <w:rPr>
          <w:lang w:eastAsia="zh-CN"/>
        </w:rPr>
      </w:pPr>
      <w:r>
        <w:rPr>
          <w:lang w:eastAsia="zh-CN"/>
        </w:rPr>
        <w:t>The following working assumption is confirmed</w:t>
      </w:r>
    </w:p>
    <w:p w:rsidR="00D0451A" w:rsidRDefault="002A5230">
      <w:pPr>
        <w:jc w:val="both"/>
      </w:pPr>
      <w:r>
        <w:t>Introduce a new optional UE capability to support 14 HARQ processes</w:t>
      </w:r>
    </w:p>
    <w:p w:rsidR="00D0451A" w:rsidRDefault="002A5230">
      <w:pPr>
        <w:rPr>
          <w:b/>
          <w:bCs/>
          <w:highlight w:val="green"/>
          <w:lang w:eastAsia="zh-CN"/>
        </w:rPr>
      </w:pPr>
      <w:r>
        <w:rPr>
          <w:b/>
          <w:bCs/>
          <w:highlight w:val="green"/>
          <w:lang w:eastAsia="zh-CN"/>
        </w:rPr>
        <w:t>Agreement</w:t>
      </w:r>
    </w:p>
    <w:p w:rsidR="00D0451A" w:rsidRDefault="002A5230">
      <w:pPr>
        <w:rPr>
          <w:lang w:eastAsia="zh-CN"/>
        </w:rPr>
      </w:pPr>
      <w:r>
        <w:rPr>
          <w:lang w:eastAsia="zh-CN"/>
        </w:rPr>
        <w:t>The design of the 14 HARQ processes feature accounts for the presence of non-BL/CE UL and DL subframes in the PUCCH non-repetition case.</w:t>
      </w:r>
    </w:p>
    <w:p w:rsidR="00D0451A" w:rsidRDefault="002A5230">
      <w:pPr>
        <w:numPr>
          <w:ilvl w:val="0"/>
          <w:numId w:val="26"/>
        </w:numPr>
        <w:overflowPunct/>
        <w:autoSpaceDE/>
        <w:autoSpaceDN/>
        <w:adjustRightInd/>
        <w:spacing w:after="0"/>
        <w:textAlignment w:val="auto"/>
        <w:rPr>
          <w:lang w:eastAsia="zh-CN"/>
        </w:rPr>
      </w:pPr>
      <w:r>
        <w:rPr>
          <w:lang w:eastAsia="zh-CN"/>
        </w:rPr>
        <w:t>FFS: PDSCH scheduling delays</w:t>
      </w:r>
    </w:p>
    <w:p w:rsidR="00D0451A" w:rsidRDefault="002A5230">
      <w:pPr>
        <w:numPr>
          <w:ilvl w:val="0"/>
          <w:numId w:val="26"/>
        </w:numPr>
        <w:overflowPunct/>
        <w:autoSpaceDE/>
        <w:autoSpaceDN/>
        <w:adjustRightInd/>
        <w:spacing w:after="0"/>
        <w:textAlignment w:val="auto"/>
        <w:rPr>
          <w:lang w:eastAsia="zh-CN"/>
        </w:rPr>
      </w:pPr>
      <w:r>
        <w:rPr>
          <w:lang w:eastAsia="zh-CN"/>
        </w:rPr>
        <w:t>FFS: HARQ-ACK delays</w:t>
      </w:r>
    </w:p>
    <w:p w:rsidR="00D0451A" w:rsidRDefault="002A5230">
      <w:pPr>
        <w:numPr>
          <w:ilvl w:val="0"/>
          <w:numId w:val="26"/>
        </w:numPr>
        <w:overflowPunct/>
        <w:autoSpaceDE/>
        <w:autoSpaceDN/>
        <w:adjustRightInd/>
        <w:spacing w:after="0"/>
        <w:textAlignment w:val="auto"/>
        <w:rPr>
          <w:lang w:eastAsia="zh-CN"/>
        </w:rPr>
      </w:pPr>
      <w:r>
        <w:rPr>
          <w:lang w:eastAsia="zh-CN"/>
        </w:rPr>
        <w:t>FFS: Configurable/dynamic set of PDSCH delays/HARQ-ACK delays</w:t>
      </w:r>
    </w:p>
    <w:p w:rsidR="00D0451A" w:rsidRDefault="00D0451A">
      <w:pPr>
        <w:rPr>
          <w:lang w:eastAsia="zh-CN"/>
        </w:rPr>
      </w:pPr>
    </w:p>
    <w:p w:rsidR="00D0451A" w:rsidRDefault="002A5230">
      <w:pPr>
        <w:rPr>
          <w:b/>
          <w:lang w:eastAsia="zh-CN"/>
        </w:rPr>
      </w:pPr>
      <w:r>
        <w:rPr>
          <w:b/>
          <w:lang w:eastAsia="zh-CN"/>
        </w:rPr>
        <w:t>For future meetings:</w:t>
      </w:r>
    </w:p>
    <w:p w:rsidR="00D0451A" w:rsidRDefault="002A5230">
      <w:pPr>
        <w:rPr>
          <w:lang w:eastAsia="zh-CN"/>
        </w:rPr>
      </w:pPr>
      <w:r>
        <w:rPr>
          <w:lang w:eastAsia="zh-CN"/>
        </w:rPr>
        <w:t>Companies to further study on the impact of measurement gaps on the 14 HARQ processes feature.</w:t>
      </w:r>
    </w:p>
    <w:p w:rsidR="00D0451A" w:rsidRDefault="002A5230">
      <w:pPr>
        <w:keepNext/>
        <w:jc w:val="both"/>
        <w:rPr>
          <w:rFonts w:cs="Times"/>
          <w:b/>
          <w:bCs/>
          <w:highlight w:val="green"/>
          <w:lang w:val="en-US"/>
        </w:rPr>
      </w:pPr>
      <w:r>
        <w:rPr>
          <w:rFonts w:cs="Times"/>
          <w:b/>
          <w:bCs/>
          <w:highlight w:val="green"/>
          <w:lang w:val="en-US"/>
        </w:rPr>
        <w:t>Agreement</w:t>
      </w:r>
    </w:p>
    <w:p w:rsidR="00D0451A" w:rsidRDefault="002A5230">
      <w:pPr>
        <w:keepNext/>
        <w:jc w:val="both"/>
        <w:rPr>
          <w:lang w:val="en-US" w:eastAsia="sv-SE"/>
        </w:rPr>
      </w:pPr>
      <w:r>
        <w:rPr>
          <w:rFonts w:cs="Times"/>
          <w:lang w:val="en-US"/>
        </w:rPr>
        <w:t xml:space="preserve">For the support of 14 HARQ processes, the solution to assign PDSCH scheduling delays should be able to minimize </w:t>
      </w:r>
      <w:r>
        <w:rPr>
          <w:lang w:val="en-US"/>
        </w:rPr>
        <w:t>unnecessary waste of subframes derived from the presence of non-BL/CE DL subframes and non-BL/CE UL subframes.</w:t>
      </w:r>
    </w:p>
    <w:p w:rsidR="00D0451A" w:rsidRDefault="002A5230">
      <w:pPr>
        <w:pStyle w:val="afc"/>
        <w:keepNext/>
        <w:numPr>
          <w:ilvl w:val="0"/>
          <w:numId w:val="27"/>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The following solutions will be further investigated:</w:t>
      </w:r>
    </w:p>
    <w:p w:rsidR="00D0451A" w:rsidRDefault="002A5230">
      <w:pPr>
        <w:pStyle w:val="afc"/>
        <w:keepNext/>
        <w:numPr>
          <w:ilvl w:val="1"/>
          <w:numId w:val="27"/>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 xml:space="preserve">The </w:t>
      </w:r>
      <w:r>
        <w:rPr>
          <w:rFonts w:ascii="Times New Roman" w:hAnsi="Times New Roman"/>
          <w:color w:val="FF0000"/>
          <w:sz w:val="20"/>
          <w:szCs w:val="20"/>
          <w:lang w:val="en-US"/>
        </w:rPr>
        <w:t>indication of</w:t>
      </w:r>
      <w:r>
        <w:rPr>
          <w:rFonts w:ascii="Times New Roman" w:hAnsi="Times New Roman"/>
          <w:sz w:val="20"/>
          <w:szCs w:val="20"/>
          <w:lang w:val="en-US"/>
        </w:rPr>
        <w:t xml:space="preserve"> subframe types for the PDSCH scheduling delay of 7 are:</w:t>
      </w:r>
    </w:p>
    <w:p w:rsidR="00D0451A" w:rsidRDefault="002A5230">
      <w:pPr>
        <w:pStyle w:val="afc"/>
        <w:keepNext/>
        <w:numPr>
          <w:ilvl w:val="2"/>
          <w:numId w:val="27"/>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1 BL/CE DL subframe + 1 subframe + 3 [BL/CE UL subframes] + 1 subframe + 1 BL/CE DL subframe.</w:t>
      </w:r>
    </w:p>
    <w:p w:rsidR="00D0451A" w:rsidRDefault="002A5230">
      <w:pPr>
        <w:pStyle w:val="afc"/>
        <w:keepNext/>
        <w:numPr>
          <w:ilvl w:val="2"/>
          <w:numId w:val="27"/>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eastAsia="ja-JP"/>
        </w:rPr>
        <w:t>1 subframe + 3 [BL/CE UL subframes] + 1 subframe + 2 BL/CE DL subframes.</w:t>
      </w:r>
    </w:p>
    <w:p w:rsidR="00D0451A" w:rsidRDefault="002A5230">
      <w:pPr>
        <w:pStyle w:val="afc"/>
        <w:keepNext/>
        <w:numPr>
          <w:ilvl w:val="1"/>
          <w:numId w:val="27"/>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Configurable delays including other values than 2 and 7.</w:t>
      </w:r>
    </w:p>
    <w:p w:rsidR="00D0451A" w:rsidRDefault="002A5230">
      <w:pPr>
        <w:pStyle w:val="afc"/>
        <w:keepNext/>
        <w:numPr>
          <w:ilvl w:val="0"/>
          <w:numId w:val="27"/>
        </w:numPr>
        <w:overflowPunct/>
        <w:autoSpaceDE/>
        <w:autoSpaceDN/>
        <w:adjustRightInd/>
        <w:spacing w:line="252" w:lineRule="auto"/>
        <w:jc w:val="both"/>
        <w:textAlignment w:val="auto"/>
        <w:rPr>
          <w:rFonts w:ascii="Times New Roman" w:hAnsi="Times New Roman"/>
          <w:sz w:val="20"/>
          <w:szCs w:val="20"/>
          <w:lang w:val="en-US"/>
        </w:rPr>
      </w:pPr>
      <w:r>
        <w:rPr>
          <w:rFonts w:ascii="Times New Roman" w:hAnsi="Times New Roman"/>
          <w:sz w:val="20"/>
          <w:szCs w:val="20"/>
          <w:lang w:val="en-US"/>
        </w:rPr>
        <w:t>Other solutions are not precluded.</w:t>
      </w:r>
    </w:p>
    <w:p w:rsidR="00D0451A" w:rsidRDefault="00D0451A">
      <w:pPr>
        <w:rPr>
          <w:lang w:val="en-US" w:eastAsia="zh-CN"/>
        </w:rPr>
      </w:pPr>
    </w:p>
    <w:p w:rsidR="00D0451A" w:rsidRDefault="002A5230">
      <w:pPr>
        <w:keepNext/>
        <w:keepLines/>
        <w:jc w:val="both"/>
        <w:rPr>
          <w:b/>
          <w:bCs/>
          <w:highlight w:val="green"/>
        </w:rPr>
      </w:pPr>
      <w:r>
        <w:rPr>
          <w:b/>
          <w:bCs/>
          <w:highlight w:val="green"/>
        </w:rPr>
        <w:t>Agreement</w:t>
      </w:r>
    </w:p>
    <w:p w:rsidR="00D0451A" w:rsidRDefault="002A5230">
      <w:pPr>
        <w:keepNext/>
        <w:keepLines/>
        <w:jc w:val="both"/>
      </w:pPr>
      <w:r>
        <w:t>For the support of 14 HARQ processes, the solution to assign HARQ-ACK delays should aim to maximize the number of HARQ processes that can be scheduled in presence of non-BL/CE DL subframes and non-BL/CE UL subframes.</w:t>
      </w:r>
    </w:p>
    <w:p w:rsidR="00D0451A" w:rsidRDefault="002A5230">
      <w:pPr>
        <w:pStyle w:val="afc"/>
        <w:keepNext/>
        <w:keepLines/>
        <w:numPr>
          <w:ilvl w:val="0"/>
          <w:numId w:val="28"/>
        </w:numPr>
        <w:jc w:val="both"/>
        <w:rPr>
          <w:rFonts w:ascii="Times New Roman" w:hAnsi="Times New Roman"/>
          <w:sz w:val="20"/>
          <w:szCs w:val="20"/>
          <w:lang w:val="en-US"/>
        </w:rPr>
      </w:pPr>
      <w:r>
        <w:rPr>
          <w:rFonts w:ascii="Times New Roman" w:hAnsi="Times New Roman"/>
          <w:sz w:val="20"/>
          <w:szCs w:val="20"/>
          <w:lang w:val="en-US"/>
        </w:rPr>
        <w:t>Different percentages of presence of non-BL/CE subframes can be analyzed as to represent typical scenarios and determine which HARQ-ACK delays should be included.</w:t>
      </w:r>
    </w:p>
    <w:p w:rsidR="00D0451A" w:rsidRDefault="002A5230">
      <w:pPr>
        <w:pStyle w:val="21"/>
      </w:pPr>
      <w:r>
        <w:t>A1.3 List of agreements from RAN1 #104-e:</w:t>
      </w:r>
    </w:p>
    <w:p w:rsidR="00D0451A" w:rsidRDefault="002A5230">
      <w:pPr>
        <w:overflowPunct/>
        <w:autoSpaceDE/>
        <w:autoSpaceDN/>
        <w:adjustRightInd/>
        <w:spacing w:after="0"/>
        <w:ind w:left="1440" w:hanging="1440"/>
        <w:textAlignment w:val="auto"/>
        <w:rPr>
          <w:rFonts w:ascii="Times" w:eastAsia="Batang" w:hAnsi="Times" w:cs="Times"/>
          <w:b/>
          <w:highlight w:val="green"/>
          <w:lang w:eastAsia="zh-CN"/>
        </w:rPr>
      </w:pPr>
      <w:r>
        <w:rPr>
          <w:rFonts w:ascii="Times" w:eastAsia="Batang" w:hAnsi="Times" w:cs="Times"/>
          <w:b/>
          <w:highlight w:val="green"/>
          <w:lang w:eastAsia="zh-CN"/>
        </w:rPr>
        <w:t>Agreement</w:t>
      </w:r>
    </w:p>
    <w:p w:rsidR="00D0451A" w:rsidRDefault="002A5230">
      <w:pPr>
        <w:spacing w:after="0"/>
        <w:jc w:val="both"/>
        <w:rPr>
          <w:rFonts w:ascii="Times" w:eastAsia="Times New Roman" w:hAnsi="Times" w:cs="Times"/>
          <w:lang w:eastAsia="zh-CN"/>
        </w:rPr>
      </w:pPr>
      <w:r>
        <w:rPr>
          <w:rFonts w:ascii="Times" w:eastAsia="Times New Roman" w:hAnsi="Times" w:cs="Times"/>
          <w:lang w:eastAsia="zh-CN"/>
        </w:rPr>
        <w:t>The PDSCH scheduling delay for the PUCCH non-repetition case (i.e., PUCCH repetitions = 1):</w:t>
      </w:r>
    </w:p>
    <w:p w:rsidR="00D0451A" w:rsidRDefault="002A5230">
      <w:pPr>
        <w:numPr>
          <w:ilvl w:val="0"/>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2 BL/CE DL subframes.</w:t>
      </w:r>
    </w:p>
    <w:p w:rsidR="00D0451A" w:rsidRDefault="002A5230">
      <w:pPr>
        <w:numPr>
          <w:ilvl w:val="0"/>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 xml:space="preserve">The PDSCH scheduling delay of 7 is expressed as: </w:t>
      </w:r>
    </w:p>
    <w:p w:rsidR="00D0451A" w:rsidRDefault="002A5230">
      <w:pPr>
        <w:numPr>
          <w:ilvl w:val="1"/>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lastRenderedPageBreak/>
        <w:t>1 BL/CE DL subframe + 1 subframe + [3 subframes] + 1 subframe + 1 BL/CE DL subframe.</w:t>
      </w:r>
    </w:p>
    <w:p w:rsidR="00D0451A" w:rsidRDefault="002A5230">
      <w:pPr>
        <w:numPr>
          <w:ilvl w:val="1"/>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1 subframe + [3 subframes] + 1 subframe + 2 BL/CE DL subframes.</w:t>
      </w:r>
    </w:p>
    <w:p w:rsidR="00D0451A" w:rsidRDefault="00D0451A">
      <w:pPr>
        <w:overflowPunct/>
        <w:autoSpaceDE/>
        <w:autoSpaceDN/>
        <w:adjustRightInd/>
        <w:spacing w:after="0"/>
        <w:textAlignment w:val="auto"/>
        <w:rPr>
          <w:rFonts w:ascii="Times" w:eastAsia="Batang" w:hAnsi="Times"/>
          <w:szCs w:val="24"/>
          <w:lang w:val="en-US" w:eastAsia="zh-CN"/>
        </w:rPr>
      </w:pPr>
    </w:p>
    <w:p w:rsidR="00D0451A" w:rsidRDefault="002A5230">
      <w:pPr>
        <w:overflowPunct/>
        <w:autoSpaceDE/>
        <w:autoSpaceDN/>
        <w:adjustRightInd/>
        <w:spacing w:after="0"/>
        <w:ind w:left="1440" w:hanging="1440"/>
        <w:textAlignment w:val="auto"/>
        <w:rPr>
          <w:rFonts w:ascii="Times" w:eastAsia="Batang" w:hAnsi="Times" w:cs="Times"/>
          <w:b/>
          <w:highlight w:val="green"/>
          <w:lang w:eastAsia="zh-CN"/>
        </w:rPr>
      </w:pPr>
      <w:r>
        <w:rPr>
          <w:rFonts w:ascii="Times" w:eastAsia="Batang" w:hAnsi="Times" w:cs="Times"/>
          <w:b/>
          <w:highlight w:val="green"/>
          <w:lang w:eastAsia="zh-CN"/>
        </w:rPr>
        <w:t>Agreement</w:t>
      </w:r>
    </w:p>
    <w:p w:rsidR="00D0451A" w:rsidRDefault="002A5230">
      <w:pPr>
        <w:spacing w:after="0"/>
        <w:jc w:val="both"/>
        <w:rPr>
          <w:rFonts w:ascii="Times" w:eastAsia="Times New Roman" w:hAnsi="Times" w:cs="Times"/>
          <w:lang w:eastAsia="zh-CN"/>
        </w:rPr>
      </w:pPr>
      <w:r>
        <w:rPr>
          <w:rFonts w:ascii="Times" w:eastAsia="Times New Roman" w:hAnsi="Times" w:cs="Times"/>
          <w:lang w:eastAsia="zh-CN"/>
        </w:rPr>
        <w:t>For the 14 HARQ processes feature, when PUCCH is used with 1 repetition and there is presence of non-BL/CE UL subframes (i.e., invalid UL subframes):</w:t>
      </w:r>
    </w:p>
    <w:p w:rsidR="00D0451A" w:rsidRDefault="002A5230">
      <w:pPr>
        <w:numPr>
          <w:ilvl w:val="0"/>
          <w:numId w:val="29"/>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The term surrounded by brackets in Solution 1 is resolved as 3 BL/CE UL subframes.</w:t>
      </w:r>
    </w:p>
    <w:p w:rsidR="00D0451A" w:rsidRDefault="002A5230">
      <w:pPr>
        <w:pStyle w:val="21"/>
      </w:pPr>
      <w:r>
        <w:t>A1.4 List of agreements from RAN1 #104-bis-e:</w:t>
      </w:r>
    </w:p>
    <w:p w:rsidR="00D0451A" w:rsidRDefault="002A5230">
      <w:pPr>
        <w:keepNext/>
        <w:keepLines/>
        <w:overflowPunct/>
        <w:autoSpaceDE/>
        <w:autoSpaceDN/>
        <w:adjustRightInd/>
        <w:spacing w:after="0"/>
        <w:jc w:val="both"/>
        <w:textAlignment w:val="auto"/>
        <w:rPr>
          <w:rFonts w:ascii="Times" w:eastAsia="Calibri" w:hAnsi="Times"/>
          <w:b/>
          <w:bCs/>
          <w:szCs w:val="24"/>
          <w:highlight w:val="green"/>
          <w:lang w:val="en-US" w:eastAsia="en-US"/>
        </w:rPr>
      </w:pPr>
      <w:r>
        <w:rPr>
          <w:rFonts w:ascii="Times" w:eastAsia="Calibri" w:hAnsi="Times"/>
          <w:b/>
          <w:bCs/>
          <w:szCs w:val="24"/>
          <w:highlight w:val="green"/>
          <w:lang w:val="en-US" w:eastAsia="en-US"/>
        </w:rPr>
        <w:t>Agreement</w:t>
      </w:r>
    </w:p>
    <w:p w:rsidR="00D0451A" w:rsidRDefault="002A5230">
      <w:pPr>
        <w:keepNext/>
        <w:keepLines/>
        <w:overflowPunct/>
        <w:autoSpaceDE/>
        <w:autoSpaceDN/>
        <w:adjustRightInd/>
        <w:spacing w:after="0"/>
        <w:jc w:val="both"/>
        <w:textAlignment w:val="auto"/>
        <w:rPr>
          <w:rFonts w:ascii="Times" w:eastAsia="Batang" w:hAnsi="Times" w:cs="Times"/>
          <w:lang w:eastAsia="en-US"/>
        </w:rPr>
      </w:pPr>
      <w:r>
        <w:rPr>
          <w:rFonts w:ascii="Times" w:eastAsia="Calibri" w:hAnsi="Times" w:cs="Times"/>
          <w:szCs w:val="24"/>
          <w:lang w:val="en-US" w:eastAsia="en-US"/>
        </w:rPr>
        <w:t>In Rel-17, for the 14 HARQ processes feature,</w:t>
      </w:r>
      <w:r>
        <w:rPr>
          <w:rFonts w:ascii="Times" w:eastAsia="Batang" w:hAnsi="Times" w:cs="Times"/>
          <w:lang w:val="en-US" w:eastAsia="en-US"/>
        </w:rPr>
        <w:t xml:space="preserve"> PUCCH repetition is not supported with HARQ-ACK bundling.</w:t>
      </w:r>
    </w:p>
    <w:p w:rsidR="00D0451A" w:rsidRDefault="00D0451A">
      <w:pPr>
        <w:overflowPunct/>
        <w:autoSpaceDE/>
        <w:autoSpaceDN/>
        <w:adjustRightInd/>
        <w:spacing w:after="0"/>
        <w:textAlignment w:val="auto"/>
        <w:rPr>
          <w:rFonts w:ascii="Times" w:eastAsia="Batang" w:hAnsi="Times"/>
          <w:szCs w:val="24"/>
          <w:lang w:eastAsia="zh-CN"/>
        </w:rPr>
      </w:pPr>
    </w:p>
    <w:p w:rsidR="00D0451A" w:rsidRDefault="002A5230">
      <w:pPr>
        <w:overflowPunct/>
        <w:autoSpaceDE/>
        <w:autoSpaceDN/>
        <w:adjustRightInd/>
        <w:spacing w:after="0"/>
        <w:textAlignment w:val="auto"/>
        <w:rPr>
          <w:rFonts w:ascii="Times" w:eastAsia="Batang" w:hAnsi="Times"/>
          <w:b/>
          <w:bCs/>
          <w:szCs w:val="24"/>
          <w:lang w:eastAsia="zh-CN"/>
        </w:rPr>
      </w:pPr>
      <w:r>
        <w:rPr>
          <w:rFonts w:ascii="Times" w:eastAsia="Batang" w:hAnsi="Times"/>
          <w:b/>
          <w:bCs/>
          <w:szCs w:val="24"/>
          <w:lang w:eastAsia="zh-CN"/>
        </w:rPr>
        <w:t>Conclusion</w:t>
      </w:r>
    </w:p>
    <w:p w:rsidR="00D0451A" w:rsidRDefault="002A5230">
      <w:p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In Rel-17, the 14 HARQ processes feature is not supported when the multi-TB grant feature is enabled.</w:t>
      </w:r>
    </w:p>
    <w:p w:rsidR="00D0451A" w:rsidRDefault="00D0451A">
      <w:pPr>
        <w:overflowPunct/>
        <w:autoSpaceDE/>
        <w:autoSpaceDN/>
        <w:adjustRightInd/>
        <w:spacing w:after="0"/>
        <w:textAlignment w:val="auto"/>
        <w:rPr>
          <w:rFonts w:ascii="Times" w:eastAsia="Batang" w:hAnsi="Times"/>
          <w:szCs w:val="24"/>
          <w:lang w:eastAsia="zh-CN"/>
        </w:rPr>
      </w:pPr>
    </w:p>
    <w:p w:rsidR="00D0451A" w:rsidRDefault="002A5230">
      <w:pPr>
        <w:overflowPunct/>
        <w:autoSpaceDE/>
        <w:autoSpaceDN/>
        <w:adjustRightInd/>
        <w:spacing w:after="0"/>
        <w:textAlignment w:val="auto"/>
        <w:rPr>
          <w:rFonts w:ascii="Times" w:eastAsia="Batang" w:hAnsi="Times"/>
          <w:szCs w:val="24"/>
          <w:lang w:eastAsia="zh-CN"/>
        </w:rPr>
      </w:pPr>
      <w:r>
        <w:rPr>
          <w:rFonts w:ascii="Times" w:eastAsia="Batang" w:hAnsi="Times"/>
          <w:b/>
          <w:szCs w:val="24"/>
          <w:lang w:eastAsia="zh-CN"/>
        </w:rPr>
        <w:t>R1-2103860</w:t>
      </w:r>
      <w:r>
        <w:rPr>
          <w:rFonts w:ascii="Times" w:eastAsia="Batang" w:hAnsi="Times"/>
          <w:szCs w:val="24"/>
          <w:lang w:eastAsia="zh-CN"/>
        </w:rPr>
        <w:tab/>
        <w:t>Feature Lead Summary [104b-e-LTE-Rel17_NB_IoT_eMTC-02]: 2nd check point</w:t>
      </w:r>
      <w:r>
        <w:rPr>
          <w:rFonts w:ascii="Times" w:eastAsia="Batang" w:hAnsi="Times"/>
          <w:szCs w:val="24"/>
          <w:lang w:eastAsia="zh-CN"/>
        </w:rPr>
        <w:tab/>
        <w:t>Moderator (Ericsson)</w:t>
      </w:r>
    </w:p>
    <w:p w:rsidR="00D0451A" w:rsidRDefault="00D0451A">
      <w:pPr>
        <w:overflowPunct/>
        <w:autoSpaceDE/>
        <w:autoSpaceDN/>
        <w:adjustRightInd/>
        <w:spacing w:after="0"/>
        <w:textAlignment w:val="auto"/>
        <w:rPr>
          <w:rFonts w:ascii="Times" w:eastAsia="Batang" w:hAnsi="Times"/>
          <w:szCs w:val="24"/>
          <w:lang w:eastAsia="zh-CN"/>
        </w:rPr>
      </w:pPr>
    </w:p>
    <w:p w:rsidR="00D0451A" w:rsidRDefault="002A5230">
      <w:pPr>
        <w:overflowPunct/>
        <w:autoSpaceDE/>
        <w:autoSpaceDN/>
        <w:adjustRightInd/>
        <w:spacing w:after="0"/>
        <w:textAlignment w:val="auto"/>
        <w:rPr>
          <w:rFonts w:ascii="Times" w:eastAsia="Batang" w:hAnsi="Times"/>
          <w:b/>
          <w:bCs/>
          <w:szCs w:val="24"/>
          <w:highlight w:val="green"/>
          <w:lang w:eastAsia="zh-CN"/>
        </w:rPr>
      </w:pPr>
      <w:r>
        <w:rPr>
          <w:rFonts w:ascii="Times" w:eastAsia="Batang" w:hAnsi="Times"/>
          <w:b/>
          <w:bCs/>
          <w:szCs w:val="24"/>
          <w:highlight w:val="green"/>
          <w:lang w:eastAsia="zh-CN"/>
        </w:rPr>
        <w:t>Agreement</w:t>
      </w:r>
    </w:p>
    <w:p w:rsidR="00D0451A" w:rsidRDefault="002A5230">
      <w:pPr>
        <w:keepNext/>
        <w:keepLines/>
        <w:overflowPunct/>
        <w:autoSpaceDE/>
        <w:autoSpaceDN/>
        <w:adjustRightInd/>
        <w:spacing w:after="0"/>
        <w:jc w:val="both"/>
        <w:textAlignment w:val="auto"/>
        <w:rPr>
          <w:rFonts w:ascii="Times" w:eastAsia="Calibri" w:hAnsi="Times"/>
          <w:szCs w:val="24"/>
          <w:lang w:val="en-US" w:eastAsia="en-US"/>
        </w:rPr>
      </w:pPr>
      <w:r>
        <w:rPr>
          <w:rFonts w:ascii="Times" w:eastAsia="Calibri" w:hAnsi="Times"/>
          <w:szCs w:val="24"/>
          <w:lang w:val="en-US" w:eastAsia="en-US"/>
        </w:rPr>
        <w:t>In Rel-17, for the 14 HARQ process feature the HARQ-ACK delay solution will be down-selected in RAN1#105-e from:</w:t>
      </w:r>
    </w:p>
    <w:p w:rsidR="00D0451A" w:rsidRDefault="002A5230">
      <w:pPr>
        <w:numPr>
          <w:ilvl w:val="0"/>
          <w:numId w:val="30"/>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Alt-1: The HARQ-ACK delay is determined through an expression consisting of different subframe types (Using a similar principle as the PDSCH scheduling delay).</w:t>
      </w:r>
    </w:p>
    <w:p w:rsidR="00D0451A" w:rsidRDefault="002A5230">
      <w:pPr>
        <w:numPr>
          <w:ilvl w:val="1"/>
          <w:numId w:val="30"/>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The expression consisting of different subframe types.</w:t>
      </w:r>
    </w:p>
    <w:p w:rsidR="00D0451A" w:rsidRDefault="002A5230">
      <w:pPr>
        <w:numPr>
          <w:ilvl w:val="1"/>
          <w:numId w:val="30"/>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Signaling Details.</w:t>
      </w:r>
    </w:p>
    <w:p w:rsidR="00D0451A" w:rsidRDefault="002A5230">
      <w:pPr>
        <w:numPr>
          <w:ilvl w:val="0"/>
          <w:numId w:val="30"/>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Alt-2: The HARQ-ACK delay is determined following the legacy approach. That is, the “HARQ-ACK delay” is kept expressed in terms of “absolute subframes”.</w:t>
      </w:r>
    </w:p>
    <w:p w:rsidR="00D0451A" w:rsidRDefault="002A5230">
      <w:pPr>
        <w:numPr>
          <w:ilvl w:val="1"/>
          <w:numId w:val="30"/>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The percentage of presence of non-BL/CE DL subframes and non-BL/CE UL subframes to be handled.</w:t>
      </w:r>
    </w:p>
    <w:p w:rsidR="00D0451A" w:rsidRDefault="002A5230">
      <w:pPr>
        <w:numPr>
          <w:ilvl w:val="1"/>
          <w:numId w:val="30"/>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HARQ-ACK delay values and length of the HARQ-ACK delay set.</w:t>
      </w:r>
    </w:p>
    <w:p w:rsidR="00D0451A" w:rsidRDefault="002A5230">
      <w:pPr>
        <w:numPr>
          <w:ilvl w:val="1"/>
          <w:numId w:val="30"/>
        </w:numPr>
        <w:overflowPunct/>
        <w:autoSpaceDE/>
        <w:autoSpaceDN/>
        <w:adjustRightInd/>
        <w:spacing w:after="0"/>
        <w:textAlignment w:val="auto"/>
        <w:rPr>
          <w:rFonts w:ascii="Times" w:eastAsia="Batang" w:hAnsi="Times"/>
          <w:szCs w:val="24"/>
          <w:lang w:eastAsia="zh-CN"/>
        </w:rPr>
      </w:pPr>
      <w:r>
        <w:rPr>
          <w:rFonts w:ascii="Times" w:eastAsia="Batang" w:hAnsi="Times"/>
          <w:szCs w:val="24"/>
          <w:lang w:eastAsia="zh-CN"/>
        </w:rPr>
        <w:t>FFS: Signaling Details.</w:t>
      </w:r>
    </w:p>
    <w:p w:rsidR="00D0451A" w:rsidRDefault="002A5230">
      <w:pPr>
        <w:overflowPunct/>
        <w:autoSpaceDE/>
        <w:autoSpaceDN/>
        <w:adjustRightInd/>
        <w:spacing w:after="0"/>
        <w:textAlignment w:val="auto"/>
        <w:rPr>
          <w:rFonts w:ascii="Times" w:eastAsia="Calibri" w:hAnsi="Times"/>
          <w:szCs w:val="24"/>
          <w:lang w:val="en-US" w:eastAsia="en-US"/>
        </w:rPr>
      </w:pPr>
      <w:r>
        <w:rPr>
          <w:rFonts w:ascii="Times" w:eastAsia="Calibri" w:hAnsi="Times"/>
          <w:szCs w:val="24"/>
          <w:lang w:val="en-US" w:eastAsia="en-US"/>
        </w:rPr>
        <w:t>The following aspects will be considered towards the down-selection of one of the two alternatives (i.e., Alt-1 or Alt-2) for the HARQ-ACK delay solution:</w:t>
      </w:r>
    </w:p>
    <w:p w:rsidR="00D0451A" w:rsidRDefault="002A5230">
      <w:pPr>
        <w:numPr>
          <w:ilvl w:val="0"/>
          <w:numId w:val="31"/>
        </w:numPr>
        <w:overflowPunct/>
        <w:autoSpaceDE/>
        <w:autoSpaceDN/>
        <w:adjustRightInd/>
        <w:spacing w:after="0"/>
        <w:textAlignment w:val="auto"/>
        <w:rPr>
          <w:rFonts w:eastAsia="Batang"/>
          <w:lang w:val="en-US" w:eastAsia="zh-CN"/>
        </w:rPr>
      </w:pPr>
      <w:r>
        <w:rPr>
          <w:rFonts w:eastAsia="Batang"/>
          <w:lang w:val="en-US" w:eastAsia="zh-CN"/>
        </w:rPr>
        <w:t>Total number of bits required in DCI</w:t>
      </w:r>
    </w:p>
    <w:p w:rsidR="00D0451A" w:rsidRDefault="002A5230">
      <w:pPr>
        <w:numPr>
          <w:ilvl w:val="0"/>
          <w:numId w:val="31"/>
        </w:numPr>
        <w:overflowPunct/>
        <w:autoSpaceDE/>
        <w:autoSpaceDN/>
        <w:adjustRightInd/>
        <w:spacing w:after="0"/>
        <w:textAlignment w:val="auto"/>
        <w:rPr>
          <w:rFonts w:eastAsia="Batang"/>
          <w:lang w:val="en-US" w:eastAsia="zh-CN"/>
        </w:rPr>
      </w:pPr>
      <w:r>
        <w:rPr>
          <w:rFonts w:eastAsia="Batang"/>
          <w:lang w:val="en-US" w:eastAsia="zh-CN"/>
        </w:rPr>
        <w:t>Scenarios that can be handled, including:</w:t>
      </w:r>
    </w:p>
    <w:p w:rsidR="00D0451A" w:rsidRDefault="002A5230">
      <w:pPr>
        <w:overflowPunct/>
        <w:autoSpaceDE/>
        <w:autoSpaceDN/>
        <w:adjustRightInd/>
        <w:spacing w:after="0"/>
        <w:ind w:leftChars="400" w:left="800"/>
        <w:textAlignment w:val="auto"/>
        <w:rPr>
          <w:rFonts w:eastAsia="Batang"/>
          <w:lang w:val="en-US" w:eastAsia="zh-CN"/>
        </w:rPr>
      </w:pPr>
      <w:r>
        <w:rPr>
          <w:rFonts w:eastAsia="Batang"/>
          <w:lang w:val="en-US" w:eastAsia="zh-CN"/>
        </w:rPr>
        <w:t>(a) different numbers of scheduled HARQ processes per burst (including dynamically switching between more than 10 HARQ processes and 10 or less HARQ processes)</w:t>
      </w:r>
    </w:p>
    <w:p w:rsidR="00D0451A" w:rsidRDefault="002A5230">
      <w:pPr>
        <w:overflowPunct/>
        <w:autoSpaceDE/>
        <w:autoSpaceDN/>
        <w:adjustRightInd/>
        <w:spacing w:after="0"/>
        <w:ind w:leftChars="400" w:left="800"/>
        <w:textAlignment w:val="auto"/>
        <w:rPr>
          <w:rFonts w:eastAsia="Batang"/>
          <w:lang w:val="en-US" w:eastAsia="zh-CN"/>
        </w:rPr>
      </w:pPr>
      <w:r>
        <w:rPr>
          <w:rFonts w:eastAsia="Batang"/>
          <w:lang w:val="en-US" w:eastAsia="zh-CN"/>
        </w:rPr>
        <w:t>(b) different % of invalid subframes for both 10 and 40 SF long bitmaps</w:t>
      </w:r>
    </w:p>
    <w:p w:rsidR="00D0451A" w:rsidRDefault="002A5230">
      <w:pPr>
        <w:numPr>
          <w:ilvl w:val="0"/>
          <w:numId w:val="31"/>
        </w:numPr>
        <w:overflowPunct/>
        <w:autoSpaceDE/>
        <w:autoSpaceDN/>
        <w:adjustRightInd/>
        <w:spacing w:after="0"/>
        <w:textAlignment w:val="auto"/>
        <w:rPr>
          <w:rFonts w:eastAsia="Batang"/>
          <w:lang w:val="en-US" w:eastAsia="zh-CN"/>
        </w:rPr>
      </w:pPr>
      <w:r>
        <w:rPr>
          <w:rFonts w:eastAsia="Batang"/>
          <w:lang w:val="en-US" w:eastAsia="zh-CN"/>
        </w:rPr>
        <w:t>Robustness against loss of DCIs</w:t>
      </w:r>
    </w:p>
    <w:p w:rsidR="00D0451A" w:rsidRDefault="002A5230">
      <w:pPr>
        <w:numPr>
          <w:ilvl w:val="0"/>
          <w:numId w:val="31"/>
        </w:numPr>
        <w:overflowPunct/>
        <w:autoSpaceDE/>
        <w:autoSpaceDN/>
        <w:adjustRightInd/>
        <w:spacing w:after="0"/>
        <w:textAlignment w:val="auto"/>
        <w:rPr>
          <w:rFonts w:eastAsia="Batang"/>
          <w:lang w:val="en-US" w:eastAsia="zh-CN"/>
        </w:rPr>
      </w:pPr>
      <w:r>
        <w:rPr>
          <w:rFonts w:eastAsia="Batang"/>
          <w:lang w:val="en-US" w:eastAsia="zh-CN"/>
        </w:rPr>
        <w:t xml:space="preserve">Flexibility </w:t>
      </w:r>
    </w:p>
    <w:p w:rsidR="00D0451A" w:rsidRDefault="002A5230">
      <w:pPr>
        <w:numPr>
          <w:ilvl w:val="0"/>
          <w:numId w:val="31"/>
        </w:numPr>
        <w:overflowPunct/>
        <w:autoSpaceDE/>
        <w:autoSpaceDN/>
        <w:adjustRightInd/>
        <w:spacing w:after="0"/>
        <w:textAlignment w:val="auto"/>
        <w:rPr>
          <w:rFonts w:eastAsia="Batang"/>
          <w:lang w:val="en-US" w:eastAsia="zh-CN"/>
        </w:rPr>
      </w:pPr>
      <w:r>
        <w:rPr>
          <w:rFonts w:eastAsia="Batang"/>
          <w:lang w:val="en-US" w:eastAsia="zh-CN"/>
        </w:rPr>
        <w:t>RRC signaling overhead</w:t>
      </w:r>
    </w:p>
    <w:p w:rsidR="00D0451A" w:rsidRDefault="002A5230">
      <w:pPr>
        <w:pStyle w:val="21"/>
      </w:pPr>
      <w:r>
        <w:t>A1.5 List of agreements from RAN1 #105-e:</w:t>
      </w:r>
    </w:p>
    <w:p w:rsidR="00D0451A" w:rsidRDefault="002A5230">
      <w:pPr>
        <w:rPr>
          <w:rFonts w:cs="Times"/>
          <w:b/>
          <w:bCs/>
          <w:highlight w:val="green"/>
          <w:lang w:eastAsia="zh-CN"/>
        </w:rPr>
      </w:pPr>
      <w:r>
        <w:rPr>
          <w:rFonts w:cs="Times"/>
          <w:b/>
          <w:bCs/>
          <w:highlight w:val="green"/>
          <w:lang w:eastAsia="zh-CN"/>
        </w:rPr>
        <w:t>Agreement</w:t>
      </w:r>
    </w:p>
    <w:p w:rsidR="00D0451A" w:rsidRDefault="002A5230">
      <w:pPr>
        <w:keepNext/>
        <w:keepLines/>
        <w:jc w:val="both"/>
        <w:rPr>
          <w:rFonts w:eastAsia="Calibri" w:cs="Times"/>
          <w:lang w:val="en-US"/>
        </w:rPr>
      </w:pPr>
      <w:r>
        <w:rPr>
          <w:rFonts w:eastAsia="Calibri" w:cs="Times"/>
          <w:lang w:val="en-US"/>
        </w:rPr>
        <w:t>In Rel-17, for the 14 HARQ process feature the HARQ-ACK delay solution will be supported with multiple solutions: Alt-1 for full flexibility and Alt-2e for support of legacy delay</w:t>
      </w:r>
    </w:p>
    <w:p w:rsidR="00D0451A" w:rsidRDefault="002A5230">
      <w:pPr>
        <w:ind w:left="1134" w:hanging="567"/>
        <w:rPr>
          <w:rFonts w:eastAsia="Calibri" w:cs="Times"/>
          <w:lang w:val="en-US"/>
        </w:rPr>
      </w:pPr>
      <w:r>
        <w:rPr>
          <w:rFonts w:eastAsia="Calibri" w:cs="Times"/>
          <w:lang w:val="en-US"/>
        </w:rPr>
        <w:t>Alt-1: The HARQ-ACK delay is determined through an expression consisting of different subframe types (Using a similar principle as the PDSCH scheduling delay).</w:t>
      </w:r>
    </w:p>
    <w:p w:rsidR="00D0451A" w:rsidRDefault="002A5230">
      <w:pPr>
        <w:pStyle w:val="afc"/>
        <w:numPr>
          <w:ilvl w:val="1"/>
          <w:numId w:val="32"/>
        </w:numPr>
        <w:rPr>
          <w:rFonts w:cs="Times"/>
          <w:szCs w:val="20"/>
          <w:lang w:val="en-US"/>
        </w:rPr>
      </w:pPr>
      <w:r>
        <w:rPr>
          <w:rFonts w:cs="Times"/>
          <w:szCs w:val="20"/>
          <w:lang w:val="en-US"/>
        </w:rPr>
        <w:t>Without using more than 6 bits</w:t>
      </w:r>
    </w:p>
    <w:p w:rsidR="00D0451A" w:rsidRDefault="002A5230">
      <w:pPr>
        <w:pStyle w:val="afc"/>
        <w:numPr>
          <w:ilvl w:val="1"/>
          <w:numId w:val="32"/>
        </w:numPr>
        <w:rPr>
          <w:rFonts w:cs="Times"/>
          <w:szCs w:val="20"/>
          <w:lang w:val="en-US"/>
        </w:rPr>
      </w:pPr>
      <w:r>
        <w:rPr>
          <w:rFonts w:cs="Times"/>
          <w:szCs w:val="20"/>
          <w:lang w:val="en-US"/>
        </w:rPr>
        <w:lastRenderedPageBreak/>
        <w:t>FFS: How to minimize the overhead by using joint encoding</w:t>
      </w:r>
    </w:p>
    <w:p w:rsidR="00D0451A" w:rsidRDefault="002A5230">
      <w:pPr>
        <w:ind w:left="1134" w:hanging="567"/>
        <w:rPr>
          <w:rFonts w:eastAsia="Calibri" w:cs="Times"/>
          <w:lang w:val="en-US"/>
        </w:rPr>
      </w:pPr>
      <w:r>
        <w:rPr>
          <w:rFonts w:eastAsia="Calibri" w:cs="Times"/>
          <w:lang w:val="en-US"/>
        </w:rPr>
        <w:t>Alt-2e: The HARQ-ACK delay is determined following the legacy approach. That is, the “HARQ-ACK delay” is kept expressed in terms of “absolute subframes”.</w:t>
      </w:r>
    </w:p>
    <w:p w:rsidR="00D0451A" w:rsidRDefault="002A5230">
      <w:pPr>
        <w:pStyle w:val="afc"/>
        <w:numPr>
          <w:ilvl w:val="1"/>
          <w:numId w:val="32"/>
        </w:numPr>
        <w:rPr>
          <w:rFonts w:cs="Times"/>
          <w:szCs w:val="20"/>
          <w:lang w:val="en-US"/>
        </w:rPr>
      </w:pPr>
      <w:r>
        <w:rPr>
          <w:rFonts w:cs="Times"/>
          <w:szCs w:val="20"/>
          <w:lang w:val="en-US"/>
        </w:rPr>
        <w:t>The HARQ-ACK delay values and the length of the HARQ-ACK delay set will be based on</w:t>
      </w:r>
    </w:p>
    <w:p w:rsidR="00D0451A" w:rsidRDefault="002A5230">
      <w:pPr>
        <w:pStyle w:val="afc"/>
        <w:numPr>
          <w:ilvl w:val="2"/>
          <w:numId w:val="32"/>
        </w:numPr>
        <w:rPr>
          <w:rFonts w:cs="Times"/>
          <w:szCs w:val="20"/>
          <w:lang w:val="en-US"/>
        </w:rPr>
      </w:pPr>
      <w:r>
        <w:rPr>
          <w:rFonts w:cs="Times"/>
          <w:szCs w:val="20"/>
          <w:lang w:val="en-US"/>
        </w:rPr>
        <w:t>Alt-2e: “3 bits (same as legacy)”</w:t>
      </w:r>
    </w:p>
    <w:p w:rsidR="00D0451A" w:rsidRDefault="002A5230">
      <w:pPr>
        <w:pStyle w:val="afc"/>
        <w:numPr>
          <w:ilvl w:val="2"/>
          <w:numId w:val="32"/>
        </w:numPr>
        <w:rPr>
          <w:rFonts w:cs="Times"/>
          <w:szCs w:val="20"/>
          <w:lang w:val="en-US"/>
        </w:rPr>
      </w:pPr>
      <w:r>
        <w:rPr>
          <w:rFonts w:cs="Times"/>
          <w:szCs w:val="20"/>
          <w:lang w:val="en-US"/>
        </w:rPr>
        <w:t>FFS: Whether HARQ delay set is to use range1 or range2</w:t>
      </w:r>
    </w:p>
    <w:p w:rsidR="00D0451A" w:rsidRDefault="002A5230">
      <w:pPr>
        <w:ind w:left="1134" w:hanging="567"/>
        <w:rPr>
          <w:rFonts w:eastAsia="Calibri" w:cs="Times"/>
          <w:lang w:val="en-US"/>
        </w:rPr>
      </w:pPr>
      <w:r>
        <w:rPr>
          <w:rFonts w:eastAsia="Calibri" w:cs="Times"/>
          <w:lang w:val="en-US"/>
        </w:rPr>
        <w:t>RRC signaling will be used to configure between Alt-1 and Alt-2e</w:t>
      </w:r>
    </w:p>
    <w:p w:rsidR="00D0451A" w:rsidRDefault="002A5230">
      <w:pPr>
        <w:ind w:left="1134" w:hanging="567"/>
        <w:rPr>
          <w:rFonts w:eastAsia="Calibri" w:cs="Times"/>
          <w:lang w:val="en-US"/>
        </w:rPr>
      </w:pPr>
      <w:r>
        <w:rPr>
          <w:rFonts w:eastAsia="Calibri" w:cs="Times"/>
          <w:lang w:val="en-US"/>
        </w:rPr>
        <w:t>FFS: Signaling details</w:t>
      </w:r>
    </w:p>
    <w:p w:rsidR="00D0451A" w:rsidRDefault="002A5230">
      <w:pPr>
        <w:ind w:left="1134" w:hanging="567"/>
        <w:rPr>
          <w:rFonts w:eastAsia="Calibri" w:cs="Times"/>
          <w:lang w:val="en-US"/>
        </w:rPr>
      </w:pPr>
      <w:r>
        <w:rPr>
          <w:rFonts w:eastAsia="Calibri" w:cs="Times"/>
          <w:lang w:val="en-US"/>
        </w:rPr>
        <w:t>FFS: Joint encoding</w:t>
      </w:r>
    </w:p>
    <w:p w:rsidR="00D0451A" w:rsidRDefault="00D0451A">
      <w:pPr>
        <w:pStyle w:val="afc"/>
        <w:ind w:left="0"/>
        <w:rPr>
          <w:rFonts w:ascii="Times New Roman" w:hAnsi="Times New Roman"/>
          <w:b/>
          <w:bCs/>
          <w:szCs w:val="20"/>
          <w:lang w:val="en-US"/>
        </w:rPr>
      </w:pPr>
    </w:p>
    <w:p w:rsidR="00D0451A" w:rsidRDefault="002A5230">
      <w:pPr>
        <w:keepNext/>
        <w:keepLines/>
        <w:jc w:val="both"/>
        <w:rPr>
          <w:b/>
          <w:bCs/>
          <w:highlight w:val="darkYellow"/>
        </w:rPr>
      </w:pPr>
      <w:r>
        <w:rPr>
          <w:b/>
          <w:bCs/>
          <w:highlight w:val="darkYellow"/>
        </w:rPr>
        <w:t>Working Assumption</w:t>
      </w:r>
    </w:p>
    <w:p w:rsidR="00D0451A" w:rsidRDefault="002A5230">
      <w:pPr>
        <w:keepNext/>
        <w:keepLines/>
        <w:jc w:val="both"/>
        <w:rPr>
          <w:rFonts w:eastAsia="Calibri"/>
          <w:lang w:val="en-US"/>
        </w:rPr>
      </w:pPr>
      <w:r>
        <w:rPr>
          <w:rFonts w:eastAsia="Calibri"/>
          <w:lang w:val="en-US"/>
        </w:rPr>
        <w:t>The PDSCH scheduling delay and HARQ-ACK delay are jointly encoded in a single DCI field:</w:t>
      </w:r>
    </w:p>
    <w:p w:rsidR="00D0451A" w:rsidRDefault="002A5230">
      <w:pPr>
        <w:numPr>
          <w:ilvl w:val="0"/>
          <w:numId w:val="33"/>
        </w:numPr>
        <w:overflowPunct/>
        <w:autoSpaceDE/>
        <w:autoSpaceDN/>
        <w:adjustRightInd/>
        <w:spacing w:after="0"/>
        <w:textAlignment w:val="auto"/>
        <w:rPr>
          <w:rFonts w:cs="Times"/>
          <w:bCs/>
          <w:lang w:eastAsia="zh-CN"/>
        </w:rPr>
      </w:pPr>
      <w:r>
        <w:rPr>
          <w:rFonts w:cs="Times"/>
          <w:bCs/>
          <w:lang w:eastAsia="zh-CN"/>
        </w:rPr>
        <w:t xml:space="preserve">The field uses no more than 7 bits if Alt-1 is configured. </w:t>
      </w:r>
    </w:p>
    <w:p w:rsidR="00D0451A" w:rsidRDefault="002A5230">
      <w:pPr>
        <w:numPr>
          <w:ilvl w:val="0"/>
          <w:numId w:val="33"/>
        </w:numPr>
        <w:overflowPunct/>
        <w:autoSpaceDE/>
        <w:autoSpaceDN/>
        <w:adjustRightInd/>
        <w:spacing w:after="0"/>
        <w:textAlignment w:val="auto"/>
        <w:rPr>
          <w:rFonts w:cs="Times"/>
          <w:bCs/>
          <w:lang w:eastAsia="zh-CN"/>
        </w:rPr>
      </w:pPr>
      <w:r>
        <w:rPr>
          <w:rFonts w:cs="Times"/>
          <w:bCs/>
          <w:lang w:eastAsia="zh-CN"/>
        </w:rPr>
        <w:t>The field is 5 bits if Alt-2e is configured.</w:t>
      </w:r>
    </w:p>
    <w:p w:rsidR="00D0451A" w:rsidRDefault="002A5230">
      <w:pPr>
        <w:numPr>
          <w:ilvl w:val="0"/>
          <w:numId w:val="33"/>
        </w:numPr>
        <w:overflowPunct/>
        <w:autoSpaceDE/>
        <w:autoSpaceDN/>
        <w:adjustRightInd/>
        <w:spacing w:after="0"/>
        <w:textAlignment w:val="auto"/>
        <w:rPr>
          <w:rFonts w:cs="Times"/>
          <w:bCs/>
          <w:lang w:eastAsia="zh-CN"/>
        </w:rPr>
      </w:pPr>
      <w:r>
        <w:rPr>
          <w:rFonts w:cs="Times"/>
          <w:bCs/>
          <w:lang w:eastAsia="zh-CN"/>
        </w:rPr>
        <w:t>FFS: Details of the joint encoding.</w:t>
      </w:r>
    </w:p>
    <w:p w:rsidR="00D0451A" w:rsidRDefault="002A5230">
      <w:pPr>
        <w:numPr>
          <w:ilvl w:val="0"/>
          <w:numId w:val="33"/>
        </w:numPr>
        <w:overflowPunct/>
        <w:autoSpaceDE/>
        <w:autoSpaceDN/>
        <w:adjustRightInd/>
        <w:spacing w:after="0"/>
        <w:textAlignment w:val="auto"/>
        <w:rPr>
          <w:rFonts w:cs="Times"/>
          <w:bCs/>
          <w:lang w:eastAsia="zh-CN"/>
        </w:rPr>
      </w:pPr>
      <w:r>
        <w:rPr>
          <w:rFonts w:cs="Times"/>
          <w:bCs/>
          <w:lang w:eastAsia="zh-CN"/>
        </w:rPr>
        <w:t>FFS: Legacy DCI fields that might be re-purposed for the jointly encoded solution of Alt-1 and Alt-2e respectively.</w:t>
      </w:r>
    </w:p>
    <w:p w:rsidR="00D0451A" w:rsidRDefault="002A5230">
      <w:pPr>
        <w:keepNext/>
        <w:keepLines/>
        <w:jc w:val="both"/>
        <w:rPr>
          <w:rFonts w:eastAsia="Calibri"/>
          <w:lang w:val="en-US"/>
        </w:rPr>
      </w:pPr>
      <w:r>
        <w:rPr>
          <w:rFonts w:eastAsia="Calibri"/>
          <w:lang w:val="en-US"/>
        </w:rPr>
        <w:t>Note: Alt-1 expresses the HARQ-ACK delay as: (y) BL/CE DL subframe + 1 subframe + (z) BL/CE UL subframes, where y = {0, 1, 2, … 11} and z = {1, 2, 3}.</w:t>
      </w:r>
    </w:p>
    <w:p w:rsidR="00D0451A" w:rsidRDefault="00D0451A">
      <w:pPr>
        <w:rPr>
          <w:lang w:eastAsia="zh-CN"/>
        </w:rPr>
      </w:pPr>
    </w:p>
    <w:p w:rsidR="00D0451A" w:rsidRDefault="002A5230">
      <w:pPr>
        <w:keepNext/>
        <w:keepLines/>
        <w:jc w:val="both"/>
        <w:rPr>
          <w:b/>
          <w:bCs/>
        </w:rPr>
      </w:pPr>
      <w:r>
        <w:rPr>
          <w:b/>
          <w:bCs/>
        </w:rPr>
        <w:t>Conclusion:</w:t>
      </w:r>
    </w:p>
    <w:p w:rsidR="00D0451A" w:rsidRDefault="002A5230">
      <w:r>
        <w:t>In Rel-17, for the 14 HARQ processes feature:</w:t>
      </w:r>
    </w:p>
    <w:p w:rsidR="00D0451A" w:rsidRDefault="002A5230">
      <w:pPr>
        <w:rPr>
          <w:lang w:val="en-US"/>
        </w:rPr>
      </w:pPr>
      <w:r>
        <w:rPr>
          <w:lang w:val="en-US"/>
        </w:rPr>
        <w:t>When the HARQ-ACK delay is configured to use Alt-1 “PUCCH using Repetition = 1 is postponed”, whereas when the HARQ-ACK delay is configured to use Alt-2e “PUCCH using Repetition = 1 is not postponed (legacy behavior)”.</w:t>
      </w:r>
    </w:p>
    <w:p w:rsidR="00D0451A" w:rsidRDefault="00D0451A">
      <w:pPr>
        <w:rPr>
          <w:lang w:val="en-US" w:eastAsia="zh-CN"/>
        </w:rPr>
      </w:pPr>
    </w:p>
    <w:p w:rsidR="00D0451A" w:rsidRDefault="002A5230">
      <w:pPr>
        <w:keepNext/>
        <w:keepLines/>
        <w:jc w:val="both"/>
        <w:rPr>
          <w:b/>
          <w:bCs/>
          <w:highlight w:val="green"/>
        </w:rPr>
      </w:pPr>
      <w:r>
        <w:rPr>
          <w:b/>
          <w:bCs/>
          <w:highlight w:val="green"/>
        </w:rPr>
        <w:t>Agreement</w:t>
      </w:r>
    </w:p>
    <w:p w:rsidR="00D0451A" w:rsidRDefault="002A5230">
      <w:pPr>
        <w:keepNext/>
        <w:keepLines/>
        <w:jc w:val="both"/>
      </w:pPr>
      <w:r>
        <w:t>In Rel-17, the 14 HARQ processes feature is applicable for HD-FDD Cat M1 UEs in CE Mode A only.</w:t>
      </w:r>
    </w:p>
    <w:p w:rsidR="00D0451A" w:rsidRDefault="00D0451A">
      <w:pPr>
        <w:rPr>
          <w:lang w:eastAsia="zh-CN"/>
        </w:rPr>
      </w:pPr>
    </w:p>
    <w:p w:rsidR="00D0451A" w:rsidRDefault="002A5230">
      <w:pPr>
        <w:rPr>
          <w:b/>
          <w:bCs/>
          <w:lang w:eastAsia="zh-CN"/>
        </w:rPr>
      </w:pPr>
      <w:r>
        <w:rPr>
          <w:b/>
          <w:bCs/>
          <w:lang w:eastAsia="zh-CN"/>
        </w:rPr>
        <w:t>For discussion in future meetings:</w:t>
      </w:r>
    </w:p>
    <w:p w:rsidR="00D0451A" w:rsidRDefault="002A5230">
      <w:pPr>
        <w:rPr>
          <w:lang w:eastAsia="zh-CN"/>
        </w:rPr>
      </w:pPr>
      <w:r>
        <w:rPr>
          <w:lang w:eastAsia="zh-CN"/>
        </w:rPr>
        <w:t>Whether 14 HARQ processes feature can be enabled for PDSCH repetition case</w:t>
      </w:r>
    </w:p>
    <w:p w:rsidR="00D0451A" w:rsidRDefault="002A5230">
      <w:pPr>
        <w:pStyle w:val="21"/>
      </w:pPr>
      <w:r>
        <w:t>A1.6 List of agreements from RAN1 #106-e:</w:t>
      </w:r>
    </w:p>
    <w:p w:rsidR="00D0451A" w:rsidRDefault="002A5230">
      <w:pPr>
        <w:shd w:val="clear" w:color="auto" w:fill="FFFFFF"/>
        <w:rPr>
          <w:bCs/>
          <w:highlight w:val="green"/>
          <w:lang w:eastAsia="zh-CN"/>
        </w:rPr>
      </w:pPr>
      <w:r>
        <w:rPr>
          <w:bCs/>
          <w:highlight w:val="green"/>
          <w:lang w:eastAsia="zh-CN"/>
        </w:rPr>
        <w:t>Agreement</w:t>
      </w:r>
    </w:p>
    <w:p w:rsidR="00D0451A" w:rsidRDefault="002A5230">
      <w:pPr>
        <w:jc w:val="both"/>
        <w:rPr>
          <w:rFonts w:eastAsia="Calibri"/>
          <w:lang w:val="en-US"/>
        </w:rPr>
      </w:pPr>
      <w:r>
        <w:rPr>
          <w:rFonts w:eastAsia="Calibri"/>
          <w:lang w:val="en-US"/>
        </w:rPr>
        <w:t>Confirm the below Working Assumption for Alt-2e with following updates</w:t>
      </w:r>
    </w:p>
    <w:p w:rsidR="00D0451A" w:rsidRDefault="002A5230">
      <w:pPr>
        <w:jc w:val="both"/>
        <w:rPr>
          <w:sz w:val="18"/>
          <w:szCs w:val="18"/>
          <w:lang w:val="en-US"/>
        </w:rPr>
      </w:pPr>
      <w:r>
        <w:rPr>
          <w:rFonts w:eastAsia="Calibri"/>
          <w:lang w:val="en-US"/>
        </w:rPr>
        <w:t>The PDSCH scheduling delay and HARQ-ACK delay are jointly encoded in a single DCI field:</w:t>
      </w:r>
    </w:p>
    <w:p w:rsidR="00D0451A" w:rsidRDefault="002A5230">
      <w:pPr>
        <w:numPr>
          <w:ilvl w:val="0"/>
          <w:numId w:val="33"/>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5 bits if Alt-2e is configured.</w:t>
      </w:r>
    </w:p>
    <w:p w:rsidR="00D0451A" w:rsidRDefault="002A5230">
      <w:pPr>
        <w:numPr>
          <w:ilvl w:val="0"/>
          <w:numId w:val="33"/>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rsidR="00D0451A" w:rsidRDefault="002A5230">
      <w:pPr>
        <w:numPr>
          <w:ilvl w:val="0"/>
          <w:numId w:val="33"/>
        </w:numPr>
        <w:overflowPunct/>
        <w:autoSpaceDE/>
        <w:autoSpaceDN/>
        <w:adjustRightInd/>
        <w:spacing w:after="0"/>
        <w:textAlignment w:val="auto"/>
        <w:rPr>
          <w:rFonts w:cs="Times"/>
          <w:bCs/>
          <w:sz w:val="18"/>
          <w:szCs w:val="16"/>
          <w:lang w:eastAsia="zh-CN"/>
        </w:rPr>
      </w:pPr>
      <w:r>
        <w:rPr>
          <w:rFonts w:cs="Times"/>
          <w:bCs/>
          <w:sz w:val="18"/>
          <w:szCs w:val="16"/>
          <w:lang w:eastAsia="zh-CN"/>
        </w:rPr>
        <w:lastRenderedPageBreak/>
        <w:t>FFS: Legacy DCI fields that might be set to zero bits in length for the jointly encoded solution Alt-2e.</w:t>
      </w:r>
    </w:p>
    <w:p w:rsidR="00D0451A" w:rsidRDefault="002A5230">
      <w:pPr>
        <w:jc w:val="both"/>
        <w:rPr>
          <w:rFonts w:cs="Times"/>
          <w:bCs/>
          <w:sz w:val="18"/>
          <w:szCs w:val="16"/>
          <w:lang w:eastAsia="zh-CN"/>
        </w:rPr>
      </w:pPr>
      <w:r>
        <w:rPr>
          <w:rFonts w:cs="Times" w:hint="eastAsia"/>
          <w:bCs/>
          <w:sz w:val="18"/>
          <w:szCs w:val="16"/>
          <w:lang w:eastAsia="zh-CN"/>
        </w:rPr>
        <w:t>F</w:t>
      </w:r>
      <w:r>
        <w:rPr>
          <w:rFonts w:cs="Times"/>
          <w:bCs/>
          <w:sz w:val="18"/>
          <w:szCs w:val="16"/>
          <w:lang w:eastAsia="zh-CN"/>
        </w:rPr>
        <w:t>or Alt-1, it will be separate discussion based existing working assumption</w:t>
      </w:r>
    </w:p>
    <w:p w:rsidR="00D0451A" w:rsidRDefault="00D0451A">
      <w:pPr>
        <w:rPr>
          <w:rFonts w:cs="Times"/>
          <w:bCs/>
          <w:sz w:val="18"/>
          <w:szCs w:val="16"/>
          <w:lang w:eastAsia="zh-CN"/>
        </w:rPr>
      </w:pPr>
    </w:p>
    <w:p w:rsidR="00D0451A" w:rsidRDefault="002A5230">
      <w:pPr>
        <w:rPr>
          <w:rFonts w:eastAsia="Calibri"/>
          <w:highlight w:val="green"/>
          <w:lang w:val="en-US"/>
        </w:rPr>
      </w:pPr>
      <w:r>
        <w:rPr>
          <w:rFonts w:eastAsia="Calibri"/>
          <w:highlight w:val="green"/>
          <w:lang w:val="en-US"/>
        </w:rPr>
        <w:t>Agreement</w:t>
      </w:r>
    </w:p>
    <w:p w:rsidR="00D0451A" w:rsidRDefault="002A5230">
      <w:pPr>
        <w:jc w:val="both"/>
        <w:rPr>
          <w:rFonts w:eastAsia="Calibri"/>
          <w:lang w:val="en-US"/>
        </w:rPr>
      </w:pPr>
      <w:r>
        <w:rPr>
          <w:rFonts w:eastAsia="Calibri"/>
          <w:lang w:val="en-US"/>
        </w:rPr>
        <w:t>Confirm the below Working Assumption for Alt-1 with following updates</w:t>
      </w:r>
    </w:p>
    <w:p w:rsidR="00D0451A" w:rsidRDefault="002A5230">
      <w:pPr>
        <w:jc w:val="both"/>
        <w:rPr>
          <w:sz w:val="18"/>
          <w:szCs w:val="18"/>
          <w:lang w:val="en-US"/>
        </w:rPr>
      </w:pPr>
      <w:r>
        <w:rPr>
          <w:rFonts w:eastAsia="Calibri"/>
          <w:lang w:val="en-US"/>
        </w:rPr>
        <w:t>The PDSCH scheduling delay and HARQ-ACK delay are jointly encoded in a single DCI field:</w:t>
      </w:r>
    </w:p>
    <w:p w:rsidR="00D0451A" w:rsidRDefault="002A5230">
      <w:pPr>
        <w:numPr>
          <w:ilvl w:val="0"/>
          <w:numId w:val="33"/>
        </w:numPr>
        <w:overflowPunct/>
        <w:autoSpaceDE/>
        <w:autoSpaceDN/>
        <w:adjustRightInd/>
        <w:spacing w:after="0"/>
        <w:textAlignment w:val="auto"/>
        <w:rPr>
          <w:rFonts w:cs="Times"/>
          <w:bCs/>
          <w:sz w:val="18"/>
          <w:szCs w:val="16"/>
          <w:lang w:eastAsia="zh-CN"/>
        </w:rPr>
      </w:pPr>
      <w:r>
        <w:rPr>
          <w:rFonts w:cs="Times"/>
          <w:bCs/>
          <w:sz w:val="18"/>
          <w:szCs w:val="16"/>
          <w:lang w:eastAsia="zh-CN"/>
        </w:rPr>
        <w:t>The field is no more than 7 bits if Alt-1 is configured.</w:t>
      </w:r>
    </w:p>
    <w:p w:rsidR="00D0451A" w:rsidRDefault="002A5230">
      <w:pPr>
        <w:numPr>
          <w:ilvl w:val="0"/>
          <w:numId w:val="33"/>
        </w:numPr>
        <w:overflowPunct/>
        <w:autoSpaceDE/>
        <w:autoSpaceDN/>
        <w:adjustRightInd/>
        <w:spacing w:after="0"/>
        <w:textAlignment w:val="auto"/>
        <w:rPr>
          <w:rFonts w:cs="Times"/>
          <w:bCs/>
          <w:sz w:val="18"/>
          <w:szCs w:val="16"/>
          <w:lang w:eastAsia="zh-CN"/>
        </w:rPr>
      </w:pPr>
      <w:r>
        <w:rPr>
          <w:rFonts w:cs="Times"/>
          <w:bCs/>
          <w:sz w:val="18"/>
          <w:szCs w:val="16"/>
          <w:lang w:eastAsia="zh-CN"/>
        </w:rPr>
        <w:t>FFS: Details of the joint encoding.</w:t>
      </w:r>
    </w:p>
    <w:p w:rsidR="00D0451A" w:rsidRDefault="002A5230">
      <w:pPr>
        <w:numPr>
          <w:ilvl w:val="0"/>
          <w:numId w:val="33"/>
        </w:numPr>
        <w:overflowPunct/>
        <w:autoSpaceDE/>
        <w:autoSpaceDN/>
        <w:adjustRightInd/>
        <w:spacing w:after="0"/>
        <w:textAlignment w:val="auto"/>
        <w:rPr>
          <w:rFonts w:cs="Times"/>
          <w:bCs/>
          <w:sz w:val="18"/>
          <w:szCs w:val="16"/>
          <w:lang w:eastAsia="zh-CN"/>
        </w:rPr>
      </w:pPr>
      <w:r>
        <w:rPr>
          <w:rFonts w:cs="Times"/>
          <w:bCs/>
          <w:sz w:val="18"/>
          <w:szCs w:val="16"/>
          <w:lang w:eastAsia="zh-CN"/>
        </w:rPr>
        <w:t>FFS: Legacy DCI fields that might be set to zero bits in length for the jointly encoded solution Alt-1.</w:t>
      </w:r>
    </w:p>
    <w:p w:rsidR="00D0451A" w:rsidRDefault="002A5230">
      <w:pPr>
        <w:jc w:val="both"/>
        <w:rPr>
          <w:rFonts w:eastAsia="Calibri"/>
          <w:lang w:val="en-US"/>
        </w:rPr>
      </w:pPr>
      <w:r>
        <w:rPr>
          <w:rFonts w:eastAsia="Calibri"/>
          <w:lang w:val="en-US"/>
        </w:rPr>
        <w:t>Note: Alt-1 expresses the HARQ-ACK delay as: (y) BL/CE DL subframe + 1 subframe + (z) BL/CE UL subframes, where y = {0, 1, 2, … 11} and z = {1, 2, 3}.</w:t>
      </w:r>
    </w:p>
    <w:p w:rsidR="00D0451A" w:rsidRDefault="00D0451A">
      <w:pPr>
        <w:rPr>
          <w:rFonts w:eastAsia="Calibri"/>
          <w:highlight w:val="green"/>
          <w:lang w:val="en-US"/>
        </w:rPr>
      </w:pPr>
    </w:p>
    <w:p w:rsidR="00D0451A" w:rsidRDefault="002A5230">
      <w:pPr>
        <w:rPr>
          <w:rFonts w:eastAsia="Calibri"/>
          <w:highlight w:val="green"/>
          <w:lang w:val="en-US"/>
        </w:rPr>
      </w:pPr>
      <w:r>
        <w:rPr>
          <w:rFonts w:eastAsia="Calibri" w:hint="eastAsia"/>
          <w:highlight w:val="green"/>
          <w:lang w:val="en-US"/>
        </w:rPr>
        <w:t>Agreement</w:t>
      </w:r>
    </w:p>
    <w:p w:rsidR="00D0451A" w:rsidRDefault="002A5230">
      <w:pPr>
        <w:jc w:val="both"/>
        <w:rPr>
          <w:rFonts w:eastAsia="Calibri"/>
          <w:lang w:val="en-US"/>
        </w:rPr>
      </w:pPr>
      <w:r>
        <w:rPr>
          <w:rFonts w:eastAsia="Calibri"/>
          <w:lang w:val="en-US"/>
        </w:rPr>
        <w:t>For the PDSCH scheduling delay and HARQ-ACK delay jointly encoded in a single DCI field:</w:t>
      </w:r>
    </w:p>
    <w:p w:rsidR="00D0451A" w:rsidRDefault="002A5230">
      <w:pPr>
        <w:numPr>
          <w:ilvl w:val="0"/>
          <w:numId w:val="33"/>
        </w:numPr>
        <w:overflowPunct/>
        <w:autoSpaceDE/>
        <w:autoSpaceDN/>
        <w:adjustRightInd/>
        <w:spacing w:after="0"/>
        <w:textAlignment w:val="auto"/>
        <w:rPr>
          <w:rFonts w:eastAsia="Calibri"/>
          <w:lang w:val="en-US"/>
        </w:rPr>
      </w:pPr>
      <w:r>
        <w:rPr>
          <w:rFonts w:eastAsia="Calibri"/>
          <w:lang w:val="en-US"/>
        </w:rPr>
        <w:t xml:space="preserve">The DCI field uses 7 bits if Alt-1 is configured. </w:t>
      </w:r>
    </w:p>
    <w:p w:rsidR="00D0451A" w:rsidRDefault="00D0451A">
      <w:pPr>
        <w:rPr>
          <w:rFonts w:eastAsia="Calibri"/>
          <w:b/>
          <w:bCs/>
          <w:lang w:val="en-US"/>
        </w:rPr>
      </w:pPr>
    </w:p>
    <w:p w:rsidR="00D0451A" w:rsidRDefault="002A5230">
      <w:pPr>
        <w:jc w:val="both"/>
        <w:rPr>
          <w:rFonts w:eastAsia="Calibri"/>
          <w:lang w:val="en-US"/>
        </w:rPr>
      </w:pPr>
      <w:r>
        <w:rPr>
          <w:rFonts w:eastAsia="Calibri"/>
          <w:lang w:val="en-US"/>
        </w:rPr>
        <w:t>Conclusion</w:t>
      </w:r>
    </w:p>
    <w:p w:rsidR="00D0451A" w:rsidRDefault="002A5230">
      <w:pPr>
        <w:rPr>
          <w:rFonts w:eastAsia="Calibri"/>
          <w:lang w:val="en-US"/>
        </w:rPr>
      </w:pPr>
      <w:r>
        <w:rPr>
          <w:rFonts w:eastAsia="Calibri"/>
          <w:lang w:val="en-US"/>
        </w:rPr>
        <w:t>How to implement/describe the states, e.g., table, resulting from the joint encoding solution of Alt-1 is left up to the Editor, based on the agreements for the PDSCH scheduling delay, HARQ-ACK delay and the WA confirmed for Alt-1.</w:t>
      </w:r>
    </w:p>
    <w:p w:rsidR="00D0451A" w:rsidRDefault="00D0451A"/>
    <w:sectPr w:rsidR="00D0451A">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DE5" w:rsidRDefault="002E4DE5">
      <w:pPr>
        <w:spacing w:after="0" w:line="240" w:lineRule="auto"/>
      </w:pPr>
      <w:r>
        <w:separator/>
      </w:r>
    </w:p>
  </w:endnote>
  <w:endnote w:type="continuationSeparator" w:id="0">
    <w:p w:rsidR="002E4DE5" w:rsidRDefault="002E4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ZapfDingbats">
    <w:altName w:val="Segoe Print"/>
    <w:charset w:val="02"/>
    <w:family w:val="decorative"/>
    <w:pitch w:val="default"/>
    <w:sig w:usb0="00000000" w:usb1="0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lassicoURW">
    <w:altName w:val="Calibri"/>
    <w:charset w:val="00"/>
    <w:family w:val="swiss"/>
    <w:pitch w:val="default"/>
    <w:sig w:usb0="00000000"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51A" w:rsidRDefault="002A5230">
    <w:pPr>
      <w:pStyle w:val="ad"/>
      <w:tabs>
        <w:tab w:val="center" w:pos="4820"/>
        <w:tab w:val="right" w:pos="9639"/>
      </w:tabs>
      <w:jc w:val="left"/>
    </w:pPr>
    <w:r>
      <w:rPr>
        <w:rStyle w:val="af6"/>
      </w:rPr>
      <w:tab/>
    </w:r>
  </w:p>
  <w:p w:rsidR="00D0451A" w:rsidRDefault="00D0451A"/>
  <w:p w:rsidR="00D0451A" w:rsidRDefault="00D0451A"/>
  <w:p w:rsidR="00D0451A" w:rsidRDefault="00D0451A">
    <w:pPr>
      <w:pStyle w:val="Reference"/>
      <w:numPr>
        <w:ilvl w:val="0"/>
        <w:numId w:val="0"/>
      </w:numPr>
      <w:ind w:left="567" w:hanging="567"/>
    </w:pPr>
  </w:p>
  <w:p w:rsidR="00D0451A" w:rsidRDefault="00D0451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DE5" w:rsidRDefault="002E4DE5">
      <w:pPr>
        <w:spacing w:after="0" w:line="240" w:lineRule="auto"/>
      </w:pPr>
      <w:r>
        <w:separator/>
      </w:r>
    </w:p>
  </w:footnote>
  <w:footnote w:type="continuationSeparator" w:id="0">
    <w:p w:rsidR="002E4DE5" w:rsidRDefault="002E4D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51A" w:rsidRDefault="002A5230">
    <w:r>
      <w:br/>
      <w:t>Draft prETS 300 ???: Month YYYY</w:t>
    </w:r>
  </w:p>
  <w:p w:rsidR="00D0451A" w:rsidRDefault="00D0451A"/>
  <w:p w:rsidR="00D0451A" w:rsidRDefault="002A5230">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Pr>
        <w:rStyle w:val="af6"/>
      </w:rPr>
      <w:t>11</w:t>
    </w:r>
    <w:r>
      <w:rPr>
        <w:rStyle w:val="af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D522555"/>
    <w:multiLevelType w:val="multilevel"/>
    <w:tmpl w:val="0D5225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0FF72C7E"/>
    <w:multiLevelType w:val="multilevel"/>
    <w:tmpl w:val="0FF72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43666D7"/>
    <w:multiLevelType w:val="multilevel"/>
    <w:tmpl w:val="24366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A6F1F09"/>
    <w:multiLevelType w:val="multilevel"/>
    <w:tmpl w:val="2A6F1F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501E44"/>
    <w:multiLevelType w:val="multilevel"/>
    <w:tmpl w:val="30501E44"/>
    <w:lvl w:ilvl="0">
      <w:start w:val="1"/>
      <w:numFmt w:val="decimal"/>
      <w:pStyle w:val="PropObs"/>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4F4E20"/>
    <w:multiLevelType w:val="multilevel"/>
    <w:tmpl w:val="314F4E2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33E93A1C"/>
    <w:multiLevelType w:val="multilevel"/>
    <w:tmpl w:val="33E93A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686711C"/>
    <w:multiLevelType w:val="multilevel"/>
    <w:tmpl w:val="36867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eastAsia="等线" w:hAnsi="Wingdings"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bullet"/>
      <w:lvlText w:val=""/>
      <w:lvlJc w:val="left"/>
      <w:pPr>
        <w:tabs>
          <w:tab w:val="left" w:pos="2160"/>
        </w:tabs>
        <w:ind w:left="2160" w:hanging="180"/>
      </w:pPr>
      <w:rPr>
        <w:rFonts w:ascii="Symbol" w:hAnsi="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9"/>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5C4751EC"/>
    <w:multiLevelType w:val="multilevel"/>
    <w:tmpl w:val="5C4751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D74027C"/>
    <w:multiLevelType w:val="multilevel"/>
    <w:tmpl w:val="5D74027C"/>
    <w:lvl w:ilvl="0">
      <w:start w:val="1"/>
      <w:numFmt w:val="upperLetter"/>
      <w:lvlText w:val="%1)"/>
      <w:lvlJc w:val="left"/>
      <w:pPr>
        <w:ind w:left="1080" w:hanging="360"/>
      </w:pPr>
      <w:rPr>
        <w:rFonts w:hint="default"/>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94C6641"/>
    <w:multiLevelType w:val="multilevel"/>
    <w:tmpl w:val="694C66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9CA37FD"/>
    <w:multiLevelType w:val="multilevel"/>
    <w:tmpl w:val="69CA37FD"/>
    <w:lvl w:ilvl="0">
      <w:start w:val="1"/>
      <w:numFmt w:val="bullet"/>
      <w:lvlText w:val="•"/>
      <w:lvlJc w:val="left"/>
      <w:pPr>
        <w:tabs>
          <w:tab w:val="left" w:pos="720"/>
        </w:tabs>
        <w:ind w:left="720" w:hanging="360"/>
      </w:pPr>
      <w:rPr>
        <w:rFonts w:ascii="Arial" w:hAnsi="Arial" w:cs="Times New Roman" w:hint="default"/>
      </w:rPr>
    </w:lvl>
    <w:lvl w:ilvl="1">
      <w:numFmt w:val="bullet"/>
      <w:lvlText w:val="•"/>
      <w:lvlJc w:val="left"/>
      <w:pPr>
        <w:tabs>
          <w:tab w:val="left" w:pos="1440"/>
        </w:tabs>
        <w:ind w:left="1440" w:hanging="360"/>
      </w:pPr>
      <w:rPr>
        <w:rFonts w:ascii="Arial" w:hAnsi="Arial" w:cs="Times New Roman" w:hint="default"/>
        <w:lang w:val="en-US"/>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7" w15:restartNumberingAfterBreak="0">
    <w:nsid w:val="6CDB699A"/>
    <w:multiLevelType w:val="multilevel"/>
    <w:tmpl w:val="6CDB699A"/>
    <w:lvl w:ilvl="0">
      <w:numFmt w:val="bullet"/>
      <w:lvlText w:val="-"/>
      <w:lvlJc w:val="left"/>
      <w:pPr>
        <w:ind w:left="720" w:hanging="360"/>
      </w:pPr>
      <w:rPr>
        <w:rFonts w:ascii="Times" w:eastAsia="Batang" w:hAnsi="Times" w:cs="Time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1"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F134E94"/>
    <w:multiLevelType w:val="multilevel"/>
    <w:tmpl w:val="7F134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12"/>
  </w:num>
  <w:num w:numId="3">
    <w:abstractNumId w:val="2"/>
  </w:num>
  <w:num w:numId="4">
    <w:abstractNumId w:val="7"/>
  </w:num>
  <w:num w:numId="5">
    <w:abstractNumId w:val="5"/>
  </w:num>
  <w:num w:numId="6">
    <w:abstractNumId w:val="21"/>
  </w:num>
  <w:num w:numId="7">
    <w:abstractNumId w:val="0"/>
  </w:num>
  <w:num w:numId="8">
    <w:abstractNumId w:val="30"/>
  </w:num>
  <w:num w:numId="9">
    <w:abstractNumId w:val="18"/>
  </w:num>
  <w:num w:numId="10">
    <w:abstractNumId w:val="14"/>
  </w:num>
  <w:num w:numId="11">
    <w:abstractNumId w:val="19"/>
  </w:num>
  <w:num w:numId="12">
    <w:abstractNumId w:val="20"/>
  </w:num>
  <w:num w:numId="13">
    <w:abstractNumId w:val="9"/>
  </w:num>
  <w:num w:numId="14">
    <w:abstractNumId w:val="31"/>
  </w:num>
  <w:num w:numId="15">
    <w:abstractNumId w:val="29"/>
  </w:num>
  <w:num w:numId="16">
    <w:abstractNumId w:val="17"/>
  </w:num>
  <w:num w:numId="17">
    <w:abstractNumId w:val="4"/>
  </w:num>
  <w:num w:numId="18">
    <w:abstractNumId w:val="1"/>
  </w:num>
  <w:num w:numId="19">
    <w:abstractNumId w:val="32"/>
  </w:num>
  <w:num w:numId="20">
    <w:abstractNumId w:val="23"/>
  </w:num>
  <w:num w:numId="21">
    <w:abstractNumId w:val="22"/>
  </w:num>
  <w:num w:numId="22">
    <w:abstractNumId w:val="10"/>
  </w:num>
  <w:num w:numId="23">
    <w:abstractNumId w:val="26"/>
  </w:num>
  <w:num w:numId="24">
    <w:abstractNumId w:val="8"/>
  </w:num>
  <w:num w:numId="25">
    <w:abstractNumId w:val="11"/>
  </w:num>
  <w:num w:numId="26">
    <w:abstractNumId w:val="15"/>
  </w:num>
  <w:num w:numId="27">
    <w:abstractNumId w:val="3"/>
  </w:num>
  <w:num w:numId="28">
    <w:abstractNumId w:val="6"/>
  </w:num>
  <w:num w:numId="29">
    <w:abstractNumId w:val="16"/>
  </w:num>
  <w:num w:numId="30">
    <w:abstractNumId w:val="13"/>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ED"/>
    <w:rsid w:val="00000380"/>
    <w:rsid w:val="000006E1"/>
    <w:rsid w:val="00000B4D"/>
    <w:rsid w:val="00000D2C"/>
    <w:rsid w:val="00001874"/>
    <w:rsid w:val="0000197B"/>
    <w:rsid w:val="00001B53"/>
    <w:rsid w:val="00001B93"/>
    <w:rsid w:val="00002A37"/>
    <w:rsid w:val="00003258"/>
    <w:rsid w:val="000036DC"/>
    <w:rsid w:val="00003F36"/>
    <w:rsid w:val="00004788"/>
    <w:rsid w:val="00005212"/>
    <w:rsid w:val="0000551E"/>
    <w:rsid w:val="0000557C"/>
    <w:rsid w:val="000055CF"/>
    <w:rsid w:val="0000564C"/>
    <w:rsid w:val="000056CB"/>
    <w:rsid w:val="0000578B"/>
    <w:rsid w:val="00005D23"/>
    <w:rsid w:val="000060E7"/>
    <w:rsid w:val="00006149"/>
    <w:rsid w:val="00006446"/>
    <w:rsid w:val="00006896"/>
    <w:rsid w:val="000074A0"/>
    <w:rsid w:val="0000763D"/>
    <w:rsid w:val="00007CDC"/>
    <w:rsid w:val="00007FC9"/>
    <w:rsid w:val="000104DF"/>
    <w:rsid w:val="00010ACC"/>
    <w:rsid w:val="00011354"/>
    <w:rsid w:val="00011826"/>
    <w:rsid w:val="00011B28"/>
    <w:rsid w:val="00011D2B"/>
    <w:rsid w:val="00011D99"/>
    <w:rsid w:val="000122FD"/>
    <w:rsid w:val="000126BA"/>
    <w:rsid w:val="00012D00"/>
    <w:rsid w:val="000134CD"/>
    <w:rsid w:val="0001354F"/>
    <w:rsid w:val="00013BA8"/>
    <w:rsid w:val="00013F17"/>
    <w:rsid w:val="00014444"/>
    <w:rsid w:val="00014733"/>
    <w:rsid w:val="00014A4C"/>
    <w:rsid w:val="00014D6B"/>
    <w:rsid w:val="000150E6"/>
    <w:rsid w:val="00015138"/>
    <w:rsid w:val="0001526E"/>
    <w:rsid w:val="00015345"/>
    <w:rsid w:val="00015759"/>
    <w:rsid w:val="00015878"/>
    <w:rsid w:val="00015D15"/>
    <w:rsid w:val="00016101"/>
    <w:rsid w:val="00016E28"/>
    <w:rsid w:val="0001744D"/>
    <w:rsid w:val="00017888"/>
    <w:rsid w:val="00017E5B"/>
    <w:rsid w:val="0002070C"/>
    <w:rsid w:val="00020A32"/>
    <w:rsid w:val="00021072"/>
    <w:rsid w:val="00021756"/>
    <w:rsid w:val="000220CD"/>
    <w:rsid w:val="00022259"/>
    <w:rsid w:val="000227F6"/>
    <w:rsid w:val="00022F63"/>
    <w:rsid w:val="00023C8D"/>
    <w:rsid w:val="00024674"/>
    <w:rsid w:val="000249EC"/>
    <w:rsid w:val="0002564D"/>
    <w:rsid w:val="00025BAD"/>
    <w:rsid w:val="00025ECA"/>
    <w:rsid w:val="00025F8C"/>
    <w:rsid w:val="000262AC"/>
    <w:rsid w:val="0002669C"/>
    <w:rsid w:val="000266EC"/>
    <w:rsid w:val="00026921"/>
    <w:rsid w:val="00027476"/>
    <w:rsid w:val="000276DE"/>
    <w:rsid w:val="000303E9"/>
    <w:rsid w:val="00031381"/>
    <w:rsid w:val="00031A57"/>
    <w:rsid w:val="00031FDA"/>
    <w:rsid w:val="000320CD"/>
    <w:rsid w:val="000325B8"/>
    <w:rsid w:val="00033494"/>
    <w:rsid w:val="0003396C"/>
    <w:rsid w:val="00034038"/>
    <w:rsid w:val="00034C15"/>
    <w:rsid w:val="00034F95"/>
    <w:rsid w:val="0003649D"/>
    <w:rsid w:val="00036668"/>
    <w:rsid w:val="00036BA1"/>
    <w:rsid w:val="00037C46"/>
    <w:rsid w:val="00040140"/>
    <w:rsid w:val="00040D70"/>
    <w:rsid w:val="00041482"/>
    <w:rsid w:val="000414C8"/>
    <w:rsid w:val="00041548"/>
    <w:rsid w:val="000415DB"/>
    <w:rsid w:val="00041A32"/>
    <w:rsid w:val="00041AAC"/>
    <w:rsid w:val="000422E2"/>
    <w:rsid w:val="0004272C"/>
    <w:rsid w:val="00042CB0"/>
    <w:rsid w:val="00042CFD"/>
    <w:rsid w:val="00042D4D"/>
    <w:rsid w:val="00042F22"/>
    <w:rsid w:val="00042FC2"/>
    <w:rsid w:val="00043F1A"/>
    <w:rsid w:val="000444D5"/>
    <w:rsid w:val="000444EF"/>
    <w:rsid w:val="00044B91"/>
    <w:rsid w:val="0004530D"/>
    <w:rsid w:val="00045501"/>
    <w:rsid w:val="000455A1"/>
    <w:rsid w:val="00045AA4"/>
    <w:rsid w:val="0004679E"/>
    <w:rsid w:val="00046B28"/>
    <w:rsid w:val="00046BEE"/>
    <w:rsid w:val="00046DFC"/>
    <w:rsid w:val="000473AB"/>
    <w:rsid w:val="0004744C"/>
    <w:rsid w:val="000500CC"/>
    <w:rsid w:val="000502F1"/>
    <w:rsid w:val="0005087E"/>
    <w:rsid w:val="00051E84"/>
    <w:rsid w:val="0005211E"/>
    <w:rsid w:val="00052390"/>
    <w:rsid w:val="00052A07"/>
    <w:rsid w:val="00052AD1"/>
    <w:rsid w:val="0005300B"/>
    <w:rsid w:val="000534E3"/>
    <w:rsid w:val="00053781"/>
    <w:rsid w:val="0005410F"/>
    <w:rsid w:val="00054A09"/>
    <w:rsid w:val="000550A6"/>
    <w:rsid w:val="00055B93"/>
    <w:rsid w:val="00055CA2"/>
    <w:rsid w:val="0005606A"/>
    <w:rsid w:val="00057117"/>
    <w:rsid w:val="0005716B"/>
    <w:rsid w:val="0005747E"/>
    <w:rsid w:val="000574BC"/>
    <w:rsid w:val="000575BE"/>
    <w:rsid w:val="00057A19"/>
    <w:rsid w:val="00060177"/>
    <w:rsid w:val="00061031"/>
    <w:rsid w:val="000616E7"/>
    <w:rsid w:val="00061A0C"/>
    <w:rsid w:val="00061D48"/>
    <w:rsid w:val="00061E07"/>
    <w:rsid w:val="00062003"/>
    <w:rsid w:val="0006253D"/>
    <w:rsid w:val="000626FA"/>
    <w:rsid w:val="00062A13"/>
    <w:rsid w:val="00062CC6"/>
    <w:rsid w:val="00063341"/>
    <w:rsid w:val="0006447C"/>
    <w:rsid w:val="00064536"/>
    <w:rsid w:val="000646BB"/>
    <w:rsid w:val="0006487E"/>
    <w:rsid w:val="00064BCC"/>
    <w:rsid w:val="00064C25"/>
    <w:rsid w:val="0006527A"/>
    <w:rsid w:val="000653B4"/>
    <w:rsid w:val="000656E1"/>
    <w:rsid w:val="00065BF6"/>
    <w:rsid w:val="00065E1A"/>
    <w:rsid w:val="000660D6"/>
    <w:rsid w:val="00066AEF"/>
    <w:rsid w:val="00066E6E"/>
    <w:rsid w:val="00066FA8"/>
    <w:rsid w:val="00067293"/>
    <w:rsid w:val="000674A5"/>
    <w:rsid w:val="00067BEE"/>
    <w:rsid w:val="00067F7D"/>
    <w:rsid w:val="00070082"/>
    <w:rsid w:val="00071119"/>
    <w:rsid w:val="000717FB"/>
    <w:rsid w:val="0007183A"/>
    <w:rsid w:val="00071A30"/>
    <w:rsid w:val="00071E0C"/>
    <w:rsid w:val="0007210B"/>
    <w:rsid w:val="00072262"/>
    <w:rsid w:val="00072581"/>
    <w:rsid w:val="0007335A"/>
    <w:rsid w:val="00073AE0"/>
    <w:rsid w:val="00073AF0"/>
    <w:rsid w:val="00074015"/>
    <w:rsid w:val="000740AC"/>
    <w:rsid w:val="000757A0"/>
    <w:rsid w:val="00076502"/>
    <w:rsid w:val="0007673F"/>
    <w:rsid w:val="00076887"/>
    <w:rsid w:val="00077E5F"/>
    <w:rsid w:val="0008036A"/>
    <w:rsid w:val="000807D3"/>
    <w:rsid w:val="00080BB7"/>
    <w:rsid w:val="00081293"/>
    <w:rsid w:val="00081695"/>
    <w:rsid w:val="0008197D"/>
    <w:rsid w:val="00081AE6"/>
    <w:rsid w:val="0008267B"/>
    <w:rsid w:val="0008294A"/>
    <w:rsid w:val="00083425"/>
    <w:rsid w:val="0008342E"/>
    <w:rsid w:val="0008369A"/>
    <w:rsid w:val="00083F22"/>
    <w:rsid w:val="00084943"/>
    <w:rsid w:val="000851A1"/>
    <w:rsid w:val="000855DE"/>
    <w:rsid w:val="000855EB"/>
    <w:rsid w:val="00085B52"/>
    <w:rsid w:val="00086603"/>
    <w:rsid w:val="000866F2"/>
    <w:rsid w:val="00086BFA"/>
    <w:rsid w:val="00086EB4"/>
    <w:rsid w:val="00087A12"/>
    <w:rsid w:val="00087FD5"/>
    <w:rsid w:val="0009009F"/>
    <w:rsid w:val="00091362"/>
    <w:rsid w:val="00091557"/>
    <w:rsid w:val="00091922"/>
    <w:rsid w:val="00091D94"/>
    <w:rsid w:val="000923A6"/>
    <w:rsid w:val="000924C1"/>
    <w:rsid w:val="000924F0"/>
    <w:rsid w:val="00092914"/>
    <w:rsid w:val="00092B61"/>
    <w:rsid w:val="00093474"/>
    <w:rsid w:val="0009366E"/>
    <w:rsid w:val="00093C62"/>
    <w:rsid w:val="00093E60"/>
    <w:rsid w:val="00094740"/>
    <w:rsid w:val="0009510F"/>
    <w:rsid w:val="000953B7"/>
    <w:rsid w:val="000956A8"/>
    <w:rsid w:val="00095A2E"/>
    <w:rsid w:val="00095D9D"/>
    <w:rsid w:val="00096868"/>
    <w:rsid w:val="00096A15"/>
    <w:rsid w:val="00096A38"/>
    <w:rsid w:val="00096BE8"/>
    <w:rsid w:val="00096F1C"/>
    <w:rsid w:val="00097757"/>
    <w:rsid w:val="000977A5"/>
    <w:rsid w:val="000978B6"/>
    <w:rsid w:val="000978C0"/>
    <w:rsid w:val="00097992"/>
    <w:rsid w:val="000A063F"/>
    <w:rsid w:val="000A0B91"/>
    <w:rsid w:val="000A103E"/>
    <w:rsid w:val="000A112C"/>
    <w:rsid w:val="000A1B7B"/>
    <w:rsid w:val="000A2308"/>
    <w:rsid w:val="000A2362"/>
    <w:rsid w:val="000A279E"/>
    <w:rsid w:val="000A288D"/>
    <w:rsid w:val="000A29C4"/>
    <w:rsid w:val="000A37C1"/>
    <w:rsid w:val="000A38B8"/>
    <w:rsid w:val="000A4286"/>
    <w:rsid w:val="000A43D1"/>
    <w:rsid w:val="000A4A2B"/>
    <w:rsid w:val="000A4F09"/>
    <w:rsid w:val="000A5308"/>
    <w:rsid w:val="000A5581"/>
    <w:rsid w:val="000A56F2"/>
    <w:rsid w:val="000A5C3D"/>
    <w:rsid w:val="000A5C47"/>
    <w:rsid w:val="000A6554"/>
    <w:rsid w:val="000A70CF"/>
    <w:rsid w:val="000A7325"/>
    <w:rsid w:val="000B0385"/>
    <w:rsid w:val="000B03D2"/>
    <w:rsid w:val="000B06B4"/>
    <w:rsid w:val="000B1822"/>
    <w:rsid w:val="000B1F67"/>
    <w:rsid w:val="000B24DB"/>
    <w:rsid w:val="000B2719"/>
    <w:rsid w:val="000B2756"/>
    <w:rsid w:val="000B2A68"/>
    <w:rsid w:val="000B2EAD"/>
    <w:rsid w:val="000B2F71"/>
    <w:rsid w:val="000B311E"/>
    <w:rsid w:val="000B321D"/>
    <w:rsid w:val="000B35EB"/>
    <w:rsid w:val="000B372B"/>
    <w:rsid w:val="000B39C2"/>
    <w:rsid w:val="000B3A8F"/>
    <w:rsid w:val="000B3C2E"/>
    <w:rsid w:val="000B3C80"/>
    <w:rsid w:val="000B3CD1"/>
    <w:rsid w:val="000B40E3"/>
    <w:rsid w:val="000B416B"/>
    <w:rsid w:val="000B42D1"/>
    <w:rsid w:val="000B479A"/>
    <w:rsid w:val="000B4AB9"/>
    <w:rsid w:val="000B5609"/>
    <w:rsid w:val="000B58C3"/>
    <w:rsid w:val="000B5C85"/>
    <w:rsid w:val="000B619F"/>
    <w:rsid w:val="000B61E9"/>
    <w:rsid w:val="000B6308"/>
    <w:rsid w:val="000B7585"/>
    <w:rsid w:val="000B7609"/>
    <w:rsid w:val="000B777B"/>
    <w:rsid w:val="000B7B0A"/>
    <w:rsid w:val="000B7B10"/>
    <w:rsid w:val="000C0465"/>
    <w:rsid w:val="000C0BDC"/>
    <w:rsid w:val="000C12E2"/>
    <w:rsid w:val="000C15E0"/>
    <w:rsid w:val="000C165A"/>
    <w:rsid w:val="000C172F"/>
    <w:rsid w:val="000C17B4"/>
    <w:rsid w:val="000C1CEB"/>
    <w:rsid w:val="000C2160"/>
    <w:rsid w:val="000C27DF"/>
    <w:rsid w:val="000C2BC9"/>
    <w:rsid w:val="000C2D16"/>
    <w:rsid w:val="000C2E19"/>
    <w:rsid w:val="000C2F09"/>
    <w:rsid w:val="000C30D5"/>
    <w:rsid w:val="000C3B5B"/>
    <w:rsid w:val="000C3DC0"/>
    <w:rsid w:val="000C414E"/>
    <w:rsid w:val="000C47EB"/>
    <w:rsid w:val="000C49EB"/>
    <w:rsid w:val="000C516E"/>
    <w:rsid w:val="000C55AB"/>
    <w:rsid w:val="000C5B63"/>
    <w:rsid w:val="000C6122"/>
    <w:rsid w:val="000C72C2"/>
    <w:rsid w:val="000C7C27"/>
    <w:rsid w:val="000D003E"/>
    <w:rsid w:val="000D0312"/>
    <w:rsid w:val="000D0D07"/>
    <w:rsid w:val="000D0ED1"/>
    <w:rsid w:val="000D12FF"/>
    <w:rsid w:val="000D33D8"/>
    <w:rsid w:val="000D360E"/>
    <w:rsid w:val="000D3743"/>
    <w:rsid w:val="000D3941"/>
    <w:rsid w:val="000D399C"/>
    <w:rsid w:val="000D4184"/>
    <w:rsid w:val="000D4797"/>
    <w:rsid w:val="000D4D41"/>
    <w:rsid w:val="000D57D8"/>
    <w:rsid w:val="000D6056"/>
    <w:rsid w:val="000D6E86"/>
    <w:rsid w:val="000D6FE6"/>
    <w:rsid w:val="000D711F"/>
    <w:rsid w:val="000D722B"/>
    <w:rsid w:val="000D74C9"/>
    <w:rsid w:val="000D784F"/>
    <w:rsid w:val="000D7AF5"/>
    <w:rsid w:val="000D7D9B"/>
    <w:rsid w:val="000D7DBD"/>
    <w:rsid w:val="000E0527"/>
    <w:rsid w:val="000E0770"/>
    <w:rsid w:val="000E0CE4"/>
    <w:rsid w:val="000E0D16"/>
    <w:rsid w:val="000E0D42"/>
    <w:rsid w:val="000E1304"/>
    <w:rsid w:val="000E13F2"/>
    <w:rsid w:val="000E1CEB"/>
    <w:rsid w:val="000E1E17"/>
    <w:rsid w:val="000E1E92"/>
    <w:rsid w:val="000E21E8"/>
    <w:rsid w:val="000E27D8"/>
    <w:rsid w:val="000E30B2"/>
    <w:rsid w:val="000E30DA"/>
    <w:rsid w:val="000E37AA"/>
    <w:rsid w:val="000E3CB3"/>
    <w:rsid w:val="000E4832"/>
    <w:rsid w:val="000E56CD"/>
    <w:rsid w:val="000E6ED2"/>
    <w:rsid w:val="000E719E"/>
    <w:rsid w:val="000E759E"/>
    <w:rsid w:val="000E7622"/>
    <w:rsid w:val="000E7687"/>
    <w:rsid w:val="000E7B7A"/>
    <w:rsid w:val="000F01E5"/>
    <w:rsid w:val="000F020C"/>
    <w:rsid w:val="000F06D6"/>
    <w:rsid w:val="000F0858"/>
    <w:rsid w:val="000F0DBB"/>
    <w:rsid w:val="000F0EB1"/>
    <w:rsid w:val="000F1106"/>
    <w:rsid w:val="000F147C"/>
    <w:rsid w:val="000F183E"/>
    <w:rsid w:val="000F1932"/>
    <w:rsid w:val="000F1F52"/>
    <w:rsid w:val="000F2BC4"/>
    <w:rsid w:val="000F2DC7"/>
    <w:rsid w:val="000F311F"/>
    <w:rsid w:val="000F3624"/>
    <w:rsid w:val="000F3B2F"/>
    <w:rsid w:val="000F3BE9"/>
    <w:rsid w:val="000F3F6C"/>
    <w:rsid w:val="000F46C9"/>
    <w:rsid w:val="000F4DA4"/>
    <w:rsid w:val="000F5547"/>
    <w:rsid w:val="000F5A6A"/>
    <w:rsid w:val="000F5E93"/>
    <w:rsid w:val="000F5F34"/>
    <w:rsid w:val="000F61C2"/>
    <w:rsid w:val="000F6DF3"/>
    <w:rsid w:val="000F7135"/>
    <w:rsid w:val="000F719F"/>
    <w:rsid w:val="000F731E"/>
    <w:rsid w:val="000F77AB"/>
    <w:rsid w:val="000F7C0D"/>
    <w:rsid w:val="001005FF"/>
    <w:rsid w:val="00100900"/>
    <w:rsid w:val="0010113C"/>
    <w:rsid w:val="00101452"/>
    <w:rsid w:val="00101ABF"/>
    <w:rsid w:val="001023DE"/>
    <w:rsid w:val="00102FDD"/>
    <w:rsid w:val="0010304C"/>
    <w:rsid w:val="001035F6"/>
    <w:rsid w:val="0010374B"/>
    <w:rsid w:val="001037C9"/>
    <w:rsid w:val="00103E73"/>
    <w:rsid w:val="00104053"/>
    <w:rsid w:val="00104C31"/>
    <w:rsid w:val="0010522E"/>
    <w:rsid w:val="00105862"/>
    <w:rsid w:val="001062FB"/>
    <w:rsid w:val="001063E6"/>
    <w:rsid w:val="00106987"/>
    <w:rsid w:val="00106AAA"/>
    <w:rsid w:val="00106F5C"/>
    <w:rsid w:val="001072F7"/>
    <w:rsid w:val="00110E2B"/>
    <w:rsid w:val="0011118D"/>
    <w:rsid w:val="00111FB1"/>
    <w:rsid w:val="001138B8"/>
    <w:rsid w:val="00113B38"/>
    <w:rsid w:val="00113B78"/>
    <w:rsid w:val="00113B8F"/>
    <w:rsid w:val="00113CF4"/>
    <w:rsid w:val="00114105"/>
    <w:rsid w:val="0011414E"/>
    <w:rsid w:val="00114152"/>
    <w:rsid w:val="00114419"/>
    <w:rsid w:val="0011449A"/>
    <w:rsid w:val="00114552"/>
    <w:rsid w:val="001145C3"/>
    <w:rsid w:val="001149CD"/>
    <w:rsid w:val="0011518E"/>
    <w:rsid w:val="001153EA"/>
    <w:rsid w:val="00115643"/>
    <w:rsid w:val="00115B52"/>
    <w:rsid w:val="00116082"/>
    <w:rsid w:val="001163E5"/>
    <w:rsid w:val="00116765"/>
    <w:rsid w:val="0011685A"/>
    <w:rsid w:val="00116B6D"/>
    <w:rsid w:val="001170AA"/>
    <w:rsid w:val="00117A78"/>
    <w:rsid w:val="001207A8"/>
    <w:rsid w:val="001219F5"/>
    <w:rsid w:val="00121A20"/>
    <w:rsid w:val="00121B71"/>
    <w:rsid w:val="00121E65"/>
    <w:rsid w:val="00122B34"/>
    <w:rsid w:val="00122DFF"/>
    <w:rsid w:val="00123045"/>
    <w:rsid w:val="001231D0"/>
    <w:rsid w:val="0012377F"/>
    <w:rsid w:val="00123941"/>
    <w:rsid w:val="00123F5C"/>
    <w:rsid w:val="00124314"/>
    <w:rsid w:val="00124488"/>
    <w:rsid w:val="001245F8"/>
    <w:rsid w:val="00125D7F"/>
    <w:rsid w:val="00125F31"/>
    <w:rsid w:val="00126B4A"/>
    <w:rsid w:val="00127888"/>
    <w:rsid w:val="00127913"/>
    <w:rsid w:val="00127C0C"/>
    <w:rsid w:val="00130235"/>
    <w:rsid w:val="00130398"/>
    <w:rsid w:val="00130597"/>
    <w:rsid w:val="00130DA6"/>
    <w:rsid w:val="00130F05"/>
    <w:rsid w:val="00131110"/>
    <w:rsid w:val="001317D4"/>
    <w:rsid w:val="00131A8D"/>
    <w:rsid w:val="00131FE5"/>
    <w:rsid w:val="00132760"/>
    <w:rsid w:val="00132A47"/>
    <w:rsid w:val="00132FD0"/>
    <w:rsid w:val="001332C1"/>
    <w:rsid w:val="00133A86"/>
    <w:rsid w:val="00134073"/>
    <w:rsid w:val="001344C0"/>
    <w:rsid w:val="001346FA"/>
    <w:rsid w:val="001348DC"/>
    <w:rsid w:val="00134CB6"/>
    <w:rsid w:val="00135024"/>
    <w:rsid w:val="0013509D"/>
    <w:rsid w:val="00135252"/>
    <w:rsid w:val="001353EF"/>
    <w:rsid w:val="001357A7"/>
    <w:rsid w:val="001360EE"/>
    <w:rsid w:val="00136192"/>
    <w:rsid w:val="00136A93"/>
    <w:rsid w:val="00136E73"/>
    <w:rsid w:val="00137350"/>
    <w:rsid w:val="00137AB5"/>
    <w:rsid w:val="00137DA3"/>
    <w:rsid w:val="00137DED"/>
    <w:rsid w:val="00137F0B"/>
    <w:rsid w:val="00137FEC"/>
    <w:rsid w:val="00140AE9"/>
    <w:rsid w:val="00140CAC"/>
    <w:rsid w:val="00140E2E"/>
    <w:rsid w:val="001417E5"/>
    <w:rsid w:val="00142589"/>
    <w:rsid w:val="001428CD"/>
    <w:rsid w:val="00142E59"/>
    <w:rsid w:val="00143195"/>
    <w:rsid w:val="0014341A"/>
    <w:rsid w:val="00143481"/>
    <w:rsid w:val="001438FE"/>
    <w:rsid w:val="001439C5"/>
    <w:rsid w:val="00144052"/>
    <w:rsid w:val="00144645"/>
    <w:rsid w:val="001448CE"/>
    <w:rsid w:val="00144A48"/>
    <w:rsid w:val="00144DD2"/>
    <w:rsid w:val="00145507"/>
    <w:rsid w:val="00145519"/>
    <w:rsid w:val="00145DD6"/>
    <w:rsid w:val="001466FE"/>
    <w:rsid w:val="00146CCA"/>
    <w:rsid w:val="001471C6"/>
    <w:rsid w:val="00147872"/>
    <w:rsid w:val="00147D80"/>
    <w:rsid w:val="00147FBC"/>
    <w:rsid w:val="00150159"/>
    <w:rsid w:val="00150214"/>
    <w:rsid w:val="001505FF"/>
    <w:rsid w:val="001507D4"/>
    <w:rsid w:val="00150AAA"/>
    <w:rsid w:val="00151221"/>
    <w:rsid w:val="00151257"/>
    <w:rsid w:val="001512E6"/>
    <w:rsid w:val="00151C38"/>
    <w:rsid w:val="00151DF3"/>
    <w:rsid w:val="00151E23"/>
    <w:rsid w:val="001526E0"/>
    <w:rsid w:val="00152806"/>
    <w:rsid w:val="001529CE"/>
    <w:rsid w:val="00152B02"/>
    <w:rsid w:val="00152B36"/>
    <w:rsid w:val="00152CA0"/>
    <w:rsid w:val="001535D4"/>
    <w:rsid w:val="001546BC"/>
    <w:rsid w:val="001547BD"/>
    <w:rsid w:val="001551B5"/>
    <w:rsid w:val="00155C75"/>
    <w:rsid w:val="00156061"/>
    <w:rsid w:val="0015616C"/>
    <w:rsid w:val="00156ED9"/>
    <w:rsid w:val="00157792"/>
    <w:rsid w:val="00157908"/>
    <w:rsid w:val="00157DBE"/>
    <w:rsid w:val="0016060D"/>
    <w:rsid w:val="00160AEA"/>
    <w:rsid w:val="001610FE"/>
    <w:rsid w:val="00161407"/>
    <w:rsid w:val="00161B73"/>
    <w:rsid w:val="00161ED8"/>
    <w:rsid w:val="0016211D"/>
    <w:rsid w:val="0016256C"/>
    <w:rsid w:val="00162988"/>
    <w:rsid w:val="00162F4E"/>
    <w:rsid w:val="001632C9"/>
    <w:rsid w:val="001635E6"/>
    <w:rsid w:val="001644CB"/>
    <w:rsid w:val="001645D4"/>
    <w:rsid w:val="00165137"/>
    <w:rsid w:val="001652C6"/>
    <w:rsid w:val="001659C1"/>
    <w:rsid w:val="00167323"/>
    <w:rsid w:val="00167710"/>
    <w:rsid w:val="001679AE"/>
    <w:rsid w:val="00167CFA"/>
    <w:rsid w:val="00167F2F"/>
    <w:rsid w:val="0017013E"/>
    <w:rsid w:val="00170375"/>
    <w:rsid w:val="00170393"/>
    <w:rsid w:val="00170EAC"/>
    <w:rsid w:val="001711B8"/>
    <w:rsid w:val="00171248"/>
    <w:rsid w:val="001718B9"/>
    <w:rsid w:val="00171A7E"/>
    <w:rsid w:val="0017297D"/>
    <w:rsid w:val="00172A32"/>
    <w:rsid w:val="00172D8E"/>
    <w:rsid w:val="00173228"/>
    <w:rsid w:val="00173705"/>
    <w:rsid w:val="00173765"/>
    <w:rsid w:val="00173811"/>
    <w:rsid w:val="001739C5"/>
    <w:rsid w:val="00173A8E"/>
    <w:rsid w:val="00173B04"/>
    <w:rsid w:val="00173B1A"/>
    <w:rsid w:val="00173E16"/>
    <w:rsid w:val="00173F48"/>
    <w:rsid w:val="00174ABF"/>
    <w:rsid w:val="0017502C"/>
    <w:rsid w:val="0017523B"/>
    <w:rsid w:val="00175751"/>
    <w:rsid w:val="001759B3"/>
    <w:rsid w:val="001759FE"/>
    <w:rsid w:val="00175CC1"/>
    <w:rsid w:val="00175D40"/>
    <w:rsid w:val="00175DAB"/>
    <w:rsid w:val="00176330"/>
    <w:rsid w:val="00176996"/>
    <w:rsid w:val="0017700C"/>
    <w:rsid w:val="00177278"/>
    <w:rsid w:val="0017744C"/>
    <w:rsid w:val="001776B6"/>
    <w:rsid w:val="001776BE"/>
    <w:rsid w:val="00177B9B"/>
    <w:rsid w:val="0018143F"/>
    <w:rsid w:val="001814A9"/>
    <w:rsid w:val="001814C5"/>
    <w:rsid w:val="001816B3"/>
    <w:rsid w:val="00181D25"/>
    <w:rsid w:val="00181F9C"/>
    <w:rsid w:val="00181FF8"/>
    <w:rsid w:val="001824BE"/>
    <w:rsid w:val="00182568"/>
    <w:rsid w:val="00182622"/>
    <w:rsid w:val="00182CCC"/>
    <w:rsid w:val="00183258"/>
    <w:rsid w:val="00183AC6"/>
    <w:rsid w:val="00183E34"/>
    <w:rsid w:val="00183FB0"/>
    <w:rsid w:val="00184B55"/>
    <w:rsid w:val="00184E20"/>
    <w:rsid w:val="00185ADD"/>
    <w:rsid w:val="00185E5B"/>
    <w:rsid w:val="00186EDA"/>
    <w:rsid w:val="0018724E"/>
    <w:rsid w:val="00187496"/>
    <w:rsid w:val="0018759F"/>
    <w:rsid w:val="00187656"/>
    <w:rsid w:val="00187D4A"/>
    <w:rsid w:val="00190AC1"/>
    <w:rsid w:val="00190E73"/>
    <w:rsid w:val="001910F1"/>
    <w:rsid w:val="00191A54"/>
    <w:rsid w:val="00191B9E"/>
    <w:rsid w:val="00191D0E"/>
    <w:rsid w:val="001921C2"/>
    <w:rsid w:val="00192907"/>
    <w:rsid w:val="001931BE"/>
    <w:rsid w:val="001931C1"/>
    <w:rsid w:val="0019341A"/>
    <w:rsid w:val="001938FF"/>
    <w:rsid w:val="001952AE"/>
    <w:rsid w:val="001953A8"/>
    <w:rsid w:val="00195E2A"/>
    <w:rsid w:val="00196705"/>
    <w:rsid w:val="00197424"/>
    <w:rsid w:val="0019781A"/>
    <w:rsid w:val="00197DA6"/>
    <w:rsid w:val="00197DF9"/>
    <w:rsid w:val="001A0063"/>
    <w:rsid w:val="001A0578"/>
    <w:rsid w:val="001A0F8C"/>
    <w:rsid w:val="001A105F"/>
    <w:rsid w:val="001A10BF"/>
    <w:rsid w:val="001A1987"/>
    <w:rsid w:val="001A2426"/>
    <w:rsid w:val="001A2564"/>
    <w:rsid w:val="001A2D01"/>
    <w:rsid w:val="001A313E"/>
    <w:rsid w:val="001A3243"/>
    <w:rsid w:val="001A366B"/>
    <w:rsid w:val="001A3EAB"/>
    <w:rsid w:val="001A4951"/>
    <w:rsid w:val="001A4DD0"/>
    <w:rsid w:val="001A4FF0"/>
    <w:rsid w:val="001A59FE"/>
    <w:rsid w:val="001A5E71"/>
    <w:rsid w:val="001A5FFF"/>
    <w:rsid w:val="001A6173"/>
    <w:rsid w:val="001A694B"/>
    <w:rsid w:val="001A6CBA"/>
    <w:rsid w:val="001A7BF4"/>
    <w:rsid w:val="001B01AD"/>
    <w:rsid w:val="001B0217"/>
    <w:rsid w:val="001B0C0C"/>
    <w:rsid w:val="001B0D97"/>
    <w:rsid w:val="001B0F88"/>
    <w:rsid w:val="001B10FB"/>
    <w:rsid w:val="001B2506"/>
    <w:rsid w:val="001B2608"/>
    <w:rsid w:val="001B276F"/>
    <w:rsid w:val="001B2831"/>
    <w:rsid w:val="001B3D39"/>
    <w:rsid w:val="001B4275"/>
    <w:rsid w:val="001B4A1C"/>
    <w:rsid w:val="001B5364"/>
    <w:rsid w:val="001B54F3"/>
    <w:rsid w:val="001B5A5D"/>
    <w:rsid w:val="001B6997"/>
    <w:rsid w:val="001B6D5B"/>
    <w:rsid w:val="001B70DB"/>
    <w:rsid w:val="001B76D7"/>
    <w:rsid w:val="001B7A17"/>
    <w:rsid w:val="001B7ECE"/>
    <w:rsid w:val="001C0B16"/>
    <w:rsid w:val="001C0ECD"/>
    <w:rsid w:val="001C19B7"/>
    <w:rsid w:val="001C1C52"/>
    <w:rsid w:val="001C1CE5"/>
    <w:rsid w:val="001C1EFE"/>
    <w:rsid w:val="001C20D9"/>
    <w:rsid w:val="001C222B"/>
    <w:rsid w:val="001C2619"/>
    <w:rsid w:val="001C3079"/>
    <w:rsid w:val="001C3090"/>
    <w:rsid w:val="001C3D2A"/>
    <w:rsid w:val="001C44EC"/>
    <w:rsid w:val="001C455A"/>
    <w:rsid w:val="001C45C4"/>
    <w:rsid w:val="001C4B49"/>
    <w:rsid w:val="001C5BCB"/>
    <w:rsid w:val="001C609A"/>
    <w:rsid w:val="001C61B9"/>
    <w:rsid w:val="001C6250"/>
    <w:rsid w:val="001C7107"/>
    <w:rsid w:val="001C71BB"/>
    <w:rsid w:val="001C75B4"/>
    <w:rsid w:val="001C7860"/>
    <w:rsid w:val="001C7897"/>
    <w:rsid w:val="001C7B54"/>
    <w:rsid w:val="001D056D"/>
    <w:rsid w:val="001D0760"/>
    <w:rsid w:val="001D0ADD"/>
    <w:rsid w:val="001D15A9"/>
    <w:rsid w:val="001D15CB"/>
    <w:rsid w:val="001D1BE2"/>
    <w:rsid w:val="001D227D"/>
    <w:rsid w:val="001D24C8"/>
    <w:rsid w:val="001D2B5F"/>
    <w:rsid w:val="001D2BD0"/>
    <w:rsid w:val="001D3342"/>
    <w:rsid w:val="001D3CFA"/>
    <w:rsid w:val="001D4430"/>
    <w:rsid w:val="001D51BA"/>
    <w:rsid w:val="001D53E7"/>
    <w:rsid w:val="001D596D"/>
    <w:rsid w:val="001D6342"/>
    <w:rsid w:val="001D6D53"/>
    <w:rsid w:val="001D6ED6"/>
    <w:rsid w:val="001D6F1C"/>
    <w:rsid w:val="001D7246"/>
    <w:rsid w:val="001D75CF"/>
    <w:rsid w:val="001E0AA0"/>
    <w:rsid w:val="001E0D07"/>
    <w:rsid w:val="001E0D4D"/>
    <w:rsid w:val="001E11B2"/>
    <w:rsid w:val="001E1909"/>
    <w:rsid w:val="001E1BD8"/>
    <w:rsid w:val="001E2C01"/>
    <w:rsid w:val="001E39A8"/>
    <w:rsid w:val="001E39D6"/>
    <w:rsid w:val="001E436E"/>
    <w:rsid w:val="001E4EB9"/>
    <w:rsid w:val="001E55A0"/>
    <w:rsid w:val="001E58E2"/>
    <w:rsid w:val="001E5F9A"/>
    <w:rsid w:val="001E727B"/>
    <w:rsid w:val="001E7703"/>
    <w:rsid w:val="001E7AED"/>
    <w:rsid w:val="001E7B13"/>
    <w:rsid w:val="001F036F"/>
    <w:rsid w:val="001F15E1"/>
    <w:rsid w:val="001F23D0"/>
    <w:rsid w:val="001F2AA6"/>
    <w:rsid w:val="001F2C16"/>
    <w:rsid w:val="001F3916"/>
    <w:rsid w:val="001F395E"/>
    <w:rsid w:val="001F3ECF"/>
    <w:rsid w:val="001F41C8"/>
    <w:rsid w:val="001F4763"/>
    <w:rsid w:val="001F4C2C"/>
    <w:rsid w:val="001F5288"/>
    <w:rsid w:val="001F5321"/>
    <w:rsid w:val="001F54C5"/>
    <w:rsid w:val="001F5698"/>
    <w:rsid w:val="001F5856"/>
    <w:rsid w:val="001F6108"/>
    <w:rsid w:val="001F62C8"/>
    <w:rsid w:val="001F662C"/>
    <w:rsid w:val="001F7074"/>
    <w:rsid w:val="001F7501"/>
    <w:rsid w:val="001F7D71"/>
    <w:rsid w:val="00200490"/>
    <w:rsid w:val="002006E8"/>
    <w:rsid w:val="002009FE"/>
    <w:rsid w:val="00200D70"/>
    <w:rsid w:val="00201F3A"/>
    <w:rsid w:val="00202EFC"/>
    <w:rsid w:val="00202F29"/>
    <w:rsid w:val="0020322B"/>
    <w:rsid w:val="002037D8"/>
    <w:rsid w:val="00203CD3"/>
    <w:rsid w:val="00203F96"/>
    <w:rsid w:val="00204546"/>
    <w:rsid w:val="0020457F"/>
    <w:rsid w:val="002045FA"/>
    <w:rsid w:val="0020485E"/>
    <w:rsid w:val="002054B1"/>
    <w:rsid w:val="00205543"/>
    <w:rsid w:val="00205634"/>
    <w:rsid w:val="002062D3"/>
    <w:rsid w:val="002063C2"/>
    <w:rsid w:val="002069B2"/>
    <w:rsid w:val="0020724C"/>
    <w:rsid w:val="002073F8"/>
    <w:rsid w:val="00207B36"/>
    <w:rsid w:val="00207C8E"/>
    <w:rsid w:val="00207FA3"/>
    <w:rsid w:val="00207FD7"/>
    <w:rsid w:val="0021040E"/>
    <w:rsid w:val="00210649"/>
    <w:rsid w:val="0021121F"/>
    <w:rsid w:val="00211230"/>
    <w:rsid w:val="00211BD0"/>
    <w:rsid w:val="002127AF"/>
    <w:rsid w:val="00212AA3"/>
    <w:rsid w:val="00212BB0"/>
    <w:rsid w:val="00212DB8"/>
    <w:rsid w:val="00213228"/>
    <w:rsid w:val="002137E3"/>
    <w:rsid w:val="002148E8"/>
    <w:rsid w:val="00214C4C"/>
    <w:rsid w:val="00214DA8"/>
    <w:rsid w:val="00215423"/>
    <w:rsid w:val="002158FA"/>
    <w:rsid w:val="00215E4C"/>
    <w:rsid w:val="00216868"/>
    <w:rsid w:val="00216C2E"/>
    <w:rsid w:val="002171DE"/>
    <w:rsid w:val="002175C8"/>
    <w:rsid w:val="00217E1B"/>
    <w:rsid w:val="00217EC5"/>
    <w:rsid w:val="002200E7"/>
    <w:rsid w:val="00220184"/>
    <w:rsid w:val="00220600"/>
    <w:rsid w:val="00221678"/>
    <w:rsid w:val="00221BDD"/>
    <w:rsid w:val="00221D68"/>
    <w:rsid w:val="00221F4B"/>
    <w:rsid w:val="00222204"/>
    <w:rsid w:val="002224DB"/>
    <w:rsid w:val="002228E4"/>
    <w:rsid w:val="002238C2"/>
    <w:rsid w:val="00223BEF"/>
    <w:rsid w:val="00223CD0"/>
    <w:rsid w:val="00223FCB"/>
    <w:rsid w:val="002249CE"/>
    <w:rsid w:val="00224C8A"/>
    <w:rsid w:val="00224D07"/>
    <w:rsid w:val="002252C3"/>
    <w:rsid w:val="0022543F"/>
    <w:rsid w:val="0022548F"/>
    <w:rsid w:val="00225C54"/>
    <w:rsid w:val="00225DBA"/>
    <w:rsid w:val="0022613A"/>
    <w:rsid w:val="002269F8"/>
    <w:rsid w:val="00227623"/>
    <w:rsid w:val="00227BC2"/>
    <w:rsid w:val="00230765"/>
    <w:rsid w:val="00230986"/>
    <w:rsid w:val="00230D18"/>
    <w:rsid w:val="002319E4"/>
    <w:rsid w:val="00231EE8"/>
    <w:rsid w:val="00232911"/>
    <w:rsid w:val="00232D5B"/>
    <w:rsid w:val="00232ECF"/>
    <w:rsid w:val="0023316D"/>
    <w:rsid w:val="00233530"/>
    <w:rsid w:val="00233A0B"/>
    <w:rsid w:val="002350F5"/>
    <w:rsid w:val="002354FA"/>
    <w:rsid w:val="002355FE"/>
    <w:rsid w:val="00235632"/>
    <w:rsid w:val="0023569D"/>
    <w:rsid w:val="00235872"/>
    <w:rsid w:val="00236130"/>
    <w:rsid w:val="002370EC"/>
    <w:rsid w:val="00237470"/>
    <w:rsid w:val="0023794C"/>
    <w:rsid w:val="0024058B"/>
    <w:rsid w:val="00240DFD"/>
    <w:rsid w:val="00241559"/>
    <w:rsid w:val="00241798"/>
    <w:rsid w:val="0024193B"/>
    <w:rsid w:val="00241B53"/>
    <w:rsid w:val="00241E50"/>
    <w:rsid w:val="00241FD2"/>
    <w:rsid w:val="00242225"/>
    <w:rsid w:val="00242EA5"/>
    <w:rsid w:val="002435B3"/>
    <w:rsid w:val="00243712"/>
    <w:rsid w:val="002444AD"/>
    <w:rsid w:val="002448AF"/>
    <w:rsid w:val="00244A0C"/>
    <w:rsid w:val="00244AD4"/>
    <w:rsid w:val="00245102"/>
    <w:rsid w:val="002458EB"/>
    <w:rsid w:val="00245946"/>
    <w:rsid w:val="00245A3C"/>
    <w:rsid w:val="00246759"/>
    <w:rsid w:val="00246D0C"/>
    <w:rsid w:val="00246DE1"/>
    <w:rsid w:val="00246E08"/>
    <w:rsid w:val="0024754B"/>
    <w:rsid w:val="00247563"/>
    <w:rsid w:val="00247FA9"/>
    <w:rsid w:val="002500C8"/>
    <w:rsid w:val="0025048C"/>
    <w:rsid w:val="00250683"/>
    <w:rsid w:val="0025078E"/>
    <w:rsid w:val="002509F8"/>
    <w:rsid w:val="00250BE3"/>
    <w:rsid w:val="0025102A"/>
    <w:rsid w:val="00251A92"/>
    <w:rsid w:val="00253241"/>
    <w:rsid w:val="002534E0"/>
    <w:rsid w:val="00253ADF"/>
    <w:rsid w:val="00253D56"/>
    <w:rsid w:val="00253EB4"/>
    <w:rsid w:val="002541F5"/>
    <w:rsid w:val="00254998"/>
    <w:rsid w:val="00254C1A"/>
    <w:rsid w:val="002550B9"/>
    <w:rsid w:val="0025529D"/>
    <w:rsid w:val="0025548B"/>
    <w:rsid w:val="00255738"/>
    <w:rsid w:val="0025603F"/>
    <w:rsid w:val="0025608F"/>
    <w:rsid w:val="00256245"/>
    <w:rsid w:val="002569A7"/>
    <w:rsid w:val="00256BF7"/>
    <w:rsid w:val="0025705C"/>
    <w:rsid w:val="00257381"/>
    <w:rsid w:val="00257543"/>
    <w:rsid w:val="002577FB"/>
    <w:rsid w:val="00257EFD"/>
    <w:rsid w:val="00260BDD"/>
    <w:rsid w:val="00260FAF"/>
    <w:rsid w:val="002617E7"/>
    <w:rsid w:val="0026191D"/>
    <w:rsid w:val="00262B33"/>
    <w:rsid w:val="00262D4F"/>
    <w:rsid w:val="0026307D"/>
    <w:rsid w:val="00263286"/>
    <w:rsid w:val="00263997"/>
    <w:rsid w:val="00263FEE"/>
    <w:rsid w:val="00264228"/>
    <w:rsid w:val="00264334"/>
    <w:rsid w:val="002645ED"/>
    <w:rsid w:val="00264631"/>
    <w:rsid w:val="00264672"/>
    <w:rsid w:val="0026473E"/>
    <w:rsid w:val="00264DA1"/>
    <w:rsid w:val="00264E80"/>
    <w:rsid w:val="00264EEB"/>
    <w:rsid w:val="00265260"/>
    <w:rsid w:val="002653EE"/>
    <w:rsid w:val="00265909"/>
    <w:rsid w:val="00266052"/>
    <w:rsid w:val="00266214"/>
    <w:rsid w:val="0026621E"/>
    <w:rsid w:val="00266DA1"/>
    <w:rsid w:val="00266F25"/>
    <w:rsid w:val="002673D6"/>
    <w:rsid w:val="00267C83"/>
    <w:rsid w:val="00270A8D"/>
    <w:rsid w:val="00270DCA"/>
    <w:rsid w:val="0027144F"/>
    <w:rsid w:val="0027157A"/>
    <w:rsid w:val="00271813"/>
    <w:rsid w:val="00271F3A"/>
    <w:rsid w:val="0027223E"/>
    <w:rsid w:val="00273278"/>
    <w:rsid w:val="002737F4"/>
    <w:rsid w:val="002739A0"/>
    <w:rsid w:val="002744C2"/>
    <w:rsid w:val="002746F7"/>
    <w:rsid w:val="00274BD4"/>
    <w:rsid w:val="0027564C"/>
    <w:rsid w:val="002756F4"/>
    <w:rsid w:val="00275781"/>
    <w:rsid w:val="002769D3"/>
    <w:rsid w:val="00276EA6"/>
    <w:rsid w:val="002770F9"/>
    <w:rsid w:val="00277BB0"/>
    <w:rsid w:val="00277C2B"/>
    <w:rsid w:val="00277CFB"/>
    <w:rsid w:val="002805F5"/>
    <w:rsid w:val="00280751"/>
    <w:rsid w:val="00280C37"/>
    <w:rsid w:val="0028135B"/>
    <w:rsid w:val="0028280A"/>
    <w:rsid w:val="002835B1"/>
    <w:rsid w:val="0028379D"/>
    <w:rsid w:val="00283A25"/>
    <w:rsid w:val="002841E2"/>
    <w:rsid w:val="002848AD"/>
    <w:rsid w:val="002852F3"/>
    <w:rsid w:val="002853F4"/>
    <w:rsid w:val="002854F2"/>
    <w:rsid w:val="00286ACD"/>
    <w:rsid w:val="002873DC"/>
    <w:rsid w:val="00287838"/>
    <w:rsid w:val="002878A1"/>
    <w:rsid w:val="00287B3E"/>
    <w:rsid w:val="002907B5"/>
    <w:rsid w:val="0029101B"/>
    <w:rsid w:val="002911B9"/>
    <w:rsid w:val="002913A0"/>
    <w:rsid w:val="0029229D"/>
    <w:rsid w:val="00292CF1"/>
    <w:rsid w:val="00292EB7"/>
    <w:rsid w:val="0029306E"/>
    <w:rsid w:val="00293528"/>
    <w:rsid w:val="00293566"/>
    <w:rsid w:val="00293AFD"/>
    <w:rsid w:val="00293F4B"/>
    <w:rsid w:val="00294057"/>
    <w:rsid w:val="00294162"/>
    <w:rsid w:val="0029467C"/>
    <w:rsid w:val="00294CE3"/>
    <w:rsid w:val="00294E91"/>
    <w:rsid w:val="00295264"/>
    <w:rsid w:val="00295686"/>
    <w:rsid w:val="00295EA0"/>
    <w:rsid w:val="00296227"/>
    <w:rsid w:val="002962F0"/>
    <w:rsid w:val="00296CFD"/>
    <w:rsid w:val="00296F44"/>
    <w:rsid w:val="00296F81"/>
    <w:rsid w:val="00297207"/>
    <w:rsid w:val="0029777D"/>
    <w:rsid w:val="002979F2"/>
    <w:rsid w:val="00297C97"/>
    <w:rsid w:val="00297D76"/>
    <w:rsid w:val="002A019A"/>
    <w:rsid w:val="002A02A5"/>
    <w:rsid w:val="002A055E"/>
    <w:rsid w:val="002A0AB9"/>
    <w:rsid w:val="002A0FD6"/>
    <w:rsid w:val="002A12E5"/>
    <w:rsid w:val="002A1452"/>
    <w:rsid w:val="002A19C6"/>
    <w:rsid w:val="002A1CB3"/>
    <w:rsid w:val="002A1D4E"/>
    <w:rsid w:val="002A2869"/>
    <w:rsid w:val="002A332D"/>
    <w:rsid w:val="002A370B"/>
    <w:rsid w:val="002A376D"/>
    <w:rsid w:val="002A3785"/>
    <w:rsid w:val="002A3BD3"/>
    <w:rsid w:val="002A3CAB"/>
    <w:rsid w:val="002A45D6"/>
    <w:rsid w:val="002A489F"/>
    <w:rsid w:val="002A4A96"/>
    <w:rsid w:val="002A4F68"/>
    <w:rsid w:val="002A519C"/>
    <w:rsid w:val="002A5230"/>
    <w:rsid w:val="002A567C"/>
    <w:rsid w:val="002A5A74"/>
    <w:rsid w:val="002A5A8F"/>
    <w:rsid w:val="002A5AB2"/>
    <w:rsid w:val="002A6126"/>
    <w:rsid w:val="002A68DA"/>
    <w:rsid w:val="002A6D45"/>
    <w:rsid w:val="002A7069"/>
    <w:rsid w:val="002A76BC"/>
    <w:rsid w:val="002A7A73"/>
    <w:rsid w:val="002A7CFF"/>
    <w:rsid w:val="002A7F3E"/>
    <w:rsid w:val="002B01D9"/>
    <w:rsid w:val="002B03F5"/>
    <w:rsid w:val="002B0DEE"/>
    <w:rsid w:val="002B1001"/>
    <w:rsid w:val="002B103C"/>
    <w:rsid w:val="002B1150"/>
    <w:rsid w:val="002B129E"/>
    <w:rsid w:val="002B17BC"/>
    <w:rsid w:val="002B1BF2"/>
    <w:rsid w:val="002B1D2A"/>
    <w:rsid w:val="002B2175"/>
    <w:rsid w:val="002B24D6"/>
    <w:rsid w:val="002B3C3D"/>
    <w:rsid w:val="002B4523"/>
    <w:rsid w:val="002B4C86"/>
    <w:rsid w:val="002B5DA5"/>
    <w:rsid w:val="002B5E2A"/>
    <w:rsid w:val="002B64AA"/>
    <w:rsid w:val="002B6B1D"/>
    <w:rsid w:val="002B6E2A"/>
    <w:rsid w:val="002B747E"/>
    <w:rsid w:val="002B7C0D"/>
    <w:rsid w:val="002B7C12"/>
    <w:rsid w:val="002C0463"/>
    <w:rsid w:val="002C0EA8"/>
    <w:rsid w:val="002C12C3"/>
    <w:rsid w:val="002C165B"/>
    <w:rsid w:val="002C1768"/>
    <w:rsid w:val="002C1890"/>
    <w:rsid w:val="002C29B6"/>
    <w:rsid w:val="002C2B26"/>
    <w:rsid w:val="002C35F8"/>
    <w:rsid w:val="002C3794"/>
    <w:rsid w:val="002C41E6"/>
    <w:rsid w:val="002C4B82"/>
    <w:rsid w:val="002C4D39"/>
    <w:rsid w:val="002C4E3D"/>
    <w:rsid w:val="002C4FFD"/>
    <w:rsid w:val="002C689D"/>
    <w:rsid w:val="002C6AEE"/>
    <w:rsid w:val="002C6D36"/>
    <w:rsid w:val="002C7352"/>
    <w:rsid w:val="002C782D"/>
    <w:rsid w:val="002D0010"/>
    <w:rsid w:val="002D003F"/>
    <w:rsid w:val="002D071A"/>
    <w:rsid w:val="002D09F6"/>
    <w:rsid w:val="002D0A62"/>
    <w:rsid w:val="002D0BF4"/>
    <w:rsid w:val="002D0E30"/>
    <w:rsid w:val="002D0FB2"/>
    <w:rsid w:val="002D1040"/>
    <w:rsid w:val="002D16C0"/>
    <w:rsid w:val="002D2176"/>
    <w:rsid w:val="002D26AA"/>
    <w:rsid w:val="002D2BD8"/>
    <w:rsid w:val="002D2E65"/>
    <w:rsid w:val="002D34B2"/>
    <w:rsid w:val="002D36A3"/>
    <w:rsid w:val="002D4734"/>
    <w:rsid w:val="002D48B0"/>
    <w:rsid w:val="002D4D2C"/>
    <w:rsid w:val="002D50F1"/>
    <w:rsid w:val="002D5B37"/>
    <w:rsid w:val="002D5DA7"/>
    <w:rsid w:val="002D6337"/>
    <w:rsid w:val="002D6654"/>
    <w:rsid w:val="002D6C4A"/>
    <w:rsid w:val="002D735E"/>
    <w:rsid w:val="002D73FF"/>
    <w:rsid w:val="002D7453"/>
    <w:rsid w:val="002D7637"/>
    <w:rsid w:val="002E05FE"/>
    <w:rsid w:val="002E07EB"/>
    <w:rsid w:val="002E0898"/>
    <w:rsid w:val="002E0A43"/>
    <w:rsid w:val="002E12DE"/>
    <w:rsid w:val="002E1731"/>
    <w:rsid w:val="002E17F2"/>
    <w:rsid w:val="002E193C"/>
    <w:rsid w:val="002E1ACE"/>
    <w:rsid w:val="002E1C12"/>
    <w:rsid w:val="002E1F75"/>
    <w:rsid w:val="002E2CC7"/>
    <w:rsid w:val="002E30E6"/>
    <w:rsid w:val="002E3199"/>
    <w:rsid w:val="002E344A"/>
    <w:rsid w:val="002E37F4"/>
    <w:rsid w:val="002E4DDD"/>
    <w:rsid w:val="002E4DE5"/>
    <w:rsid w:val="002E5168"/>
    <w:rsid w:val="002E5443"/>
    <w:rsid w:val="002E5512"/>
    <w:rsid w:val="002E6052"/>
    <w:rsid w:val="002E7135"/>
    <w:rsid w:val="002E7559"/>
    <w:rsid w:val="002E777C"/>
    <w:rsid w:val="002E7BC5"/>
    <w:rsid w:val="002E7CAE"/>
    <w:rsid w:val="002F01CC"/>
    <w:rsid w:val="002F0350"/>
    <w:rsid w:val="002F06E7"/>
    <w:rsid w:val="002F0E23"/>
    <w:rsid w:val="002F13D6"/>
    <w:rsid w:val="002F1A96"/>
    <w:rsid w:val="002F2771"/>
    <w:rsid w:val="002F2B1E"/>
    <w:rsid w:val="002F31B9"/>
    <w:rsid w:val="002F37A9"/>
    <w:rsid w:val="002F3886"/>
    <w:rsid w:val="002F38D6"/>
    <w:rsid w:val="002F3C18"/>
    <w:rsid w:val="002F3F47"/>
    <w:rsid w:val="002F453C"/>
    <w:rsid w:val="002F4626"/>
    <w:rsid w:val="002F468C"/>
    <w:rsid w:val="002F473F"/>
    <w:rsid w:val="002F47CF"/>
    <w:rsid w:val="002F4ADD"/>
    <w:rsid w:val="002F5CE6"/>
    <w:rsid w:val="002F5FA2"/>
    <w:rsid w:val="002F64AE"/>
    <w:rsid w:val="002F7CCB"/>
    <w:rsid w:val="002F7DCD"/>
    <w:rsid w:val="00300077"/>
    <w:rsid w:val="00300AEA"/>
    <w:rsid w:val="00300CCE"/>
    <w:rsid w:val="0030134F"/>
    <w:rsid w:val="00301C18"/>
    <w:rsid w:val="00301CE6"/>
    <w:rsid w:val="00301D5F"/>
    <w:rsid w:val="0030256B"/>
    <w:rsid w:val="00302976"/>
    <w:rsid w:val="00303B17"/>
    <w:rsid w:val="00303D22"/>
    <w:rsid w:val="00303DD1"/>
    <w:rsid w:val="003048EB"/>
    <w:rsid w:val="00304E13"/>
    <w:rsid w:val="00304F17"/>
    <w:rsid w:val="0030501F"/>
    <w:rsid w:val="00305518"/>
    <w:rsid w:val="00305632"/>
    <w:rsid w:val="003056D2"/>
    <w:rsid w:val="003057B0"/>
    <w:rsid w:val="00306286"/>
    <w:rsid w:val="00306B43"/>
    <w:rsid w:val="00306E4D"/>
    <w:rsid w:val="00307487"/>
    <w:rsid w:val="003074E6"/>
    <w:rsid w:val="00307A2F"/>
    <w:rsid w:val="00307BA1"/>
    <w:rsid w:val="00307FE0"/>
    <w:rsid w:val="00310C60"/>
    <w:rsid w:val="003112BB"/>
    <w:rsid w:val="003115FC"/>
    <w:rsid w:val="00311702"/>
    <w:rsid w:val="00311BF8"/>
    <w:rsid w:val="00311C76"/>
    <w:rsid w:val="00311C91"/>
    <w:rsid w:val="00311E82"/>
    <w:rsid w:val="003121C4"/>
    <w:rsid w:val="003122F8"/>
    <w:rsid w:val="003126AC"/>
    <w:rsid w:val="003129C1"/>
    <w:rsid w:val="00312A43"/>
    <w:rsid w:val="00312C90"/>
    <w:rsid w:val="00313071"/>
    <w:rsid w:val="003130A0"/>
    <w:rsid w:val="00313BB7"/>
    <w:rsid w:val="00313CBB"/>
    <w:rsid w:val="00313FD6"/>
    <w:rsid w:val="003142C4"/>
    <w:rsid w:val="003143BD"/>
    <w:rsid w:val="00314A33"/>
    <w:rsid w:val="00314CEB"/>
    <w:rsid w:val="00315363"/>
    <w:rsid w:val="003155A2"/>
    <w:rsid w:val="00315AE0"/>
    <w:rsid w:val="00315E63"/>
    <w:rsid w:val="00316102"/>
    <w:rsid w:val="003162A1"/>
    <w:rsid w:val="003165C7"/>
    <w:rsid w:val="0031666C"/>
    <w:rsid w:val="00316984"/>
    <w:rsid w:val="00316A6C"/>
    <w:rsid w:val="00316C2F"/>
    <w:rsid w:val="003170BC"/>
    <w:rsid w:val="003171AE"/>
    <w:rsid w:val="00317708"/>
    <w:rsid w:val="003178B6"/>
    <w:rsid w:val="00317933"/>
    <w:rsid w:val="00317EFB"/>
    <w:rsid w:val="00317F84"/>
    <w:rsid w:val="003203ED"/>
    <w:rsid w:val="00320688"/>
    <w:rsid w:val="00320EF2"/>
    <w:rsid w:val="00321814"/>
    <w:rsid w:val="003219D2"/>
    <w:rsid w:val="0032237E"/>
    <w:rsid w:val="003227A7"/>
    <w:rsid w:val="00322837"/>
    <w:rsid w:val="00322B02"/>
    <w:rsid w:val="00322C9F"/>
    <w:rsid w:val="00322DEA"/>
    <w:rsid w:val="00322F56"/>
    <w:rsid w:val="003237E2"/>
    <w:rsid w:val="00323CD7"/>
    <w:rsid w:val="0032492C"/>
    <w:rsid w:val="00324D23"/>
    <w:rsid w:val="00324D83"/>
    <w:rsid w:val="00325784"/>
    <w:rsid w:val="00326303"/>
    <w:rsid w:val="00326662"/>
    <w:rsid w:val="003266D1"/>
    <w:rsid w:val="00326BB7"/>
    <w:rsid w:val="00327095"/>
    <w:rsid w:val="003274A0"/>
    <w:rsid w:val="00327B67"/>
    <w:rsid w:val="00327D4D"/>
    <w:rsid w:val="003301C1"/>
    <w:rsid w:val="00330481"/>
    <w:rsid w:val="003307EE"/>
    <w:rsid w:val="00331751"/>
    <w:rsid w:val="00331AF9"/>
    <w:rsid w:val="00331B8F"/>
    <w:rsid w:val="00331D28"/>
    <w:rsid w:val="00332362"/>
    <w:rsid w:val="003327E5"/>
    <w:rsid w:val="00332EBC"/>
    <w:rsid w:val="00332F14"/>
    <w:rsid w:val="00333168"/>
    <w:rsid w:val="00333DEF"/>
    <w:rsid w:val="00333F25"/>
    <w:rsid w:val="00334579"/>
    <w:rsid w:val="00334610"/>
    <w:rsid w:val="00334D69"/>
    <w:rsid w:val="00335144"/>
    <w:rsid w:val="00335858"/>
    <w:rsid w:val="00335979"/>
    <w:rsid w:val="00335BEC"/>
    <w:rsid w:val="00335ED2"/>
    <w:rsid w:val="00336BDA"/>
    <w:rsid w:val="00337272"/>
    <w:rsid w:val="00337520"/>
    <w:rsid w:val="00337FD6"/>
    <w:rsid w:val="00340547"/>
    <w:rsid w:val="00340DAA"/>
    <w:rsid w:val="00341022"/>
    <w:rsid w:val="00342BD7"/>
    <w:rsid w:val="00343469"/>
    <w:rsid w:val="00344EAC"/>
    <w:rsid w:val="003455E9"/>
    <w:rsid w:val="0034578E"/>
    <w:rsid w:val="00345F5E"/>
    <w:rsid w:val="0034689C"/>
    <w:rsid w:val="00346B69"/>
    <w:rsid w:val="00346DB5"/>
    <w:rsid w:val="003477B1"/>
    <w:rsid w:val="00347A8D"/>
    <w:rsid w:val="00347C9E"/>
    <w:rsid w:val="0035003B"/>
    <w:rsid w:val="00350E5F"/>
    <w:rsid w:val="003519C8"/>
    <w:rsid w:val="00351BB8"/>
    <w:rsid w:val="00352068"/>
    <w:rsid w:val="003525A7"/>
    <w:rsid w:val="00352845"/>
    <w:rsid w:val="003533D6"/>
    <w:rsid w:val="0035379A"/>
    <w:rsid w:val="00353D34"/>
    <w:rsid w:val="00353E00"/>
    <w:rsid w:val="0035426A"/>
    <w:rsid w:val="003555E7"/>
    <w:rsid w:val="00355F4C"/>
    <w:rsid w:val="00356C6D"/>
    <w:rsid w:val="00357380"/>
    <w:rsid w:val="00357BB7"/>
    <w:rsid w:val="00357C09"/>
    <w:rsid w:val="003602D9"/>
    <w:rsid w:val="003604CE"/>
    <w:rsid w:val="00360686"/>
    <w:rsid w:val="00360789"/>
    <w:rsid w:val="00361378"/>
    <w:rsid w:val="00361701"/>
    <w:rsid w:val="0036209C"/>
    <w:rsid w:val="00362395"/>
    <w:rsid w:val="00362B30"/>
    <w:rsid w:val="00362CE7"/>
    <w:rsid w:val="00362D34"/>
    <w:rsid w:val="00362FB9"/>
    <w:rsid w:val="00363482"/>
    <w:rsid w:val="003636FB"/>
    <w:rsid w:val="00363829"/>
    <w:rsid w:val="0036382D"/>
    <w:rsid w:val="003643D5"/>
    <w:rsid w:val="003645D8"/>
    <w:rsid w:val="0036466A"/>
    <w:rsid w:val="003652E7"/>
    <w:rsid w:val="003656E0"/>
    <w:rsid w:val="0036606B"/>
    <w:rsid w:val="003660EC"/>
    <w:rsid w:val="00366C63"/>
    <w:rsid w:val="00367898"/>
    <w:rsid w:val="00367A90"/>
    <w:rsid w:val="00370E47"/>
    <w:rsid w:val="00371588"/>
    <w:rsid w:val="003715AF"/>
    <w:rsid w:val="00371665"/>
    <w:rsid w:val="003716F8"/>
    <w:rsid w:val="00371899"/>
    <w:rsid w:val="00371944"/>
    <w:rsid w:val="003719A1"/>
    <w:rsid w:val="00372DA8"/>
    <w:rsid w:val="00373008"/>
    <w:rsid w:val="00373697"/>
    <w:rsid w:val="003739E0"/>
    <w:rsid w:val="00373BA1"/>
    <w:rsid w:val="00373C05"/>
    <w:rsid w:val="0037423B"/>
    <w:rsid w:val="003742AC"/>
    <w:rsid w:val="003757A0"/>
    <w:rsid w:val="00375856"/>
    <w:rsid w:val="00375B6A"/>
    <w:rsid w:val="0037607A"/>
    <w:rsid w:val="00376D38"/>
    <w:rsid w:val="00376F7C"/>
    <w:rsid w:val="00377CE1"/>
    <w:rsid w:val="00377F18"/>
    <w:rsid w:val="00380A35"/>
    <w:rsid w:val="00381703"/>
    <w:rsid w:val="00381A54"/>
    <w:rsid w:val="00382574"/>
    <w:rsid w:val="00382784"/>
    <w:rsid w:val="003837BA"/>
    <w:rsid w:val="00383824"/>
    <w:rsid w:val="00384331"/>
    <w:rsid w:val="0038508D"/>
    <w:rsid w:val="00385BF0"/>
    <w:rsid w:val="00385F1C"/>
    <w:rsid w:val="00386BD7"/>
    <w:rsid w:val="003872AD"/>
    <w:rsid w:val="00387562"/>
    <w:rsid w:val="00387E44"/>
    <w:rsid w:val="003901DB"/>
    <w:rsid w:val="00390467"/>
    <w:rsid w:val="00390782"/>
    <w:rsid w:val="00390F05"/>
    <w:rsid w:val="003910E3"/>
    <w:rsid w:val="00391315"/>
    <w:rsid w:val="0039143E"/>
    <w:rsid w:val="00391930"/>
    <w:rsid w:val="00391A2E"/>
    <w:rsid w:val="00391AD7"/>
    <w:rsid w:val="003922AA"/>
    <w:rsid w:val="00392889"/>
    <w:rsid w:val="0039318F"/>
    <w:rsid w:val="003939FF"/>
    <w:rsid w:val="00393EBE"/>
    <w:rsid w:val="00394556"/>
    <w:rsid w:val="0039473E"/>
    <w:rsid w:val="00394BCB"/>
    <w:rsid w:val="00394FE6"/>
    <w:rsid w:val="003950D1"/>
    <w:rsid w:val="00395181"/>
    <w:rsid w:val="00395526"/>
    <w:rsid w:val="0039619C"/>
    <w:rsid w:val="00397D2C"/>
    <w:rsid w:val="003A01B4"/>
    <w:rsid w:val="003A0242"/>
    <w:rsid w:val="003A08C0"/>
    <w:rsid w:val="003A0A4A"/>
    <w:rsid w:val="003A0F81"/>
    <w:rsid w:val="003A1126"/>
    <w:rsid w:val="003A12C6"/>
    <w:rsid w:val="003A17BC"/>
    <w:rsid w:val="003A2223"/>
    <w:rsid w:val="003A22AF"/>
    <w:rsid w:val="003A2A0F"/>
    <w:rsid w:val="003A3F79"/>
    <w:rsid w:val="003A4074"/>
    <w:rsid w:val="003A45A1"/>
    <w:rsid w:val="003A463B"/>
    <w:rsid w:val="003A4BD2"/>
    <w:rsid w:val="003A5211"/>
    <w:rsid w:val="003A5341"/>
    <w:rsid w:val="003A57B8"/>
    <w:rsid w:val="003A5B0A"/>
    <w:rsid w:val="003A6643"/>
    <w:rsid w:val="003A6BAC"/>
    <w:rsid w:val="003A70A4"/>
    <w:rsid w:val="003A73D7"/>
    <w:rsid w:val="003A77B9"/>
    <w:rsid w:val="003A79C5"/>
    <w:rsid w:val="003A7A1C"/>
    <w:rsid w:val="003A7A70"/>
    <w:rsid w:val="003A7BD6"/>
    <w:rsid w:val="003A7D60"/>
    <w:rsid w:val="003A7EF3"/>
    <w:rsid w:val="003B0146"/>
    <w:rsid w:val="003B06ED"/>
    <w:rsid w:val="003B087D"/>
    <w:rsid w:val="003B0DDC"/>
    <w:rsid w:val="003B159C"/>
    <w:rsid w:val="003B1898"/>
    <w:rsid w:val="003B1A61"/>
    <w:rsid w:val="003B2113"/>
    <w:rsid w:val="003B369F"/>
    <w:rsid w:val="003B36A3"/>
    <w:rsid w:val="003B3ECB"/>
    <w:rsid w:val="003B4E3C"/>
    <w:rsid w:val="003B4EB2"/>
    <w:rsid w:val="003B4F1E"/>
    <w:rsid w:val="003B50DF"/>
    <w:rsid w:val="003B520E"/>
    <w:rsid w:val="003B53B6"/>
    <w:rsid w:val="003B540E"/>
    <w:rsid w:val="003B55B0"/>
    <w:rsid w:val="003B5806"/>
    <w:rsid w:val="003B5D4D"/>
    <w:rsid w:val="003B5E6A"/>
    <w:rsid w:val="003B64BB"/>
    <w:rsid w:val="003B6C8A"/>
    <w:rsid w:val="003B7409"/>
    <w:rsid w:val="003B74A3"/>
    <w:rsid w:val="003B7AC5"/>
    <w:rsid w:val="003B7EAD"/>
    <w:rsid w:val="003B7FE5"/>
    <w:rsid w:val="003C11C8"/>
    <w:rsid w:val="003C1BA9"/>
    <w:rsid w:val="003C1DB2"/>
    <w:rsid w:val="003C23EA"/>
    <w:rsid w:val="003C2702"/>
    <w:rsid w:val="003C2AD4"/>
    <w:rsid w:val="003C2B8A"/>
    <w:rsid w:val="003C2C01"/>
    <w:rsid w:val="003C2D1E"/>
    <w:rsid w:val="003C2FF5"/>
    <w:rsid w:val="003C334F"/>
    <w:rsid w:val="003C3431"/>
    <w:rsid w:val="003C3D75"/>
    <w:rsid w:val="003C4092"/>
    <w:rsid w:val="003C4612"/>
    <w:rsid w:val="003C4A06"/>
    <w:rsid w:val="003C65F3"/>
    <w:rsid w:val="003C68D5"/>
    <w:rsid w:val="003C6902"/>
    <w:rsid w:val="003C6AC4"/>
    <w:rsid w:val="003C6ACE"/>
    <w:rsid w:val="003C7594"/>
    <w:rsid w:val="003C75DA"/>
    <w:rsid w:val="003C7618"/>
    <w:rsid w:val="003C7806"/>
    <w:rsid w:val="003D05E8"/>
    <w:rsid w:val="003D109F"/>
    <w:rsid w:val="003D1528"/>
    <w:rsid w:val="003D2478"/>
    <w:rsid w:val="003D25B4"/>
    <w:rsid w:val="003D26D2"/>
    <w:rsid w:val="003D28BA"/>
    <w:rsid w:val="003D28F8"/>
    <w:rsid w:val="003D29CD"/>
    <w:rsid w:val="003D3111"/>
    <w:rsid w:val="003D3804"/>
    <w:rsid w:val="003D386D"/>
    <w:rsid w:val="003D3C45"/>
    <w:rsid w:val="003D59FF"/>
    <w:rsid w:val="003D5ADC"/>
    <w:rsid w:val="003D5B1F"/>
    <w:rsid w:val="003D5C41"/>
    <w:rsid w:val="003D5F37"/>
    <w:rsid w:val="003D68A5"/>
    <w:rsid w:val="003D691D"/>
    <w:rsid w:val="003D6E8E"/>
    <w:rsid w:val="003D7651"/>
    <w:rsid w:val="003D78C1"/>
    <w:rsid w:val="003D7B9D"/>
    <w:rsid w:val="003D7F69"/>
    <w:rsid w:val="003E07A7"/>
    <w:rsid w:val="003E1283"/>
    <w:rsid w:val="003E1498"/>
    <w:rsid w:val="003E15AE"/>
    <w:rsid w:val="003E15FA"/>
    <w:rsid w:val="003E1A47"/>
    <w:rsid w:val="003E230A"/>
    <w:rsid w:val="003E2335"/>
    <w:rsid w:val="003E23F2"/>
    <w:rsid w:val="003E2938"/>
    <w:rsid w:val="003E3048"/>
    <w:rsid w:val="003E312F"/>
    <w:rsid w:val="003E31E8"/>
    <w:rsid w:val="003E37FE"/>
    <w:rsid w:val="003E48A3"/>
    <w:rsid w:val="003E5352"/>
    <w:rsid w:val="003E55E4"/>
    <w:rsid w:val="003E60A4"/>
    <w:rsid w:val="003E6475"/>
    <w:rsid w:val="003E7135"/>
    <w:rsid w:val="003E7339"/>
    <w:rsid w:val="003E74E3"/>
    <w:rsid w:val="003E7625"/>
    <w:rsid w:val="003E78B0"/>
    <w:rsid w:val="003E7B20"/>
    <w:rsid w:val="003F0395"/>
    <w:rsid w:val="003F05C7"/>
    <w:rsid w:val="003F07F2"/>
    <w:rsid w:val="003F08A9"/>
    <w:rsid w:val="003F0C54"/>
    <w:rsid w:val="003F0D5C"/>
    <w:rsid w:val="003F0E1D"/>
    <w:rsid w:val="003F146F"/>
    <w:rsid w:val="003F19BA"/>
    <w:rsid w:val="003F1B22"/>
    <w:rsid w:val="003F1CFE"/>
    <w:rsid w:val="003F2C22"/>
    <w:rsid w:val="003F2C7B"/>
    <w:rsid w:val="003F2CD4"/>
    <w:rsid w:val="003F2DF5"/>
    <w:rsid w:val="003F2E87"/>
    <w:rsid w:val="003F34FC"/>
    <w:rsid w:val="003F3CA5"/>
    <w:rsid w:val="003F410D"/>
    <w:rsid w:val="003F4313"/>
    <w:rsid w:val="003F5250"/>
    <w:rsid w:val="003F5B0A"/>
    <w:rsid w:val="003F6030"/>
    <w:rsid w:val="003F650B"/>
    <w:rsid w:val="003F6670"/>
    <w:rsid w:val="003F6BBE"/>
    <w:rsid w:val="003F797E"/>
    <w:rsid w:val="003F7A24"/>
    <w:rsid w:val="004000B7"/>
    <w:rsid w:val="004000E8"/>
    <w:rsid w:val="004000EE"/>
    <w:rsid w:val="00400597"/>
    <w:rsid w:val="0040091A"/>
    <w:rsid w:val="00400B46"/>
    <w:rsid w:val="00400E3B"/>
    <w:rsid w:val="0040125E"/>
    <w:rsid w:val="00401718"/>
    <w:rsid w:val="00401DE4"/>
    <w:rsid w:val="00401F32"/>
    <w:rsid w:val="004020D5"/>
    <w:rsid w:val="00402171"/>
    <w:rsid w:val="00402A8C"/>
    <w:rsid w:val="00402E2B"/>
    <w:rsid w:val="00403567"/>
    <w:rsid w:val="00403972"/>
    <w:rsid w:val="00403AA3"/>
    <w:rsid w:val="004041B3"/>
    <w:rsid w:val="004042E9"/>
    <w:rsid w:val="004044D3"/>
    <w:rsid w:val="004046E6"/>
    <w:rsid w:val="00404729"/>
    <w:rsid w:val="00404E48"/>
    <w:rsid w:val="0040512B"/>
    <w:rsid w:val="0040532C"/>
    <w:rsid w:val="004058C4"/>
    <w:rsid w:val="00405CA5"/>
    <w:rsid w:val="004072D8"/>
    <w:rsid w:val="00407313"/>
    <w:rsid w:val="00407CD3"/>
    <w:rsid w:val="00410134"/>
    <w:rsid w:val="004103BF"/>
    <w:rsid w:val="00410526"/>
    <w:rsid w:val="00410B72"/>
    <w:rsid w:val="00410F18"/>
    <w:rsid w:val="00411202"/>
    <w:rsid w:val="00411E1A"/>
    <w:rsid w:val="00411F1D"/>
    <w:rsid w:val="0041263E"/>
    <w:rsid w:val="004126F7"/>
    <w:rsid w:val="004127BC"/>
    <w:rsid w:val="00412FCB"/>
    <w:rsid w:val="00413182"/>
    <w:rsid w:val="004135C2"/>
    <w:rsid w:val="00413AAC"/>
    <w:rsid w:val="00413E92"/>
    <w:rsid w:val="00414024"/>
    <w:rsid w:val="00414B38"/>
    <w:rsid w:val="00415B91"/>
    <w:rsid w:val="00415C12"/>
    <w:rsid w:val="004161FA"/>
    <w:rsid w:val="004173C1"/>
    <w:rsid w:val="00421105"/>
    <w:rsid w:val="00421ED2"/>
    <w:rsid w:val="0042249A"/>
    <w:rsid w:val="00422A6E"/>
    <w:rsid w:val="00422AA4"/>
    <w:rsid w:val="0042380D"/>
    <w:rsid w:val="00423BDD"/>
    <w:rsid w:val="00424297"/>
    <w:rsid w:val="004242F4"/>
    <w:rsid w:val="00424DAC"/>
    <w:rsid w:val="00425034"/>
    <w:rsid w:val="0042579F"/>
    <w:rsid w:val="00425FD9"/>
    <w:rsid w:val="00426122"/>
    <w:rsid w:val="00426717"/>
    <w:rsid w:val="00426A90"/>
    <w:rsid w:val="00427248"/>
    <w:rsid w:val="00427A6D"/>
    <w:rsid w:val="00427B30"/>
    <w:rsid w:val="004300FF"/>
    <w:rsid w:val="0043043F"/>
    <w:rsid w:val="00430522"/>
    <w:rsid w:val="004306CA"/>
    <w:rsid w:val="004311D2"/>
    <w:rsid w:val="004313B7"/>
    <w:rsid w:val="00431611"/>
    <w:rsid w:val="00431944"/>
    <w:rsid w:val="00431F73"/>
    <w:rsid w:val="00432555"/>
    <w:rsid w:val="00433544"/>
    <w:rsid w:val="00433C2E"/>
    <w:rsid w:val="00433C46"/>
    <w:rsid w:val="00434B93"/>
    <w:rsid w:val="00434F41"/>
    <w:rsid w:val="00435CE6"/>
    <w:rsid w:val="00436596"/>
    <w:rsid w:val="00436600"/>
    <w:rsid w:val="00436D80"/>
    <w:rsid w:val="00437447"/>
    <w:rsid w:val="00437DD5"/>
    <w:rsid w:val="00440761"/>
    <w:rsid w:val="00440A0A"/>
    <w:rsid w:val="00441369"/>
    <w:rsid w:val="00441A92"/>
    <w:rsid w:val="00441B96"/>
    <w:rsid w:val="00441EB7"/>
    <w:rsid w:val="00442631"/>
    <w:rsid w:val="004431DC"/>
    <w:rsid w:val="00443557"/>
    <w:rsid w:val="00444071"/>
    <w:rsid w:val="00444251"/>
    <w:rsid w:val="00444664"/>
    <w:rsid w:val="00444E0A"/>
    <w:rsid w:val="00444F56"/>
    <w:rsid w:val="00445423"/>
    <w:rsid w:val="00445811"/>
    <w:rsid w:val="00445CD7"/>
    <w:rsid w:val="00445FB3"/>
    <w:rsid w:val="0044601D"/>
    <w:rsid w:val="00446488"/>
    <w:rsid w:val="00446D4C"/>
    <w:rsid w:val="004474A8"/>
    <w:rsid w:val="00450199"/>
    <w:rsid w:val="00450516"/>
    <w:rsid w:val="004506AB"/>
    <w:rsid w:val="004508BC"/>
    <w:rsid w:val="004517AA"/>
    <w:rsid w:val="0045187D"/>
    <w:rsid w:val="00451967"/>
    <w:rsid w:val="004525EA"/>
    <w:rsid w:val="00452B01"/>
    <w:rsid w:val="00452CAC"/>
    <w:rsid w:val="0045411A"/>
    <w:rsid w:val="00455061"/>
    <w:rsid w:val="004552A2"/>
    <w:rsid w:val="0045543A"/>
    <w:rsid w:val="004558F8"/>
    <w:rsid w:val="00455B65"/>
    <w:rsid w:val="00455E4A"/>
    <w:rsid w:val="00456067"/>
    <w:rsid w:val="00456456"/>
    <w:rsid w:val="004565DE"/>
    <w:rsid w:val="0045694A"/>
    <w:rsid w:val="0045699F"/>
    <w:rsid w:val="00456D6C"/>
    <w:rsid w:val="004574C8"/>
    <w:rsid w:val="00457565"/>
    <w:rsid w:val="00457B71"/>
    <w:rsid w:val="00457CBC"/>
    <w:rsid w:val="004604E5"/>
    <w:rsid w:val="00460887"/>
    <w:rsid w:val="0046139F"/>
    <w:rsid w:val="0046194E"/>
    <w:rsid w:val="00461C7D"/>
    <w:rsid w:val="00461CBB"/>
    <w:rsid w:val="004627AD"/>
    <w:rsid w:val="00462A49"/>
    <w:rsid w:val="00462DAF"/>
    <w:rsid w:val="00462DB0"/>
    <w:rsid w:val="00462E70"/>
    <w:rsid w:val="004649D0"/>
    <w:rsid w:val="00464FE2"/>
    <w:rsid w:val="004651EF"/>
    <w:rsid w:val="00465644"/>
    <w:rsid w:val="00465997"/>
    <w:rsid w:val="004669E2"/>
    <w:rsid w:val="00467478"/>
    <w:rsid w:val="00467CCA"/>
    <w:rsid w:val="00467D75"/>
    <w:rsid w:val="004704CE"/>
    <w:rsid w:val="00470593"/>
    <w:rsid w:val="00470638"/>
    <w:rsid w:val="004707AF"/>
    <w:rsid w:val="00470C31"/>
    <w:rsid w:val="004716D8"/>
    <w:rsid w:val="00471DE0"/>
    <w:rsid w:val="0047211B"/>
    <w:rsid w:val="004721BC"/>
    <w:rsid w:val="004721F9"/>
    <w:rsid w:val="00472558"/>
    <w:rsid w:val="004726E4"/>
    <w:rsid w:val="004728A0"/>
    <w:rsid w:val="00473147"/>
    <w:rsid w:val="004734D0"/>
    <w:rsid w:val="00473C75"/>
    <w:rsid w:val="0047470D"/>
    <w:rsid w:val="00474B7E"/>
    <w:rsid w:val="004753C6"/>
    <w:rsid w:val="00475532"/>
    <w:rsid w:val="0047556B"/>
    <w:rsid w:val="0047632F"/>
    <w:rsid w:val="00476569"/>
    <w:rsid w:val="00476797"/>
    <w:rsid w:val="00476961"/>
    <w:rsid w:val="00477451"/>
    <w:rsid w:val="00477753"/>
    <w:rsid w:val="00477768"/>
    <w:rsid w:val="00477947"/>
    <w:rsid w:val="00477A69"/>
    <w:rsid w:val="00477C9B"/>
    <w:rsid w:val="00477ED5"/>
    <w:rsid w:val="004800FA"/>
    <w:rsid w:val="004802B5"/>
    <w:rsid w:val="00480415"/>
    <w:rsid w:val="00480466"/>
    <w:rsid w:val="004814C6"/>
    <w:rsid w:val="00481C1A"/>
    <w:rsid w:val="0048226A"/>
    <w:rsid w:val="00482600"/>
    <w:rsid w:val="00483282"/>
    <w:rsid w:val="004838A5"/>
    <w:rsid w:val="00483D04"/>
    <w:rsid w:val="00484559"/>
    <w:rsid w:val="004851CF"/>
    <w:rsid w:val="00485C81"/>
    <w:rsid w:val="00485DDA"/>
    <w:rsid w:val="004862B2"/>
    <w:rsid w:val="004868E3"/>
    <w:rsid w:val="004872ED"/>
    <w:rsid w:val="00487857"/>
    <w:rsid w:val="00487AB0"/>
    <w:rsid w:val="00487C74"/>
    <w:rsid w:val="00487C79"/>
    <w:rsid w:val="00487CC7"/>
    <w:rsid w:val="00487D49"/>
    <w:rsid w:val="00487D62"/>
    <w:rsid w:val="00487E8F"/>
    <w:rsid w:val="00490194"/>
    <w:rsid w:val="004901BD"/>
    <w:rsid w:val="00490E2F"/>
    <w:rsid w:val="00491697"/>
    <w:rsid w:val="00491752"/>
    <w:rsid w:val="00491C62"/>
    <w:rsid w:val="004921CD"/>
    <w:rsid w:val="00492AE0"/>
    <w:rsid w:val="00492BC5"/>
    <w:rsid w:val="00492CF7"/>
    <w:rsid w:val="00493595"/>
    <w:rsid w:val="00493978"/>
    <w:rsid w:val="00494354"/>
    <w:rsid w:val="00494888"/>
    <w:rsid w:val="0049488C"/>
    <w:rsid w:val="00494EC2"/>
    <w:rsid w:val="004950AB"/>
    <w:rsid w:val="0049558B"/>
    <w:rsid w:val="00495754"/>
    <w:rsid w:val="004958EB"/>
    <w:rsid w:val="00495D44"/>
    <w:rsid w:val="004964F1"/>
    <w:rsid w:val="00496C88"/>
    <w:rsid w:val="00497D7B"/>
    <w:rsid w:val="00497F95"/>
    <w:rsid w:val="004A07DF"/>
    <w:rsid w:val="004A08C5"/>
    <w:rsid w:val="004A0D70"/>
    <w:rsid w:val="004A0D9C"/>
    <w:rsid w:val="004A16BC"/>
    <w:rsid w:val="004A18DC"/>
    <w:rsid w:val="004A2B94"/>
    <w:rsid w:val="004A2CF6"/>
    <w:rsid w:val="004A2FDD"/>
    <w:rsid w:val="004A341E"/>
    <w:rsid w:val="004A3C36"/>
    <w:rsid w:val="004A3F10"/>
    <w:rsid w:val="004A4431"/>
    <w:rsid w:val="004A4ECF"/>
    <w:rsid w:val="004A6058"/>
    <w:rsid w:val="004A65D1"/>
    <w:rsid w:val="004A6782"/>
    <w:rsid w:val="004A7201"/>
    <w:rsid w:val="004A74B5"/>
    <w:rsid w:val="004A7526"/>
    <w:rsid w:val="004A7B48"/>
    <w:rsid w:val="004A7C63"/>
    <w:rsid w:val="004B018B"/>
    <w:rsid w:val="004B0659"/>
    <w:rsid w:val="004B0B42"/>
    <w:rsid w:val="004B0C39"/>
    <w:rsid w:val="004B17D1"/>
    <w:rsid w:val="004B1C8B"/>
    <w:rsid w:val="004B1D99"/>
    <w:rsid w:val="004B1E28"/>
    <w:rsid w:val="004B1ED8"/>
    <w:rsid w:val="004B2FB1"/>
    <w:rsid w:val="004B3A59"/>
    <w:rsid w:val="004B3C80"/>
    <w:rsid w:val="004B428B"/>
    <w:rsid w:val="004B42A7"/>
    <w:rsid w:val="004B495A"/>
    <w:rsid w:val="004B553B"/>
    <w:rsid w:val="004B5AE8"/>
    <w:rsid w:val="004B5E80"/>
    <w:rsid w:val="004B5EC2"/>
    <w:rsid w:val="004B6318"/>
    <w:rsid w:val="004B69EB"/>
    <w:rsid w:val="004B6BFA"/>
    <w:rsid w:val="004B6EEF"/>
    <w:rsid w:val="004B6F6A"/>
    <w:rsid w:val="004B743D"/>
    <w:rsid w:val="004B74CD"/>
    <w:rsid w:val="004B7C0C"/>
    <w:rsid w:val="004C0688"/>
    <w:rsid w:val="004C07A4"/>
    <w:rsid w:val="004C0957"/>
    <w:rsid w:val="004C1093"/>
    <w:rsid w:val="004C1A74"/>
    <w:rsid w:val="004C252A"/>
    <w:rsid w:val="004C2801"/>
    <w:rsid w:val="004C2CB9"/>
    <w:rsid w:val="004C2D86"/>
    <w:rsid w:val="004C2FE9"/>
    <w:rsid w:val="004C328A"/>
    <w:rsid w:val="004C35BF"/>
    <w:rsid w:val="004C3898"/>
    <w:rsid w:val="004C4B7D"/>
    <w:rsid w:val="004C5737"/>
    <w:rsid w:val="004C58B3"/>
    <w:rsid w:val="004C5AEA"/>
    <w:rsid w:val="004C5BBC"/>
    <w:rsid w:val="004C5DEB"/>
    <w:rsid w:val="004C6074"/>
    <w:rsid w:val="004C787E"/>
    <w:rsid w:val="004C7E05"/>
    <w:rsid w:val="004D147C"/>
    <w:rsid w:val="004D1E16"/>
    <w:rsid w:val="004D35C3"/>
    <w:rsid w:val="004D36B1"/>
    <w:rsid w:val="004D44FE"/>
    <w:rsid w:val="004D4870"/>
    <w:rsid w:val="004D55A3"/>
    <w:rsid w:val="004D6007"/>
    <w:rsid w:val="004D6461"/>
    <w:rsid w:val="004D6464"/>
    <w:rsid w:val="004D6CB0"/>
    <w:rsid w:val="004D7231"/>
    <w:rsid w:val="004D75CB"/>
    <w:rsid w:val="004D79A9"/>
    <w:rsid w:val="004D7A8B"/>
    <w:rsid w:val="004D7D86"/>
    <w:rsid w:val="004D7EBD"/>
    <w:rsid w:val="004E065F"/>
    <w:rsid w:val="004E066F"/>
    <w:rsid w:val="004E0D0B"/>
    <w:rsid w:val="004E1735"/>
    <w:rsid w:val="004E1B6C"/>
    <w:rsid w:val="004E25B2"/>
    <w:rsid w:val="004E2680"/>
    <w:rsid w:val="004E28F9"/>
    <w:rsid w:val="004E31A6"/>
    <w:rsid w:val="004E3592"/>
    <w:rsid w:val="004E3598"/>
    <w:rsid w:val="004E3A39"/>
    <w:rsid w:val="004E3DD9"/>
    <w:rsid w:val="004E3F18"/>
    <w:rsid w:val="004E3F9E"/>
    <w:rsid w:val="004E462E"/>
    <w:rsid w:val="004E4A23"/>
    <w:rsid w:val="004E4B41"/>
    <w:rsid w:val="004E540B"/>
    <w:rsid w:val="004E5638"/>
    <w:rsid w:val="004E56DC"/>
    <w:rsid w:val="004E5DAF"/>
    <w:rsid w:val="004E737A"/>
    <w:rsid w:val="004E7641"/>
    <w:rsid w:val="004E76F4"/>
    <w:rsid w:val="004E7DFC"/>
    <w:rsid w:val="004F02F1"/>
    <w:rsid w:val="004F066B"/>
    <w:rsid w:val="004F0B4E"/>
    <w:rsid w:val="004F0B6C"/>
    <w:rsid w:val="004F0C49"/>
    <w:rsid w:val="004F12CF"/>
    <w:rsid w:val="004F148E"/>
    <w:rsid w:val="004F14D1"/>
    <w:rsid w:val="004F2078"/>
    <w:rsid w:val="004F2708"/>
    <w:rsid w:val="004F3204"/>
    <w:rsid w:val="004F324E"/>
    <w:rsid w:val="004F35CB"/>
    <w:rsid w:val="004F37AF"/>
    <w:rsid w:val="004F4117"/>
    <w:rsid w:val="004F4716"/>
    <w:rsid w:val="004F4C57"/>
    <w:rsid w:val="004F4D51"/>
    <w:rsid w:val="004F4DA3"/>
    <w:rsid w:val="004F5249"/>
    <w:rsid w:val="004F5BB2"/>
    <w:rsid w:val="004F6350"/>
    <w:rsid w:val="004F6FB7"/>
    <w:rsid w:val="004F7156"/>
    <w:rsid w:val="004F7224"/>
    <w:rsid w:val="004F76AA"/>
    <w:rsid w:val="004F7FFB"/>
    <w:rsid w:val="005007BC"/>
    <w:rsid w:val="00500CEB"/>
    <w:rsid w:val="00500FF7"/>
    <w:rsid w:val="005010D8"/>
    <w:rsid w:val="005012BF"/>
    <w:rsid w:val="0050191B"/>
    <w:rsid w:val="00501B78"/>
    <w:rsid w:val="00501D63"/>
    <w:rsid w:val="00502525"/>
    <w:rsid w:val="005026DB"/>
    <w:rsid w:val="00502837"/>
    <w:rsid w:val="00502F30"/>
    <w:rsid w:val="005035C4"/>
    <w:rsid w:val="00503EB3"/>
    <w:rsid w:val="0050417E"/>
    <w:rsid w:val="00505605"/>
    <w:rsid w:val="00505B05"/>
    <w:rsid w:val="00506557"/>
    <w:rsid w:val="0050677A"/>
    <w:rsid w:val="005070E7"/>
    <w:rsid w:val="0050720D"/>
    <w:rsid w:val="005076AC"/>
    <w:rsid w:val="00510660"/>
    <w:rsid w:val="005107DC"/>
    <w:rsid w:val="005108D8"/>
    <w:rsid w:val="00511509"/>
    <w:rsid w:val="005116F9"/>
    <w:rsid w:val="00512948"/>
    <w:rsid w:val="00512F96"/>
    <w:rsid w:val="00512FDE"/>
    <w:rsid w:val="00513C16"/>
    <w:rsid w:val="005141FF"/>
    <w:rsid w:val="005142C8"/>
    <w:rsid w:val="005144A9"/>
    <w:rsid w:val="005153A7"/>
    <w:rsid w:val="00515574"/>
    <w:rsid w:val="0051559F"/>
    <w:rsid w:val="00515904"/>
    <w:rsid w:val="00516A45"/>
    <w:rsid w:val="00516DE7"/>
    <w:rsid w:val="0051776F"/>
    <w:rsid w:val="005205DD"/>
    <w:rsid w:val="00520ADE"/>
    <w:rsid w:val="005214CE"/>
    <w:rsid w:val="005219CF"/>
    <w:rsid w:val="00522CCB"/>
    <w:rsid w:val="00523F57"/>
    <w:rsid w:val="00524256"/>
    <w:rsid w:val="00524503"/>
    <w:rsid w:val="0052463B"/>
    <w:rsid w:val="005248A3"/>
    <w:rsid w:val="00524BAF"/>
    <w:rsid w:val="00524D47"/>
    <w:rsid w:val="00525196"/>
    <w:rsid w:val="0052673F"/>
    <w:rsid w:val="00526A4E"/>
    <w:rsid w:val="00527553"/>
    <w:rsid w:val="00527893"/>
    <w:rsid w:val="00527A38"/>
    <w:rsid w:val="00527C56"/>
    <w:rsid w:val="005306CC"/>
    <w:rsid w:val="00530C43"/>
    <w:rsid w:val="00530E20"/>
    <w:rsid w:val="00530FAF"/>
    <w:rsid w:val="005313CA"/>
    <w:rsid w:val="00531A6C"/>
    <w:rsid w:val="00531D9C"/>
    <w:rsid w:val="00531ED6"/>
    <w:rsid w:val="00532A56"/>
    <w:rsid w:val="00532A6D"/>
    <w:rsid w:val="005331C2"/>
    <w:rsid w:val="00533548"/>
    <w:rsid w:val="00533787"/>
    <w:rsid w:val="00533961"/>
    <w:rsid w:val="00533D56"/>
    <w:rsid w:val="00534507"/>
    <w:rsid w:val="00534761"/>
    <w:rsid w:val="00534B59"/>
    <w:rsid w:val="00534ED4"/>
    <w:rsid w:val="00535E6D"/>
    <w:rsid w:val="00536455"/>
    <w:rsid w:val="00536759"/>
    <w:rsid w:val="00536D3D"/>
    <w:rsid w:val="00536D73"/>
    <w:rsid w:val="00536F16"/>
    <w:rsid w:val="00537C62"/>
    <w:rsid w:val="00537F75"/>
    <w:rsid w:val="005407EA"/>
    <w:rsid w:val="00540B70"/>
    <w:rsid w:val="00540D8B"/>
    <w:rsid w:val="00541C8C"/>
    <w:rsid w:val="00542B7F"/>
    <w:rsid w:val="00542D1F"/>
    <w:rsid w:val="00543190"/>
    <w:rsid w:val="00543701"/>
    <w:rsid w:val="0054416F"/>
    <w:rsid w:val="00544FF1"/>
    <w:rsid w:val="00545238"/>
    <w:rsid w:val="00545905"/>
    <w:rsid w:val="005464C1"/>
    <w:rsid w:val="005468EF"/>
    <w:rsid w:val="00546970"/>
    <w:rsid w:val="00546EFC"/>
    <w:rsid w:val="005470FE"/>
    <w:rsid w:val="005507EB"/>
    <w:rsid w:val="005507EE"/>
    <w:rsid w:val="005508FD"/>
    <w:rsid w:val="00550A7F"/>
    <w:rsid w:val="00550D7E"/>
    <w:rsid w:val="00551888"/>
    <w:rsid w:val="00551B78"/>
    <w:rsid w:val="00551F0D"/>
    <w:rsid w:val="0055231A"/>
    <w:rsid w:val="00552670"/>
    <w:rsid w:val="0055273E"/>
    <w:rsid w:val="00552CDC"/>
    <w:rsid w:val="00553013"/>
    <w:rsid w:val="00553111"/>
    <w:rsid w:val="0055342B"/>
    <w:rsid w:val="005536A8"/>
    <w:rsid w:val="0055380E"/>
    <w:rsid w:val="0055381B"/>
    <w:rsid w:val="00554065"/>
    <w:rsid w:val="005546A8"/>
    <w:rsid w:val="00554736"/>
    <w:rsid w:val="00554CAD"/>
    <w:rsid w:val="00554E19"/>
    <w:rsid w:val="00555930"/>
    <w:rsid w:val="005559E3"/>
    <w:rsid w:val="00555E6B"/>
    <w:rsid w:val="00556172"/>
    <w:rsid w:val="00556381"/>
    <w:rsid w:val="005564DF"/>
    <w:rsid w:val="00556524"/>
    <w:rsid w:val="00556E7A"/>
    <w:rsid w:val="00556EAA"/>
    <w:rsid w:val="00556F4F"/>
    <w:rsid w:val="00556FCE"/>
    <w:rsid w:val="0055746A"/>
    <w:rsid w:val="005576EF"/>
    <w:rsid w:val="0056121F"/>
    <w:rsid w:val="00562275"/>
    <w:rsid w:val="00562384"/>
    <w:rsid w:val="005633CE"/>
    <w:rsid w:val="00564046"/>
    <w:rsid w:val="00564127"/>
    <w:rsid w:val="00564148"/>
    <w:rsid w:val="0056426C"/>
    <w:rsid w:val="00564302"/>
    <w:rsid w:val="005645B0"/>
    <w:rsid w:val="0056490E"/>
    <w:rsid w:val="00564E2E"/>
    <w:rsid w:val="00564FD2"/>
    <w:rsid w:val="005651DD"/>
    <w:rsid w:val="0056538F"/>
    <w:rsid w:val="005661BC"/>
    <w:rsid w:val="005669FF"/>
    <w:rsid w:val="0056701D"/>
    <w:rsid w:val="005670F7"/>
    <w:rsid w:val="00567A15"/>
    <w:rsid w:val="00570248"/>
    <w:rsid w:val="00570714"/>
    <w:rsid w:val="005708CC"/>
    <w:rsid w:val="00570924"/>
    <w:rsid w:val="00570BD5"/>
    <w:rsid w:val="00571B26"/>
    <w:rsid w:val="00572505"/>
    <w:rsid w:val="0057295B"/>
    <w:rsid w:val="00573730"/>
    <w:rsid w:val="0057432B"/>
    <w:rsid w:val="005746DF"/>
    <w:rsid w:val="00574BD1"/>
    <w:rsid w:val="005754D2"/>
    <w:rsid w:val="0057646B"/>
    <w:rsid w:val="005768DA"/>
    <w:rsid w:val="005772AC"/>
    <w:rsid w:val="0057797F"/>
    <w:rsid w:val="00577C1F"/>
    <w:rsid w:val="00580424"/>
    <w:rsid w:val="005804B2"/>
    <w:rsid w:val="005808BC"/>
    <w:rsid w:val="00580AB7"/>
    <w:rsid w:val="00580B34"/>
    <w:rsid w:val="0058122F"/>
    <w:rsid w:val="00581EE9"/>
    <w:rsid w:val="00582047"/>
    <w:rsid w:val="00582114"/>
    <w:rsid w:val="005821DA"/>
    <w:rsid w:val="00582809"/>
    <w:rsid w:val="00582A15"/>
    <w:rsid w:val="00582CC8"/>
    <w:rsid w:val="0058328B"/>
    <w:rsid w:val="005835FE"/>
    <w:rsid w:val="005838A9"/>
    <w:rsid w:val="00584523"/>
    <w:rsid w:val="0058465A"/>
    <w:rsid w:val="00584871"/>
    <w:rsid w:val="00584DF8"/>
    <w:rsid w:val="00584EC7"/>
    <w:rsid w:val="005867AB"/>
    <w:rsid w:val="00586CF6"/>
    <w:rsid w:val="00586F43"/>
    <w:rsid w:val="00586FF6"/>
    <w:rsid w:val="00587915"/>
    <w:rsid w:val="0058798C"/>
    <w:rsid w:val="005900FA"/>
    <w:rsid w:val="00590525"/>
    <w:rsid w:val="00590B11"/>
    <w:rsid w:val="005913D0"/>
    <w:rsid w:val="00591465"/>
    <w:rsid w:val="00591833"/>
    <w:rsid w:val="0059213D"/>
    <w:rsid w:val="00592164"/>
    <w:rsid w:val="00593005"/>
    <w:rsid w:val="005935A4"/>
    <w:rsid w:val="005944CC"/>
    <w:rsid w:val="00594697"/>
    <w:rsid w:val="00594771"/>
    <w:rsid w:val="005948C2"/>
    <w:rsid w:val="00594B03"/>
    <w:rsid w:val="005958C6"/>
    <w:rsid w:val="00595DCA"/>
    <w:rsid w:val="00595DF5"/>
    <w:rsid w:val="00595EF1"/>
    <w:rsid w:val="005965C3"/>
    <w:rsid w:val="00596B3B"/>
    <w:rsid w:val="0059773C"/>
    <w:rsid w:val="0059775E"/>
    <w:rsid w:val="0059779B"/>
    <w:rsid w:val="00597939"/>
    <w:rsid w:val="005A0089"/>
    <w:rsid w:val="005A03D0"/>
    <w:rsid w:val="005A054A"/>
    <w:rsid w:val="005A0597"/>
    <w:rsid w:val="005A113C"/>
    <w:rsid w:val="005A1E53"/>
    <w:rsid w:val="005A209A"/>
    <w:rsid w:val="005A272F"/>
    <w:rsid w:val="005A2D72"/>
    <w:rsid w:val="005A38B4"/>
    <w:rsid w:val="005A39C7"/>
    <w:rsid w:val="005A3B62"/>
    <w:rsid w:val="005A514C"/>
    <w:rsid w:val="005A53DC"/>
    <w:rsid w:val="005A551F"/>
    <w:rsid w:val="005A5622"/>
    <w:rsid w:val="005A5845"/>
    <w:rsid w:val="005A5C11"/>
    <w:rsid w:val="005A5D98"/>
    <w:rsid w:val="005A5EAA"/>
    <w:rsid w:val="005A662D"/>
    <w:rsid w:val="005A66C3"/>
    <w:rsid w:val="005A6C55"/>
    <w:rsid w:val="005A78AE"/>
    <w:rsid w:val="005A7CBF"/>
    <w:rsid w:val="005A7E19"/>
    <w:rsid w:val="005B0F5B"/>
    <w:rsid w:val="005B1409"/>
    <w:rsid w:val="005B159C"/>
    <w:rsid w:val="005B1793"/>
    <w:rsid w:val="005B2200"/>
    <w:rsid w:val="005B2700"/>
    <w:rsid w:val="005B30A9"/>
    <w:rsid w:val="005B35D7"/>
    <w:rsid w:val="005B392A"/>
    <w:rsid w:val="005B39DE"/>
    <w:rsid w:val="005B3A71"/>
    <w:rsid w:val="005B3AA3"/>
    <w:rsid w:val="005B4129"/>
    <w:rsid w:val="005B4590"/>
    <w:rsid w:val="005B474F"/>
    <w:rsid w:val="005B48E1"/>
    <w:rsid w:val="005B56FD"/>
    <w:rsid w:val="005B589C"/>
    <w:rsid w:val="005B66C7"/>
    <w:rsid w:val="005B67D9"/>
    <w:rsid w:val="005B6F83"/>
    <w:rsid w:val="005B7517"/>
    <w:rsid w:val="005B7C66"/>
    <w:rsid w:val="005C0236"/>
    <w:rsid w:val="005C0305"/>
    <w:rsid w:val="005C0602"/>
    <w:rsid w:val="005C082E"/>
    <w:rsid w:val="005C0D2B"/>
    <w:rsid w:val="005C15EF"/>
    <w:rsid w:val="005C161A"/>
    <w:rsid w:val="005C1A36"/>
    <w:rsid w:val="005C364F"/>
    <w:rsid w:val="005C4A42"/>
    <w:rsid w:val="005C544C"/>
    <w:rsid w:val="005C562E"/>
    <w:rsid w:val="005C6D06"/>
    <w:rsid w:val="005C73CE"/>
    <w:rsid w:val="005C74FB"/>
    <w:rsid w:val="005C7B84"/>
    <w:rsid w:val="005D0B99"/>
    <w:rsid w:val="005D10CC"/>
    <w:rsid w:val="005D13A6"/>
    <w:rsid w:val="005D1602"/>
    <w:rsid w:val="005D168C"/>
    <w:rsid w:val="005D1697"/>
    <w:rsid w:val="005D1AEF"/>
    <w:rsid w:val="005D2172"/>
    <w:rsid w:val="005D21F2"/>
    <w:rsid w:val="005D2F62"/>
    <w:rsid w:val="005D312E"/>
    <w:rsid w:val="005D37FB"/>
    <w:rsid w:val="005D3B0E"/>
    <w:rsid w:val="005D481A"/>
    <w:rsid w:val="005D48FF"/>
    <w:rsid w:val="005D58F5"/>
    <w:rsid w:val="005D60BF"/>
    <w:rsid w:val="005D6AF5"/>
    <w:rsid w:val="005D6B46"/>
    <w:rsid w:val="005D6B62"/>
    <w:rsid w:val="005D6C1B"/>
    <w:rsid w:val="005D6FA1"/>
    <w:rsid w:val="005D6FE1"/>
    <w:rsid w:val="005D7398"/>
    <w:rsid w:val="005D78DF"/>
    <w:rsid w:val="005E00E8"/>
    <w:rsid w:val="005E094C"/>
    <w:rsid w:val="005E0998"/>
    <w:rsid w:val="005E0CAE"/>
    <w:rsid w:val="005E17C9"/>
    <w:rsid w:val="005E1EA3"/>
    <w:rsid w:val="005E2306"/>
    <w:rsid w:val="005E385F"/>
    <w:rsid w:val="005E3B0E"/>
    <w:rsid w:val="005E3D84"/>
    <w:rsid w:val="005E4146"/>
    <w:rsid w:val="005E45E6"/>
    <w:rsid w:val="005E4A5A"/>
    <w:rsid w:val="005E59BE"/>
    <w:rsid w:val="005E5B81"/>
    <w:rsid w:val="005E5EEF"/>
    <w:rsid w:val="005E629D"/>
    <w:rsid w:val="005E6405"/>
    <w:rsid w:val="005E659A"/>
    <w:rsid w:val="005E698E"/>
    <w:rsid w:val="005E6D10"/>
    <w:rsid w:val="005E723A"/>
    <w:rsid w:val="005E7303"/>
    <w:rsid w:val="005E77BF"/>
    <w:rsid w:val="005F025E"/>
    <w:rsid w:val="005F065D"/>
    <w:rsid w:val="005F069D"/>
    <w:rsid w:val="005F11FF"/>
    <w:rsid w:val="005F1319"/>
    <w:rsid w:val="005F147D"/>
    <w:rsid w:val="005F1957"/>
    <w:rsid w:val="005F1A1D"/>
    <w:rsid w:val="005F1E6F"/>
    <w:rsid w:val="005F2BE2"/>
    <w:rsid w:val="005F2CB1"/>
    <w:rsid w:val="005F3025"/>
    <w:rsid w:val="005F3492"/>
    <w:rsid w:val="005F3B0E"/>
    <w:rsid w:val="005F4109"/>
    <w:rsid w:val="005F422A"/>
    <w:rsid w:val="005F4460"/>
    <w:rsid w:val="005F457E"/>
    <w:rsid w:val="005F51C1"/>
    <w:rsid w:val="005F52B2"/>
    <w:rsid w:val="005F5B1E"/>
    <w:rsid w:val="005F5B70"/>
    <w:rsid w:val="005F5D80"/>
    <w:rsid w:val="005F5F56"/>
    <w:rsid w:val="005F618C"/>
    <w:rsid w:val="005F66B5"/>
    <w:rsid w:val="005F6F5E"/>
    <w:rsid w:val="005F70BD"/>
    <w:rsid w:val="005F72E8"/>
    <w:rsid w:val="005F775A"/>
    <w:rsid w:val="005F78C1"/>
    <w:rsid w:val="005F7CBC"/>
    <w:rsid w:val="00600375"/>
    <w:rsid w:val="00600514"/>
    <w:rsid w:val="00600F0C"/>
    <w:rsid w:val="006020EC"/>
    <w:rsid w:val="0060224B"/>
    <w:rsid w:val="0060283C"/>
    <w:rsid w:val="00602D23"/>
    <w:rsid w:val="00602FA7"/>
    <w:rsid w:val="00602FE4"/>
    <w:rsid w:val="0060382D"/>
    <w:rsid w:val="00603EDF"/>
    <w:rsid w:val="0060493F"/>
    <w:rsid w:val="00604A10"/>
    <w:rsid w:val="00604D1B"/>
    <w:rsid w:val="00604E76"/>
    <w:rsid w:val="00604F14"/>
    <w:rsid w:val="00605556"/>
    <w:rsid w:val="0060555A"/>
    <w:rsid w:val="00605785"/>
    <w:rsid w:val="006058A6"/>
    <w:rsid w:val="00605911"/>
    <w:rsid w:val="006066F2"/>
    <w:rsid w:val="00606815"/>
    <w:rsid w:val="00606D3D"/>
    <w:rsid w:val="00606FDF"/>
    <w:rsid w:val="006071BF"/>
    <w:rsid w:val="00607229"/>
    <w:rsid w:val="006073A4"/>
    <w:rsid w:val="00607438"/>
    <w:rsid w:val="00607F56"/>
    <w:rsid w:val="0061007D"/>
    <w:rsid w:val="006107D7"/>
    <w:rsid w:val="006116A6"/>
    <w:rsid w:val="00611B83"/>
    <w:rsid w:val="00611F85"/>
    <w:rsid w:val="00612140"/>
    <w:rsid w:val="0061297E"/>
    <w:rsid w:val="00612B4F"/>
    <w:rsid w:val="00612DFE"/>
    <w:rsid w:val="00612F14"/>
    <w:rsid w:val="00613257"/>
    <w:rsid w:val="00613269"/>
    <w:rsid w:val="006137B1"/>
    <w:rsid w:val="00613AC9"/>
    <w:rsid w:val="00613C31"/>
    <w:rsid w:val="00613DAD"/>
    <w:rsid w:val="00613E43"/>
    <w:rsid w:val="00614170"/>
    <w:rsid w:val="006149C5"/>
    <w:rsid w:val="0061530A"/>
    <w:rsid w:val="006154A6"/>
    <w:rsid w:val="006154FF"/>
    <w:rsid w:val="00615904"/>
    <w:rsid w:val="00615D93"/>
    <w:rsid w:val="00615DAB"/>
    <w:rsid w:val="006160F2"/>
    <w:rsid w:val="006167B5"/>
    <w:rsid w:val="00616B93"/>
    <w:rsid w:val="00617943"/>
    <w:rsid w:val="00617B82"/>
    <w:rsid w:val="00620194"/>
    <w:rsid w:val="006208EA"/>
    <w:rsid w:val="00620A71"/>
    <w:rsid w:val="00620D49"/>
    <w:rsid w:val="00620D80"/>
    <w:rsid w:val="006210E1"/>
    <w:rsid w:val="00621656"/>
    <w:rsid w:val="006219BB"/>
    <w:rsid w:val="00621C35"/>
    <w:rsid w:val="006220C9"/>
    <w:rsid w:val="006226E0"/>
    <w:rsid w:val="00622CBA"/>
    <w:rsid w:val="00623100"/>
    <w:rsid w:val="006233E7"/>
    <w:rsid w:val="006234A6"/>
    <w:rsid w:val="00623D92"/>
    <w:rsid w:val="00624070"/>
    <w:rsid w:val="006243C8"/>
    <w:rsid w:val="00624461"/>
    <w:rsid w:val="0062448E"/>
    <w:rsid w:val="006249DC"/>
    <w:rsid w:val="00624AD6"/>
    <w:rsid w:val="0062569F"/>
    <w:rsid w:val="00625CBD"/>
    <w:rsid w:val="0062613C"/>
    <w:rsid w:val="00626B8F"/>
    <w:rsid w:val="006272F1"/>
    <w:rsid w:val="00630001"/>
    <w:rsid w:val="006301EB"/>
    <w:rsid w:val="006304D8"/>
    <w:rsid w:val="006305F1"/>
    <w:rsid w:val="00630A9F"/>
    <w:rsid w:val="00630F29"/>
    <w:rsid w:val="006310AD"/>
    <w:rsid w:val="0063117B"/>
    <w:rsid w:val="006311B3"/>
    <w:rsid w:val="0063126C"/>
    <w:rsid w:val="0063135F"/>
    <w:rsid w:val="00631565"/>
    <w:rsid w:val="006315B7"/>
    <w:rsid w:val="00632110"/>
    <w:rsid w:val="006323DA"/>
    <w:rsid w:val="006325D4"/>
    <w:rsid w:val="0063284C"/>
    <w:rsid w:val="00632A14"/>
    <w:rsid w:val="00633271"/>
    <w:rsid w:val="0063366A"/>
    <w:rsid w:val="00635037"/>
    <w:rsid w:val="006357EA"/>
    <w:rsid w:val="00635994"/>
    <w:rsid w:val="006360C2"/>
    <w:rsid w:val="00636398"/>
    <w:rsid w:val="00636578"/>
    <w:rsid w:val="006368D3"/>
    <w:rsid w:val="00636ADD"/>
    <w:rsid w:val="0063707E"/>
    <w:rsid w:val="00637557"/>
    <w:rsid w:val="006377EC"/>
    <w:rsid w:val="006378CE"/>
    <w:rsid w:val="00637A5F"/>
    <w:rsid w:val="00640471"/>
    <w:rsid w:val="0064151F"/>
    <w:rsid w:val="00641533"/>
    <w:rsid w:val="0064208D"/>
    <w:rsid w:val="006420D7"/>
    <w:rsid w:val="00642113"/>
    <w:rsid w:val="006424A0"/>
    <w:rsid w:val="0064251E"/>
    <w:rsid w:val="0064288A"/>
    <w:rsid w:val="00643475"/>
    <w:rsid w:val="0064396A"/>
    <w:rsid w:val="00643C36"/>
    <w:rsid w:val="00643FD5"/>
    <w:rsid w:val="0064417F"/>
    <w:rsid w:val="00644264"/>
    <w:rsid w:val="0064455E"/>
    <w:rsid w:val="00645389"/>
    <w:rsid w:val="00645667"/>
    <w:rsid w:val="00645D44"/>
    <w:rsid w:val="0064607A"/>
    <w:rsid w:val="0064624E"/>
    <w:rsid w:val="00646396"/>
    <w:rsid w:val="00646DB5"/>
    <w:rsid w:val="006502C4"/>
    <w:rsid w:val="0065050D"/>
    <w:rsid w:val="00650AB9"/>
    <w:rsid w:val="00651086"/>
    <w:rsid w:val="00651089"/>
    <w:rsid w:val="0065120E"/>
    <w:rsid w:val="006520B0"/>
    <w:rsid w:val="006523A8"/>
    <w:rsid w:val="00652841"/>
    <w:rsid w:val="00652A08"/>
    <w:rsid w:val="00652E2F"/>
    <w:rsid w:val="006535EC"/>
    <w:rsid w:val="00653DCB"/>
    <w:rsid w:val="00653F4E"/>
    <w:rsid w:val="00654176"/>
    <w:rsid w:val="0065430D"/>
    <w:rsid w:val="006546D8"/>
    <w:rsid w:val="00654A95"/>
    <w:rsid w:val="00655295"/>
    <w:rsid w:val="006552CF"/>
    <w:rsid w:val="00655733"/>
    <w:rsid w:val="00655ACD"/>
    <w:rsid w:val="00656A92"/>
    <w:rsid w:val="00656DDE"/>
    <w:rsid w:val="006571C0"/>
    <w:rsid w:val="00657E14"/>
    <w:rsid w:val="0066011D"/>
    <w:rsid w:val="0066012F"/>
    <w:rsid w:val="006607C0"/>
    <w:rsid w:val="00660B64"/>
    <w:rsid w:val="006613A6"/>
    <w:rsid w:val="006617B2"/>
    <w:rsid w:val="006617C9"/>
    <w:rsid w:val="00661E84"/>
    <w:rsid w:val="00661F56"/>
    <w:rsid w:val="006627A2"/>
    <w:rsid w:val="006634E6"/>
    <w:rsid w:val="00663DC5"/>
    <w:rsid w:val="00665269"/>
    <w:rsid w:val="006655EE"/>
    <w:rsid w:val="006656BD"/>
    <w:rsid w:val="00665CA0"/>
    <w:rsid w:val="0066621D"/>
    <w:rsid w:val="006663E2"/>
    <w:rsid w:val="006664CE"/>
    <w:rsid w:val="00666949"/>
    <w:rsid w:val="00666966"/>
    <w:rsid w:val="00666C62"/>
    <w:rsid w:val="006678F0"/>
    <w:rsid w:val="00667A81"/>
    <w:rsid w:val="00667CB7"/>
    <w:rsid w:val="00667EE7"/>
    <w:rsid w:val="006700EF"/>
    <w:rsid w:val="00670127"/>
    <w:rsid w:val="0067036E"/>
    <w:rsid w:val="00670529"/>
    <w:rsid w:val="006705ED"/>
    <w:rsid w:val="00670832"/>
    <w:rsid w:val="00670922"/>
    <w:rsid w:val="00670BD0"/>
    <w:rsid w:val="00670BE1"/>
    <w:rsid w:val="0067218F"/>
    <w:rsid w:val="00672549"/>
    <w:rsid w:val="00672E6D"/>
    <w:rsid w:val="006730DF"/>
    <w:rsid w:val="006734CA"/>
    <w:rsid w:val="006741F2"/>
    <w:rsid w:val="0067490C"/>
    <w:rsid w:val="00674CC3"/>
    <w:rsid w:val="00675993"/>
    <w:rsid w:val="00675C72"/>
    <w:rsid w:val="00676681"/>
    <w:rsid w:val="00676DA0"/>
    <w:rsid w:val="006771F9"/>
    <w:rsid w:val="006776D7"/>
    <w:rsid w:val="00677B52"/>
    <w:rsid w:val="0068034D"/>
    <w:rsid w:val="006806FA"/>
    <w:rsid w:val="00680EF6"/>
    <w:rsid w:val="00681003"/>
    <w:rsid w:val="006813F4"/>
    <w:rsid w:val="0068174B"/>
    <w:rsid w:val="006817C9"/>
    <w:rsid w:val="0068180E"/>
    <w:rsid w:val="00681C6D"/>
    <w:rsid w:val="00682D35"/>
    <w:rsid w:val="00683EBD"/>
    <w:rsid w:val="00683ECE"/>
    <w:rsid w:val="00683F8F"/>
    <w:rsid w:val="00684288"/>
    <w:rsid w:val="00684888"/>
    <w:rsid w:val="00684BC5"/>
    <w:rsid w:val="00684C80"/>
    <w:rsid w:val="00685A6A"/>
    <w:rsid w:val="00685DDA"/>
    <w:rsid w:val="00686065"/>
    <w:rsid w:val="00686508"/>
    <w:rsid w:val="00686707"/>
    <w:rsid w:val="0068671A"/>
    <w:rsid w:val="00686EDF"/>
    <w:rsid w:val="00690B63"/>
    <w:rsid w:val="00690D53"/>
    <w:rsid w:val="00690E10"/>
    <w:rsid w:val="006912B6"/>
    <w:rsid w:val="006915B0"/>
    <w:rsid w:val="006918E2"/>
    <w:rsid w:val="00692709"/>
    <w:rsid w:val="0069282F"/>
    <w:rsid w:val="00693791"/>
    <w:rsid w:val="00693E2A"/>
    <w:rsid w:val="0069408A"/>
    <w:rsid w:val="00694B8A"/>
    <w:rsid w:val="00694C70"/>
    <w:rsid w:val="00694EA1"/>
    <w:rsid w:val="00695CAA"/>
    <w:rsid w:val="00695FC2"/>
    <w:rsid w:val="00695FF2"/>
    <w:rsid w:val="00696949"/>
    <w:rsid w:val="00697052"/>
    <w:rsid w:val="006974FC"/>
    <w:rsid w:val="006A0004"/>
    <w:rsid w:val="006A05E6"/>
    <w:rsid w:val="006A0A89"/>
    <w:rsid w:val="006A1EB1"/>
    <w:rsid w:val="006A2356"/>
    <w:rsid w:val="006A25FF"/>
    <w:rsid w:val="006A296B"/>
    <w:rsid w:val="006A30D0"/>
    <w:rsid w:val="006A3797"/>
    <w:rsid w:val="006A3A34"/>
    <w:rsid w:val="006A3A4C"/>
    <w:rsid w:val="006A46FB"/>
    <w:rsid w:val="006A47A0"/>
    <w:rsid w:val="006A5664"/>
    <w:rsid w:val="006A5B61"/>
    <w:rsid w:val="006A5CE1"/>
    <w:rsid w:val="006A5E28"/>
    <w:rsid w:val="006A6183"/>
    <w:rsid w:val="006A697B"/>
    <w:rsid w:val="006A6AD3"/>
    <w:rsid w:val="006A77B6"/>
    <w:rsid w:val="006A798D"/>
    <w:rsid w:val="006A7AFF"/>
    <w:rsid w:val="006A7CAA"/>
    <w:rsid w:val="006B0743"/>
    <w:rsid w:val="006B0E92"/>
    <w:rsid w:val="006B1310"/>
    <w:rsid w:val="006B1816"/>
    <w:rsid w:val="006B1A6C"/>
    <w:rsid w:val="006B1EA8"/>
    <w:rsid w:val="006B2099"/>
    <w:rsid w:val="006B2DFA"/>
    <w:rsid w:val="006B33C4"/>
    <w:rsid w:val="006B3C02"/>
    <w:rsid w:val="006B40CE"/>
    <w:rsid w:val="006B424B"/>
    <w:rsid w:val="006B458A"/>
    <w:rsid w:val="006B49B7"/>
    <w:rsid w:val="006B50CF"/>
    <w:rsid w:val="006B50F2"/>
    <w:rsid w:val="006B570D"/>
    <w:rsid w:val="006B5A97"/>
    <w:rsid w:val="006B5B47"/>
    <w:rsid w:val="006B6277"/>
    <w:rsid w:val="006B62B3"/>
    <w:rsid w:val="006B6B5F"/>
    <w:rsid w:val="006B6E10"/>
    <w:rsid w:val="006B74A4"/>
    <w:rsid w:val="006B7646"/>
    <w:rsid w:val="006B7715"/>
    <w:rsid w:val="006B7EA7"/>
    <w:rsid w:val="006C00C1"/>
    <w:rsid w:val="006C03B8"/>
    <w:rsid w:val="006C042E"/>
    <w:rsid w:val="006C0647"/>
    <w:rsid w:val="006C0C32"/>
    <w:rsid w:val="006C0D88"/>
    <w:rsid w:val="006C15AE"/>
    <w:rsid w:val="006C1D55"/>
    <w:rsid w:val="006C23E5"/>
    <w:rsid w:val="006C34AF"/>
    <w:rsid w:val="006C361E"/>
    <w:rsid w:val="006C41A7"/>
    <w:rsid w:val="006C4AB5"/>
    <w:rsid w:val="006C5085"/>
    <w:rsid w:val="006C51C8"/>
    <w:rsid w:val="006C52A2"/>
    <w:rsid w:val="006C5B78"/>
    <w:rsid w:val="006C5EC9"/>
    <w:rsid w:val="006C6059"/>
    <w:rsid w:val="006C61A8"/>
    <w:rsid w:val="006C6B8F"/>
    <w:rsid w:val="006C7522"/>
    <w:rsid w:val="006C7B7B"/>
    <w:rsid w:val="006C7C16"/>
    <w:rsid w:val="006C7FE8"/>
    <w:rsid w:val="006C7FFE"/>
    <w:rsid w:val="006D03E6"/>
    <w:rsid w:val="006D072A"/>
    <w:rsid w:val="006D13CE"/>
    <w:rsid w:val="006D17E0"/>
    <w:rsid w:val="006D18C3"/>
    <w:rsid w:val="006D1A5D"/>
    <w:rsid w:val="006D1C20"/>
    <w:rsid w:val="006D2DF8"/>
    <w:rsid w:val="006D3368"/>
    <w:rsid w:val="006D33E5"/>
    <w:rsid w:val="006D38D1"/>
    <w:rsid w:val="006D39F5"/>
    <w:rsid w:val="006D43D5"/>
    <w:rsid w:val="006D46E4"/>
    <w:rsid w:val="006D4745"/>
    <w:rsid w:val="006D494C"/>
    <w:rsid w:val="006D4DE8"/>
    <w:rsid w:val="006D4E4E"/>
    <w:rsid w:val="006D4E81"/>
    <w:rsid w:val="006D4EF4"/>
    <w:rsid w:val="006D5369"/>
    <w:rsid w:val="006D56EA"/>
    <w:rsid w:val="006D5876"/>
    <w:rsid w:val="006D6614"/>
    <w:rsid w:val="006D68CB"/>
    <w:rsid w:val="006D6F08"/>
    <w:rsid w:val="006D6FA0"/>
    <w:rsid w:val="006D72B1"/>
    <w:rsid w:val="006D76CA"/>
    <w:rsid w:val="006D7DBF"/>
    <w:rsid w:val="006D7F13"/>
    <w:rsid w:val="006E0057"/>
    <w:rsid w:val="006E0266"/>
    <w:rsid w:val="006E03E3"/>
    <w:rsid w:val="006E03FF"/>
    <w:rsid w:val="006E062C"/>
    <w:rsid w:val="006E0681"/>
    <w:rsid w:val="006E0826"/>
    <w:rsid w:val="006E0A41"/>
    <w:rsid w:val="006E193A"/>
    <w:rsid w:val="006E1BB2"/>
    <w:rsid w:val="006E1C82"/>
    <w:rsid w:val="006E1CB3"/>
    <w:rsid w:val="006E1E1F"/>
    <w:rsid w:val="006E280E"/>
    <w:rsid w:val="006E28B7"/>
    <w:rsid w:val="006E2A9B"/>
    <w:rsid w:val="006E3310"/>
    <w:rsid w:val="006E3314"/>
    <w:rsid w:val="006E3770"/>
    <w:rsid w:val="006E3C29"/>
    <w:rsid w:val="006E3F3A"/>
    <w:rsid w:val="006E42BB"/>
    <w:rsid w:val="006E4B4E"/>
    <w:rsid w:val="006E4E39"/>
    <w:rsid w:val="006E5445"/>
    <w:rsid w:val="006E565E"/>
    <w:rsid w:val="006E58A3"/>
    <w:rsid w:val="006E5A8F"/>
    <w:rsid w:val="006E6010"/>
    <w:rsid w:val="006E673D"/>
    <w:rsid w:val="006E6833"/>
    <w:rsid w:val="006E6A62"/>
    <w:rsid w:val="006E6A8D"/>
    <w:rsid w:val="006E6E20"/>
    <w:rsid w:val="006E71FA"/>
    <w:rsid w:val="006E7D3B"/>
    <w:rsid w:val="006F0F60"/>
    <w:rsid w:val="006F1803"/>
    <w:rsid w:val="006F1AB6"/>
    <w:rsid w:val="006F1B70"/>
    <w:rsid w:val="006F224A"/>
    <w:rsid w:val="006F2404"/>
    <w:rsid w:val="006F2B1D"/>
    <w:rsid w:val="006F2F3B"/>
    <w:rsid w:val="006F3131"/>
    <w:rsid w:val="006F341D"/>
    <w:rsid w:val="006F3CDE"/>
    <w:rsid w:val="006F4F3D"/>
    <w:rsid w:val="006F5467"/>
    <w:rsid w:val="006F5880"/>
    <w:rsid w:val="006F58D4"/>
    <w:rsid w:val="006F60D8"/>
    <w:rsid w:val="006F6122"/>
    <w:rsid w:val="006F6489"/>
    <w:rsid w:val="006F6523"/>
    <w:rsid w:val="006F6579"/>
    <w:rsid w:val="006F6582"/>
    <w:rsid w:val="006F68BE"/>
    <w:rsid w:val="006F7FA7"/>
    <w:rsid w:val="0070051C"/>
    <w:rsid w:val="0070108D"/>
    <w:rsid w:val="007010A1"/>
    <w:rsid w:val="007010E2"/>
    <w:rsid w:val="00701708"/>
    <w:rsid w:val="0070170E"/>
    <w:rsid w:val="00701AB7"/>
    <w:rsid w:val="0070219D"/>
    <w:rsid w:val="007021C8"/>
    <w:rsid w:val="00702773"/>
    <w:rsid w:val="00702869"/>
    <w:rsid w:val="00702F36"/>
    <w:rsid w:val="0070346E"/>
    <w:rsid w:val="00703E7E"/>
    <w:rsid w:val="007041CF"/>
    <w:rsid w:val="00704EDB"/>
    <w:rsid w:val="00705068"/>
    <w:rsid w:val="007050FB"/>
    <w:rsid w:val="00705442"/>
    <w:rsid w:val="0070557E"/>
    <w:rsid w:val="007055C3"/>
    <w:rsid w:val="00706101"/>
    <w:rsid w:val="00706388"/>
    <w:rsid w:val="00706A45"/>
    <w:rsid w:val="00706C3C"/>
    <w:rsid w:val="00706C40"/>
    <w:rsid w:val="00706CF4"/>
    <w:rsid w:val="00707072"/>
    <w:rsid w:val="007073E5"/>
    <w:rsid w:val="007079B8"/>
    <w:rsid w:val="00707A81"/>
    <w:rsid w:val="00707D61"/>
    <w:rsid w:val="007106C8"/>
    <w:rsid w:val="00710823"/>
    <w:rsid w:val="0071176C"/>
    <w:rsid w:val="0071180F"/>
    <w:rsid w:val="00711E34"/>
    <w:rsid w:val="00712287"/>
    <w:rsid w:val="00712772"/>
    <w:rsid w:val="007128CA"/>
    <w:rsid w:val="00712BD4"/>
    <w:rsid w:val="00712E5C"/>
    <w:rsid w:val="007141E0"/>
    <w:rsid w:val="00714299"/>
    <w:rsid w:val="007148D3"/>
    <w:rsid w:val="00714D87"/>
    <w:rsid w:val="00714F08"/>
    <w:rsid w:val="0071515D"/>
    <w:rsid w:val="00715B93"/>
    <w:rsid w:val="00715B9A"/>
    <w:rsid w:val="00715E82"/>
    <w:rsid w:val="00715FD6"/>
    <w:rsid w:val="007167E4"/>
    <w:rsid w:val="00716C10"/>
    <w:rsid w:val="0071714D"/>
    <w:rsid w:val="007171C4"/>
    <w:rsid w:val="00717260"/>
    <w:rsid w:val="007218DB"/>
    <w:rsid w:val="007229C9"/>
    <w:rsid w:val="007229F9"/>
    <w:rsid w:val="00723EEA"/>
    <w:rsid w:val="00724410"/>
    <w:rsid w:val="00724935"/>
    <w:rsid w:val="00724D2C"/>
    <w:rsid w:val="0072502E"/>
    <w:rsid w:val="007257D0"/>
    <w:rsid w:val="00725B20"/>
    <w:rsid w:val="00725F02"/>
    <w:rsid w:val="00726EA6"/>
    <w:rsid w:val="0072701B"/>
    <w:rsid w:val="00727208"/>
    <w:rsid w:val="00727288"/>
    <w:rsid w:val="007272F1"/>
    <w:rsid w:val="007275BD"/>
    <w:rsid w:val="00727680"/>
    <w:rsid w:val="00727B45"/>
    <w:rsid w:val="0073078C"/>
    <w:rsid w:val="007311B2"/>
    <w:rsid w:val="00731637"/>
    <w:rsid w:val="00732648"/>
    <w:rsid w:val="00732A61"/>
    <w:rsid w:val="00732DC0"/>
    <w:rsid w:val="00733DF6"/>
    <w:rsid w:val="00733FCD"/>
    <w:rsid w:val="007348B1"/>
    <w:rsid w:val="00734FF7"/>
    <w:rsid w:val="0073525D"/>
    <w:rsid w:val="00735A51"/>
    <w:rsid w:val="00735B10"/>
    <w:rsid w:val="007362A6"/>
    <w:rsid w:val="007365E4"/>
    <w:rsid w:val="00736D7D"/>
    <w:rsid w:val="0073715D"/>
    <w:rsid w:val="0073736E"/>
    <w:rsid w:val="007374CD"/>
    <w:rsid w:val="00737C03"/>
    <w:rsid w:val="00740E58"/>
    <w:rsid w:val="0074136F"/>
    <w:rsid w:val="00741AC2"/>
    <w:rsid w:val="00741B72"/>
    <w:rsid w:val="00743140"/>
    <w:rsid w:val="0074390C"/>
    <w:rsid w:val="00743BFF"/>
    <w:rsid w:val="00743FAE"/>
    <w:rsid w:val="00744484"/>
    <w:rsid w:val="007445A0"/>
    <w:rsid w:val="00744B16"/>
    <w:rsid w:val="00744C8C"/>
    <w:rsid w:val="00744DD6"/>
    <w:rsid w:val="00744FE7"/>
    <w:rsid w:val="0074524B"/>
    <w:rsid w:val="0074527F"/>
    <w:rsid w:val="007454BF"/>
    <w:rsid w:val="00745546"/>
    <w:rsid w:val="00745B47"/>
    <w:rsid w:val="00745CFA"/>
    <w:rsid w:val="007465EA"/>
    <w:rsid w:val="00746894"/>
    <w:rsid w:val="00747284"/>
    <w:rsid w:val="00747482"/>
    <w:rsid w:val="007474AC"/>
    <w:rsid w:val="00747647"/>
    <w:rsid w:val="007476C7"/>
    <w:rsid w:val="007476F6"/>
    <w:rsid w:val="00747D8B"/>
    <w:rsid w:val="00747E65"/>
    <w:rsid w:val="007501F2"/>
    <w:rsid w:val="00750B9B"/>
    <w:rsid w:val="00750C70"/>
    <w:rsid w:val="00750DE5"/>
    <w:rsid w:val="00751228"/>
    <w:rsid w:val="0075123C"/>
    <w:rsid w:val="00751836"/>
    <w:rsid w:val="0075186A"/>
    <w:rsid w:val="007519EE"/>
    <w:rsid w:val="00751BEF"/>
    <w:rsid w:val="00752016"/>
    <w:rsid w:val="00752199"/>
    <w:rsid w:val="00752EB7"/>
    <w:rsid w:val="00753AE4"/>
    <w:rsid w:val="00753CEF"/>
    <w:rsid w:val="00753CFE"/>
    <w:rsid w:val="0075420D"/>
    <w:rsid w:val="00754AA3"/>
    <w:rsid w:val="00754CB5"/>
    <w:rsid w:val="007555ED"/>
    <w:rsid w:val="00755C19"/>
    <w:rsid w:val="0075615A"/>
    <w:rsid w:val="007571E1"/>
    <w:rsid w:val="00757843"/>
    <w:rsid w:val="00757B88"/>
    <w:rsid w:val="00757E2F"/>
    <w:rsid w:val="007604B2"/>
    <w:rsid w:val="00760B26"/>
    <w:rsid w:val="0076166B"/>
    <w:rsid w:val="007619EC"/>
    <w:rsid w:val="00761B15"/>
    <w:rsid w:val="00761EA0"/>
    <w:rsid w:val="0076200E"/>
    <w:rsid w:val="0076221D"/>
    <w:rsid w:val="0076233E"/>
    <w:rsid w:val="0076272F"/>
    <w:rsid w:val="00762883"/>
    <w:rsid w:val="00762AFD"/>
    <w:rsid w:val="00763728"/>
    <w:rsid w:val="00763E47"/>
    <w:rsid w:val="00763E51"/>
    <w:rsid w:val="00763E86"/>
    <w:rsid w:val="007646E5"/>
    <w:rsid w:val="00764D11"/>
    <w:rsid w:val="00764DC7"/>
    <w:rsid w:val="00765281"/>
    <w:rsid w:val="007655A3"/>
    <w:rsid w:val="00765A33"/>
    <w:rsid w:val="00766BAD"/>
    <w:rsid w:val="00766E52"/>
    <w:rsid w:val="00767972"/>
    <w:rsid w:val="00767A41"/>
    <w:rsid w:val="00767E23"/>
    <w:rsid w:val="00767FAA"/>
    <w:rsid w:val="00770048"/>
    <w:rsid w:val="00770418"/>
    <w:rsid w:val="007705BE"/>
    <w:rsid w:val="00770A75"/>
    <w:rsid w:val="00770C89"/>
    <w:rsid w:val="00770F94"/>
    <w:rsid w:val="007710CE"/>
    <w:rsid w:val="0077153F"/>
    <w:rsid w:val="0077161C"/>
    <w:rsid w:val="00771774"/>
    <w:rsid w:val="00771B4C"/>
    <w:rsid w:val="0077237A"/>
    <w:rsid w:val="00772473"/>
    <w:rsid w:val="007726C3"/>
    <w:rsid w:val="00772829"/>
    <w:rsid w:val="007729A2"/>
    <w:rsid w:val="007730F6"/>
    <w:rsid w:val="00773986"/>
    <w:rsid w:val="007742FA"/>
    <w:rsid w:val="007749A8"/>
    <w:rsid w:val="00774FB1"/>
    <w:rsid w:val="007755F2"/>
    <w:rsid w:val="00776078"/>
    <w:rsid w:val="0077628D"/>
    <w:rsid w:val="00776971"/>
    <w:rsid w:val="00777E21"/>
    <w:rsid w:val="007805B8"/>
    <w:rsid w:val="007809F3"/>
    <w:rsid w:val="00780A80"/>
    <w:rsid w:val="0078115A"/>
    <w:rsid w:val="00781335"/>
    <w:rsid w:val="00781639"/>
    <w:rsid w:val="0078177E"/>
    <w:rsid w:val="0078181B"/>
    <w:rsid w:val="00781836"/>
    <w:rsid w:val="00781981"/>
    <w:rsid w:val="00781E54"/>
    <w:rsid w:val="00781FFF"/>
    <w:rsid w:val="0078229A"/>
    <w:rsid w:val="0078240A"/>
    <w:rsid w:val="00782E26"/>
    <w:rsid w:val="00782EA7"/>
    <w:rsid w:val="0078304C"/>
    <w:rsid w:val="00783514"/>
    <w:rsid w:val="00783673"/>
    <w:rsid w:val="00783803"/>
    <w:rsid w:val="007841D8"/>
    <w:rsid w:val="00784E47"/>
    <w:rsid w:val="0078531E"/>
    <w:rsid w:val="00785490"/>
    <w:rsid w:val="00785B7E"/>
    <w:rsid w:val="00785C0E"/>
    <w:rsid w:val="00786051"/>
    <w:rsid w:val="007860F3"/>
    <w:rsid w:val="007865A4"/>
    <w:rsid w:val="00787165"/>
    <w:rsid w:val="007901B4"/>
    <w:rsid w:val="00790F6D"/>
    <w:rsid w:val="007913C0"/>
    <w:rsid w:val="0079184A"/>
    <w:rsid w:val="007923B3"/>
    <w:rsid w:val="007925EA"/>
    <w:rsid w:val="00792DDA"/>
    <w:rsid w:val="007938B9"/>
    <w:rsid w:val="00793CD8"/>
    <w:rsid w:val="007941E8"/>
    <w:rsid w:val="00794370"/>
    <w:rsid w:val="007951B7"/>
    <w:rsid w:val="0079562C"/>
    <w:rsid w:val="00795C92"/>
    <w:rsid w:val="00795FAD"/>
    <w:rsid w:val="007961B5"/>
    <w:rsid w:val="00796231"/>
    <w:rsid w:val="00796805"/>
    <w:rsid w:val="00796BFA"/>
    <w:rsid w:val="0079732A"/>
    <w:rsid w:val="00797743"/>
    <w:rsid w:val="00797777"/>
    <w:rsid w:val="00797817"/>
    <w:rsid w:val="00797A24"/>
    <w:rsid w:val="007A015C"/>
    <w:rsid w:val="007A05F0"/>
    <w:rsid w:val="007A1386"/>
    <w:rsid w:val="007A13EB"/>
    <w:rsid w:val="007A19EF"/>
    <w:rsid w:val="007A1A97"/>
    <w:rsid w:val="007A1B70"/>
    <w:rsid w:val="007A1CB3"/>
    <w:rsid w:val="007A1D7D"/>
    <w:rsid w:val="007A2B05"/>
    <w:rsid w:val="007A2EB1"/>
    <w:rsid w:val="007A306F"/>
    <w:rsid w:val="007A3429"/>
    <w:rsid w:val="007A3628"/>
    <w:rsid w:val="007A395F"/>
    <w:rsid w:val="007A402B"/>
    <w:rsid w:val="007A43A6"/>
    <w:rsid w:val="007A4797"/>
    <w:rsid w:val="007A4AA7"/>
    <w:rsid w:val="007A4DBE"/>
    <w:rsid w:val="007A58A6"/>
    <w:rsid w:val="007A5CC1"/>
    <w:rsid w:val="007A5E11"/>
    <w:rsid w:val="007A62AE"/>
    <w:rsid w:val="007A62B7"/>
    <w:rsid w:val="007A64E2"/>
    <w:rsid w:val="007A6CF5"/>
    <w:rsid w:val="007B02CB"/>
    <w:rsid w:val="007B05D6"/>
    <w:rsid w:val="007B1179"/>
    <w:rsid w:val="007B12DA"/>
    <w:rsid w:val="007B1DF4"/>
    <w:rsid w:val="007B326A"/>
    <w:rsid w:val="007B376F"/>
    <w:rsid w:val="007B3777"/>
    <w:rsid w:val="007B3D2D"/>
    <w:rsid w:val="007B4694"/>
    <w:rsid w:val="007B4C6E"/>
    <w:rsid w:val="007B50AE"/>
    <w:rsid w:val="007B51DF"/>
    <w:rsid w:val="007B53DD"/>
    <w:rsid w:val="007B5530"/>
    <w:rsid w:val="007B5748"/>
    <w:rsid w:val="007B5869"/>
    <w:rsid w:val="007B5C32"/>
    <w:rsid w:val="007B5F75"/>
    <w:rsid w:val="007B6457"/>
    <w:rsid w:val="007B6668"/>
    <w:rsid w:val="007B68A7"/>
    <w:rsid w:val="007B6CBB"/>
    <w:rsid w:val="007B7304"/>
    <w:rsid w:val="007B7382"/>
    <w:rsid w:val="007B781F"/>
    <w:rsid w:val="007B7EEF"/>
    <w:rsid w:val="007B7F5A"/>
    <w:rsid w:val="007C0266"/>
    <w:rsid w:val="007C02E6"/>
    <w:rsid w:val="007C05DD"/>
    <w:rsid w:val="007C0C0B"/>
    <w:rsid w:val="007C0E8E"/>
    <w:rsid w:val="007C1839"/>
    <w:rsid w:val="007C1875"/>
    <w:rsid w:val="007C1A5A"/>
    <w:rsid w:val="007C2CC9"/>
    <w:rsid w:val="007C3369"/>
    <w:rsid w:val="007C347E"/>
    <w:rsid w:val="007C3D18"/>
    <w:rsid w:val="007C41F4"/>
    <w:rsid w:val="007C4691"/>
    <w:rsid w:val="007C5959"/>
    <w:rsid w:val="007C60BF"/>
    <w:rsid w:val="007C6177"/>
    <w:rsid w:val="007C63E3"/>
    <w:rsid w:val="007C6558"/>
    <w:rsid w:val="007C6A07"/>
    <w:rsid w:val="007C7189"/>
    <w:rsid w:val="007C71FD"/>
    <w:rsid w:val="007C74F4"/>
    <w:rsid w:val="007C75A1"/>
    <w:rsid w:val="007C7750"/>
    <w:rsid w:val="007C77A5"/>
    <w:rsid w:val="007D0088"/>
    <w:rsid w:val="007D04E5"/>
    <w:rsid w:val="007D06DF"/>
    <w:rsid w:val="007D07BA"/>
    <w:rsid w:val="007D1A03"/>
    <w:rsid w:val="007D1A3A"/>
    <w:rsid w:val="007D2E4D"/>
    <w:rsid w:val="007D31CB"/>
    <w:rsid w:val="007D412E"/>
    <w:rsid w:val="007D4B22"/>
    <w:rsid w:val="007D4EC1"/>
    <w:rsid w:val="007D57BF"/>
    <w:rsid w:val="007D5901"/>
    <w:rsid w:val="007D6045"/>
    <w:rsid w:val="007D6376"/>
    <w:rsid w:val="007D6D4C"/>
    <w:rsid w:val="007D7526"/>
    <w:rsid w:val="007D76D7"/>
    <w:rsid w:val="007D77C4"/>
    <w:rsid w:val="007D7820"/>
    <w:rsid w:val="007D7A14"/>
    <w:rsid w:val="007D7BCD"/>
    <w:rsid w:val="007E01DA"/>
    <w:rsid w:val="007E03A0"/>
    <w:rsid w:val="007E0946"/>
    <w:rsid w:val="007E0C54"/>
    <w:rsid w:val="007E1075"/>
    <w:rsid w:val="007E22F3"/>
    <w:rsid w:val="007E25EF"/>
    <w:rsid w:val="007E2BC7"/>
    <w:rsid w:val="007E352A"/>
    <w:rsid w:val="007E3F7C"/>
    <w:rsid w:val="007E412C"/>
    <w:rsid w:val="007E421E"/>
    <w:rsid w:val="007E4610"/>
    <w:rsid w:val="007E4715"/>
    <w:rsid w:val="007E4945"/>
    <w:rsid w:val="007E505B"/>
    <w:rsid w:val="007E5EB0"/>
    <w:rsid w:val="007E688A"/>
    <w:rsid w:val="007E69A4"/>
    <w:rsid w:val="007E7091"/>
    <w:rsid w:val="007F08CF"/>
    <w:rsid w:val="007F1D10"/>
    <w:rsid w:val="007F2B7C"/>
    <w:rsid w:val="007F2C31"/>
    <w:rsid w:val="007F2DE1"/>
    <w:rsid w:val="007F2E86"/>
    <w:rsid w:val="007F3D9C"/>
    <w:rsid w:val="007F4A63"/>
    <w:rsid w:val="007F4B9B"/>
    <w:rsid w:val="007F4D47"/>
    <w:rsid w:val="007F4FA6"/>
    <w:rsid w:val="007F5CCC"/>
    <w:rsid w:val="007F6300"/>
    <w:rsid w:val="007F654F"/>
    <w:rsid w:val="007F665B"/>
    <w:rsid w:val="007F6B7E"/>
    <w:rsid w:val="007F793A"/>
    <w:rsid w:val="00800464"/>
    <w:rsid w:val="00800747"/>
    <w:rsid w:val="00801A75"/>
    <w:rsid w:val="00801AA6"/>
    <w:rsid w:val="00802014"/>
    <w:rsid w:val="008027C6"/>
    <w:rsid w:val="0080287A"/>
    <w:rsid w:val="00802B53"/>
    <w:rsid w:val="00802DC4"/>
    <w:rsid w:val="0080370E"/>
    <w:rsid w:val="0080390C"/>
    <w:rsid w:val="0080392C"/>
    <w:rsid w:val="00803C2C"/>
    <w:rsid w:val="00803FAE"/>
    <w:rsid w:val="00804546"/>
    <w:rsid w:val="0080551D"/>
    <w:rsid w:val="00805A16"/>
    <w:rsid w:val="00805A61"/>
    <w:rsid w:val="0080605F"/>
    <w:rsid w:val="00806A2A"/>
    <w:rsid w:val="00806A8E"/>
    <w:rsid w:val="00806C0F"/>
    <w:rsid w:val="00806CCD"/>
    <w:rsid w:val="0080761E"/>
    <w:rsid w:val="00807786"/>
    <w:rsid w:val="0081050A"/>
    <w:rsid w:val="008109EC"/>
    <w:rsid w:val="00810A0E"/>
    <w:rsid w:val="008113E8"/>
    <w:rsid w:val="00811809"/>
    <w:rsid w:val="008118EA"/>
    <w:rsid w:val="00811CD7"/>
    <w:rsid w:val="00811DBA"/>
    <w:rsid w:val="00811FCB"/>
    <w:rsid w:val="008122B9"/>
    <w:rsid w:val="00812518"/>
    <w:rsid w:val="0081279C"/>
    <w:rsid w:val="008128BD"/>
    <w:rsid w:val="00813269"/>
    <w:rsid w:val="00814283"/>
    <w:rsid w:val="00814645"/>
    <w:rsid w:val="0081481C"/>
    <w:rsid w:val="00814DA2"/>
    <w:rsid w:val="0081527F"/>
    <w:rsid w:val="008158D5"/>
    <w:rsid w:val="008158D6"/>
    <w:rsid w:val="00815B5D"/>
    <w:rsid w:val="00815CA7"/>
    <w:rsid w:val="00816B70"/>
    <w:rsid w:val="00817196"/>
    <w:rsid w:val="0081757A"/>
    <w:rsid w:val="008204A0"/>
    <w:rsid w:val="008208E1"/>
    <w:rsid w:val="008212A7"/>
    <w:rsid w:val="00821F6D"/>
    <w:rsid w:val="00822BA2"/>
    <w:rsid w:val="00822EC0"/>
    <w:rsid w:val="008230B2"/>
    <w:rsid w:val="00823472"/>
    <w:rsid w:val="008235DB"/>
    <w:rsid w:val="008237B0"/>
    <w:rsid w:val="00823897"/>
    <w:rsid w:val="008242B5"/>
    <w:rsid w:val="00824AB4"/>
    <w:rsid w:val="00825C42"/>
    <w:rsid w:val="00825D25"/>
    <w:rsid w:val="00826356"/>
    <w:rsid w:val="00826AA9"/>
    <w:rsid w:val="00827142"/>
    <w:rsid w:val="00827325"/>
    <w:rsid w:val="008276AC"/>
    <w:rsid w:val="00827724"/>
    <w:rsid w:val="0082787A"/>
    <w:rsid w:val="00827B8B"/>
    <w:rsid w:val="00827D6F"/>
    <w:rsid w:val="0083075F"/>
    <w:rsid w:val="008307AF"/>
    <w:rsid w:val="0083116B"/>
    <w:rsid w:val="00831199"/>
    <w:rsid w:val="008312D8"/>
    <w:rsid w:val="0083155D"/>
    <w:rsid w:val="00831A98"/>
    <w:rsid w:val="00831DA2"/>
    <w:rsid w:val="00832129"/>
    <w:rsid w:val="00832148"/>
    <w:rsid w:val="008324A1"/>
    <w:rsid w:val="00832653"/>
    <w:rsid w:val="00833219"/>
    <w:rsid w:val="008336E8"/>
    <w:rsid w:val="00835923"/>
    <w:rsid w:val="008359D5"/>
    <w:rsid w:val="00835F53"/>
    <w:rsid w:val="00836BD8"/>
    <w:rsid w:val="008376AC"/>
    <w:rsid w:val="0083789F"/>
    <w:rsid w:val="008378D2"/>
    <w:rsid w:val="00837CDB"/>
    <w:rsid w:val="00837CF4"/>
    <w:rsid w:val="00840599"/>
    <w:rsid w:val="00840647"/>
    <w:rsid w:val="0084086C"/>
    <w:rsid w:val="00841093"/>
    <w:rsid w:val="00841541"/>
    <w:rsid w:val="0084197B"/>
    <w:rsid w:val="00842BCA"/>
    <w:rsid w:val="00842FFC"/>
    <w:rsid w:val="00843099"/>
    <w:rsid w:val="008434E1"/>
    <w:rsid w:val="008444E8"/>
    <w:rsid w:val="00844521"/>
    <w:rsid w:val="00844D25"/>
    <w:rsid w:val="00844D4B"/>
    <w:rsid w:val="00844E80"/>
    <w:rsid w:val="008453B3"/>
    <w:rsid w:val="008455A9"/>
    <w:rsid w:val="0084621E"/>
    <w:rsid w:val="0084656A"/>
    <w:rsid w:val="0084699C"/>
    <w:rsid w:val="00846CDE"/>
    <w:rsid w:val="00846FE7"/>
    <w:rsid w:val="0084726E"/>
    <w:rsid w:val="00847745"/>
    <w:rsid w:val="008503F0"/>
    <w:rsid w:val="0085046C"/>
    <w:rsid w:val="0085099B"/>
    <w:rsid w:val="00850CD3"/>
    <w:rsid w:val="00851DCF"/>
    <w:rsid w:val="00852336"/>
    <w:rsid w:val="00852862"/>
    <w:rsid w:val="00852C2F"/>
    <w:rsid w:val="0085384C"/>
    <w:rsid w:val="00853EA3"/>
    <w:rsid w:val="008540F7"/>
    <w:rsid w:val="008554D4"/>
    <w:rsid w:val="0085583C"/>
    <w:rsid w:val="00856877"/>
    <w:rsid w:val="00856911"/>
    <w:rsid w:val="008575BF"/>
    <w:rsid w:val="00857664"/>
    <w:rsid w:val="00860009"/>
    <w:rsid w:val="008601A1"/>
    <w:rsid w:val="0086080B"/>
    <w:rsid w:val="00860B55"/>
    <w:rsid w:val="008616EB"/>
    <w:rsid w:val="00861994"/>
    <w:rsid w:val="00861D3D"/>
    <w:rsid w:val="00861E50"/>
    <w:rsid w:val="008620BF"/>
    <w:rsid w:val="00862487"/>
    <w:rsid w:val="008624D6"/>
    <w:rsid w:val="008627B2"/>
    <w:rsid w:val="00862B31"/>
    <w:rsid w:val="00863330"/>
    <w:rsid w:val="0086336C"/>
    <w:rsid w:val="0086411C"/>
    <w:rsid w:val="008641D8"/>
    <w:rsid w:val="00864523"/>
    <w:rsid w:val="008646BA"/>
    <w:rsid w:val="0086470B"/>
    <w:rsid w:val="0086477F"/>
    <w:rsid w:val="008657B6"/>
    <w:rsid w:val="00865C51"/>
    <w:rsid w:val="00865CFF"/>
    <w:rsid w:val="00865F2A"/>
    <w:rsid w:val="00866B40"/>
    <w:rsid w:val="00866FC8"/>
    <w:rsid w:val="008675CD"/>
    <w:rsid w:val="008677FD"/>
    <w:rsid w:val="0086790C"/>
    <w:rsid w:val="00867BDF"/>
    <w:rsid w:val="00867C5A"/>
    <w:rsid w:val="008701ED"/>
    <w:rsid w:val="008704AB"/>
    <w:rsid w:val="008706D4"/>
    <w:rsid w:val="008709A9"/>
    <w:rsid w:val="00870B0E"/>
    <w:rsid w:val="00870F8A"/>
    <w:rsid w:val="0087104B"/>
    <w:rsid w:val="008719A0"/>
    <w:rsid w:val="008719A4"/>
    <w:rsid w:val="00871D23"/>
    <w:rsid w:val="00872DB2"/>
    <w:rsid w:val="00872FAA"/>
    <w:rsid w:val="0087310D"/>
    <w:rsid w:val="008731FE"/>
    <w:rsid w:val="00873304"/>
    <w:rsid w:val="0087347D"/>
    <w:rsid w:val="00873CCD"/>
    <w:rsid w:val="00873EC4"/>
    <w:rsid w:val="00874312"/>
    <w:rsid w:val="0087437C"/>
    <w:rsid w:val="00874ACE"/>
    <w:rsid w:val="008754CD"/>
    <w:rsid w:val="00875CD7"/>
    <w:rsid w:val="00875EF9"/>
    <w:rsid w:val="00875FFA"/>
    <w:rsid w:val="00876B3E"/>
    <w:rsid w:val="00876B4D"/>
    <w:rsid w:val="00876BE1"/>
    <w:rsid w:val="0087779B"/>
    <w:rsid w:val="00877E0C"/>
    <w:rsid w:val="00877F18"/>
    <w:rsid w:val="00880AD1"/>
    <w:rsid w:val="008810FF"/>
    <w:rsid w:val="00881840"/>
    <w:rsid w:val="00881E90"/>
    <w:rsid w:val="00882F3E"/>
    <w:rsid w:val="00883062"/>
    <w:rsid w:val="00883C12"/>
    <w:rsid w:val="00883EC5"/>
    <w:rsid w:val="0088498E"/>
    <w:rsid w:val="00884C56"/>
    <w:rsid w:val="00884F11"/>
    <w:rsid w:val="008852B9"/>
    <w:rsid w:val="00885500"/>
    <w:rsid w:val="00885A22"/>
    <w:rsid w:val="00885B79"/>
    <w:rsid w:val="008861C3"/>
    <w:rsid w:val="00886213"/>
    <w:rsid w:val="0088650F"/>
    <w:rsid w:val="00886D0F"/>
    <w:rsid w:val="00886E55"/>
    <w:rsid w:val="00886EC2"/>
    <w:rsid w:val="0088725F"/>
    <w:rsid w:val="00887874"/>
    <w:rsid w:val="008878F4"/>
    <w:rsid w:val="00887BC2"/>
    <w:rsid w:val="008900FF"/>
    <w:rsid w:val="008902D0"/>
    <w:rsid w:val="008904B4"/>
    <w:rsid w:val="008904C8"/>
    <w:rsid w:val="00890657"/>
    <w:rsid w:val="00890969"/>
    <w:rsid w:val="00890B6A"/>
    <w:rsid w:val="00890FB2"/>
    <w:rsid w:val="0089106F"/>
    <w:rsid w:val="0089192D"/>
    <w:rsid w:val="00891978"/>
    <w:rsid w:val="00891AAD"/>
    <w:rsid w:val="00891E55"/>
    <w:rsid w:val="008932A3"/>
    <w:rsid w:val="00893654"/>
    <w:rsid w:val="00893BBD"/>
    <w:rsid w:val="008940AB"/>
    <w:rsid w:val="008941E3"/>
    <w:rsid w:val="0089473F"/>
    <w:rsid w:val="00894A88"/>
    <w:rsid w:val="00894C1A"/>
    <w:rsid w:val="00895023"/>
    <w:rsid w:val="008951EB"/>
    <w:rsid w:val="00895386"/>
    <w:rsid w:val="00895928"/>
    <w:rsid w:val="00895939"/>
    <w:rsid w:val="00895B97"/>
    <w:rsid w:val="00896C8D"/>
    <w:rsid w:val="0089742A"/>
    <w:rsid w:val="008975C7"/>
    <w:rsid w:val="00897690"/>
    <w:rsid w:val="00897BCC"/>
    <w:rsid w:val="00897C4E"/>
    <w:rsid w:val="008A06D6"/>
    <w:rsid w:val="008A0ED2"/>
    <w:rsid w:val="008A13E2"/>
    <w:rsid w:val="008A166D"/>
    <w:rsid w:val="008A21FF"/>
    <w:rsid w:val="008A27A4"/>
    <w:rsid w:val="008A2CE2"/>
    <w:rsid w:val="008A30AC"/>
    <w:rsid w:val="008A44B8"/>
    <w:rsid w:val="008A48F1"/>
    <w:rsid w:val="008A51A8"/>
    <w:rsid w:val="008A51AD"/>
    <w:rsid w:val="008A54C7"/>
    <w:rsid w:val="008A550B"/>
    <w:rsid w:val="008A56F6"/>
    <w:rsid w:val="008A693C"/>
    <w:rsid w:val="008A6A49"/>
    <w:rsid w:val="008A6C71"/>
    <w:rsid w:val="008A6E9C"/>
    <w:rsid w:val="008A71FC"/>
    <w:rsid w:val="008A77D8"/>
    <w:rsid w:val="008A7C26"/>
    <w:rsid w:val="008B0432"/>
    <w:rsid w:val="008B0483"/>
    <w:rsid w:val="008B0BB1"/>
    <w:rsid w:val="008B0EC7"/>
    <w:rsid w:val="008B120C"/>
    <w:rsid w:val="008B13C5"/>
    <w:rsid w:val="008B1523"/>
    <w:rsid w:val="008B194A"/>
    <w:rsid w:val="008B2068"/>
    <w:rsid w:val="008B2604"/>
    <w:rsid w:val="008B28CE"/>
    <w:rsid w:val="008B2972"/>
    <w:rsid w:val="008B2A89"/>
    <w:rsid w:val="008B376B"/>
    <w:rsid w:val="008B377B"/>
    <w:rsid w:val="008B37E1"/>
    <w:rsid w:val="008B39B2"/>
    <w:rsid w:val="008B4262"/>
    <w:rsid w:val="008B44BB"/>
    <w:rsid w:val="008B45D4"/>
    <w:rsid w:val="008B51A0"/>
    <w:rsid w:val="008B52B0"/>
    <w:rsid w:val="008B58FB"/>
    <w:rsid w:val="008B592A"/>
    <w:rsid w:val="008B59A5"/>
    <w:rsid w:val="008B5E80"/>
    <w:rsid w:val="008B61FE"/>
    <w:rsid w:val="008B6487"/>
    <w:rsid w:val="008B6EED"/>
    <w:rsid w:val="008B74F0"/>
    <w:rsid w:val="008B76FA"/>
    <w:rsid w:val="008B7B5C"/>
    <w:rsid w:val="008C046E"/>
    <w:rsid w:val="008C0C99"/>
    <w:rsid w:val="008C0EE4"/>
    <w:rsid w:val="008C1A45"/>
    <w:rsid w:val="008C1CD5"/>
    <w:rsid w:val="008C1D03"/>
    <w:rsid w:val="008C1E30"/>
    <w:rsid w:val="008C2017"/>
    <w:rsid w:val="008C218C"/>
    <w:rsid w:val="008C234A"/>
    <w:rsid w:val="008C24F4"/>
    <w:rsid w:val="008C2A19"/>
    <w:rsid w:val="008C3B5E"/>
    <w:rsid w:val="008C46B5"/>
    <w:rsid w:val="008C4958"/>
    <w:rsid w:val="008C4BAA"/>
    <w:rsid w:val="008C50BB"/>
    <w:rsid w:val="008C563D"/>
    <w:rsid w:val="008C6AE8"/>
    <w:rsid w:val="008C7406"/>
    <w:rsid w:val="008C7573"/>
    <w:rsid w:val="008C75B4"/>
    <w:rsid w:val="008C7D1D"/>
    <w:rsid w:val="008D00A5"/>
    <w:rsid w:val="008D020B"/>
    <w:rsid w:val="008D02AB"/>
    <w:rsid w:val="008D0693"/>
    <w:rsid w:val="008D0760"/>
    <w:rsid w:val="008D0914"/>
    <w:rsid w:val="008D0E83"/>
    <w:rsid w:val="008D14F4"/>
    <w:rsid w:val="008D1B49"/>
    <w:rsid w:val="008D1C3E"/>
    <w:rsid w:val="008D2537"/>
    <w:rsid w:val="008D29C7"/>
    <w:rsid w:val="008D30C7"/>
    <w:rsid w:val="008D33AC"/>
    <w:rsid w:val="008D34F1"/>
    <w:rsid w:val="008D35EB"/>
    <w:rsid w:val="008D3931"/>
    <w:rsid w:val="008D39D8"/>
    <w:rsid w:val="008D3CFF"/>
    <w:rsid w:val="008D3EE8"/>
    <w:rsid w:val="008D400F"/>
    <w:rsid w:val="008D4427"/>
    <w:rsid w:val="008D4443"/>
    <w:rsid w:val="008D47A4"/>
    <w:rsid w:val="008D5935"/>
    <w:rsid w:val="008D5BC3"/>
    <w:rsid w:val="008D5ED6"/>
    <w:rsid w:val="008D6D1A"/>
    <w:rsid w:val="008D75DF"/>
    <w:rsid w:val="008D7E4B"/>
    <w:rsid w:val="008E065E"/>
    <w:rsid w:val="008E0927"/>
    <w:rsid w:val="008E1909"/>
    <w:rsid w:val="008E1CED"/>
    <w:rsid w:val="008E2821"/>
    <w:rsid w:val="008E2B76"/>
    <w:rsid w:val="008E2E1C"/>
    <w:rsid w:val="008E35A3"/>
    <w:rsid w:val="008E4008"/>
    <w:rsid w:val="008E4B90"/>
    <w:rsid w:val="008E50E4"/>
    <w:rsid w:val="008E5D92"/>
    <w:rsid w:val="008E6891"/>
    <w:rsid w:val="008E6BAA"/>
    <w:rsid w:val="008E6DF5"/>
    <w:rsid w:val="008E7001"/>
    <w:rsid w:val="008E7050"/>
    <w:rsid w:val="008F01A6"/>
    <w:rsid w:val="008F07E5"/>
    <w:rsid w:val="008F1C0C"/>
    <w:rsid w:val="008F1C4E"/>
    <w:rsid w:val="008F1EAB"/>
    <w:rsid w:val="008F220A"/>
    <w:rsid w:val="008F244C"/>
    <w:rsid w:val="008F2951"/>
    <w:rsid w:val="008F312C"/>
    <w:rsid w:val="008F33DC"/>
    <w:rsid w:val="008F3577"/>
    <w:rsid w:val="008F40E2"/>
    <w:rsid w:val="008F4166"/>
    <w:rsid w:val="008F4340"/>
    <w:rsid w:val="008F44BA"/>
    <w:rsid w:val="008F477F"/>
    <w:rsid w:val="008F4CF1"/>
    <w:rsid w:val="008F4DEE"/>
    <w:rsid w:val="008F5608"/>
    <w:rsid w:val="008F68A5"/>
    <w:rsid w:val="008F6F45"/>
    <w:rsid w:val="008F7013"/>
    <w:rsid w:val="008F7B83"/>
    <w:rsid w:val="00900D3F"/>
    <w:rsid w:val="00901215"/>
    <w:rsid w:val="0090133E"/>
    <w:rsid w:val="0090192C"/>
    <w:rsid w:val="00901E6B"/>
    <w:rsid w:val="00902081"/>
    <w:rsid w:val="00902350"/>
    <w:rsid w:val="0090239D"/>
    <w:rsid w:val="009023A5"/>
    <w:rsid w:val="009027A0"/>
    <w:rsid w:val="00902979"/>
    <w:rsid w:val="00902AA9"/>
    <w:rsid w:val="00902E66"/>
    <w:rsid w:val="0090336B"/>
    <w:rsid w:val="0090397C"/>
    <w:rsid w:val="00904A2C"/>
    <w:rsid w:val="00904FC1"/>
    <w:rsid w:val="0090514E"/>
    <w:rsid w:val="009053AA"/>
    <w:rsid w:val="00905A74"/>
    <w:rsid w:val="00906939"/>
    <w:rsid w:val="00906E3B"/>
    <w:rsid w:val="009070D1"/>
    <w:rsid w:val="00907215"/>
    <w:rsid w:val="009072BD"/>
    <w:rsid w:val="00907546"/>
    <w:rsid w:val="00907776"/>
    <w:rsid w:val="0090782F"/>
    <w:rsid w:val="00910330"/>
    <w:rsid w:val="00910B7D"/>
    <w:rsid w:val="0091165E"/>
    <w:rsid w:val="00911DFB"/>
    <w:rsid w:val="00912178"/>
    <w:rsid w:val="009126AF"/>
    <w:rsid w:val="00913114"/>
    <w:rsid w:val="009131C5"/>
    <w:rsid w:val="009131FF"/>
    <w:rsid w:val="0091322C"/>
    <w:rsid w:val="00913638"/>
    <w:rsid w:val="009139D9"/>
    <w:rsid w:val="00913FC0"/>
    <w:rsid w:val="00914587"/>
    <w:rsid w:val="0091497A"/>
    <w:rsid w:val="00914AD8"/>
    <w:rsid w:val="00914BBC"/>
    <w:rsid w:val="00914EDC"/>
    <w:rsid w:val="00915512"/>
    <w:rsid w:val="00916079"/>
    <w:rsid w:val="0091686D"/>
    <w:rsid w:val="0091706B"/>
    <w:rsid w:val="009172CE"/>
    <w:rsid w:val="00917323"/>
    <w:rsid w:val="00917CE9"/>
    <w:rsid w:val="00920041"/>
    <w:rsid w:val="009200CA"/>
    <w:rsid w:val="00920143"/>
    <w:rsid w:val="009201E9"/>
    <w:rsid w:val="009203AE"/>
    <w:rsid w:val="009208C0"/>
    <w:rsid w:val="009209C0"/>
    <w:rsid w:val="00920BF2"/>
    <w:rsid w:val="009211A6"/>
    <w:rsid w:val="00921721"/>
    <w:rsid w:val="00922010"/>
    <w:rsid w:val="0092202B"/>
    <w:rsid w:val="00922671"/>
    <w:rsid w:val="00922898"/>
    <w:rsid w:val="009228E1"/>
    <w:rsid w:val="009229FB"/>
    <w:rsid w:val="00922A8A"/>
    <w:rsid w:val="00923049"/>
    <w:rsid w:val="0092310C"/>
    <w:rsid w:val="00923CF5"/>
    <w:rsid w:val="0092413D"/>
    <w:rsid w:val="0092434B"/>
    <w:rsid w:val="00925006"/>
    <w:rsid w:val="00925429"/>
    <w:rsid w:val="00925C39"/>
    <w:rsid w:val="00925D3B"/>
    <w:rsid w:val="00925F68"/>
    <w:rsid w:val="009266A8"/>
    <w:rsid w:val="0092679B"/>
    <w:rsid w:val="00926BB7"/>
    <w:rsid w:val="00926F07"/>
    <w:rsid w:val="00926F8A"/>
    <w:rsid w:val="00927AA6"/>
    <w:rsid w:val="00927C18"/>
    <w:rsid w:val="00927C58"/>
    <w:rsid w:val="00927E84"/>
    <w:rsid w:val="00930221"/>
    <w:rsid w:val="00930340"/>
    <w:rsid w:val="0093062E"/>
    <w:rsid w:val="009311DC"/>
    <w:rsid w:val="00931510"/>
    <w:rsid w:val="00931B0F"/>
    <w:rsid w:val="00931B3A"/>
    <w:rsid w:val="00931BD9"/>
    <w:rsid w:val="00931D65"/>
    <w:rsid w:val="00931F11"/>
    <w:rsid w:val="00931FC7"/>
    <w:rsid w:val="009324C4"/>
    <w:rsid w:val="00932D2D"/>
    <w:rsid w:val="00932DF8"/>
    <w:rsid w:val="00933A29"/>
    <w:rsid w:val="00934334"/>
    <w:rsid w:val="00934365"/>
    <w:rsid w:val="00934839"/>
    <w:rsid w:val="00934869"/>
    <w:rsid w:val="0093502C"/>
    <w:rsid w:val="00935133"/>
    <w:rsid w:val="009353A5"/>
    <w:rsid w:val="00935577"/>
    <w:rsid w:val="009355C2"/>
    <w:rsid w:val="00935797"/>
    <w:rsid w:val="00936759"/>
    <w:rsid w:val="009368F3"/>
    <w:rsid w:val="00940D0A"/>
    <w:rsid w:val="0094145B"/>
    <w:rsid w:val="009415DE"/>
    <w:rsid w:val="00941636"/>
    <w:rsid w:val="00941CFE"/>
    <w:rsid w:val="00942066"/>
    <w:rsid w:val="009429C0"/>
    <w:rsid w:val="00942BB7"/>
    <w:rsid w:val="00943074"/>
    <w:rsid w:val="00943568"/>
    <w:rsid w:val="00943742"/>
    <w:rsid w:val="00944CDF"/>
    <w:rsid w:val="00944E13"/>
    <w:rsid w:val="00945147"/>
    <w:rsid w:val="00945556"/>
    <w:rsid w:val="00945AD6"/>
    <w:rsid w:val="00945C05"/>
    <w:rsid w:val="009468FF"/>
    <w:rsid w:val="00946945"/>
    <w:rsid w:val="009471BC"/>
    <w:rsid w:val="0094722D"/>
    <w:rsid w:val="0094740A"/>
    <w:rsid w:val="00947713"/>
    <w:rsid w:val="00947F1E"/>
    <w:rsid w:val="0095012A"/>
    <w:rsid w:val="00950C5E"/>
    <w:rsid w:val="00950DE7"/>
    <w:rsid w:val="00950E0F"/>
    <w:rsid w:val="00951B1F"/>
    <w:rsid w:val="0095271D"/>
    <w:rsid w:val="0095306B"/>
    <w:rsid w:val="00953523"/>
    <w:rsid w:val="009538F5"/>
    <w:rsid w:val="00953920"/>
    <w:rsid w:val="00953D47"/>
    <w:rsid w:val="00953ED3"/>
    <w:rsid w:val="00954AB3"/>
    <w:rsid w:val="00955ED4"/>
    <w:rsid w:val="0095681E"/>
    <w:rsid w:val="00957024"/>
    <w:rsid w:val="009572D4"/>
    <w:rsid w:val="00957C4E"/>
    <w:rsid w:val="00957C99"/>
    <w:rsid w:val="00957CC0"/>
    <w:rsid w:val="00960A1F"/>
    <w:rsid w:val="00960C4D"/>
    <w:rsid w:val="0096138E"/>
    <w:rsid w:val="00961921"/>
    <w:rsid w:val="00961B0A"/>
    <w:rsid w:val="0096201B"/>
    <w:rsid w:val="009620D3"/>
    <w:rsid w:val="00962905"/>
    <w:rsid w:val="009639B4"/>
    <w:rsid w:val="009640DA"/>
    <w:rsid w:val="009642ED"/>
    <w:rsid w:val="0096430A"/>
    <w:rsid w:val="00964611"/>
    <w:rsid w:val="00965173"/>
    <w:rsid w:val="009651C1"/>
    <w:rsid w:val="0096554B"/>
    <w:rsid w:val="0096584A"/>
    <w:rsid w:val="00965B6C"/>
    <w:rsid w:val="009660F3"/>
    <w:rsid w:val="009664BF"/>
    <w:rsid w:val="0096652E"/>
    <w:rsid w:val="00966AE3"/>
    <w:rsid w:val="009670E7"/>
    <w:rsid w:val="00967899"/>
    <w:rsid w:val="00967A70"/>
    <w:rsid w:val="00967FE4"/>
    <w:rsid w:val="00970051"/>
    <w:rsid w:val="009704DA"/>
    <w:rsid w:val="0097054C"/>
    <w:rsid w:val="0097054D"/>
    <w:rsid w:val="009708A3"/>
    <w:rsid w:val="00970BFB"/>
    <w:rsid w:val="00970F1D"/>
    <w:rsid w:val="00971064"/>
    <w:rsid w:val="00971D73"/>
    <w:rsid w:val="00971F08"/>
    <w:rsid w:val="00972CA5"/>
    <w:rsid w:val="0097439B"/>
    <w:rsid w:val="00974D7E"/>
    <w:rsid w:val="0097513C"/>
    <w:rsid w:val="009753D2"/>
    <w:rsid w:val="00975666"/>
    <w:rsid w:val="009756D3"/>
    <w:rsid w:val="00975CC3"/>
    <w:rsid w:val="0097603D"/>
    <w:rsid w:val="009761A6"/>
    <w:rsid w:val="00976492"/>
    <w:rsid w:val="00976949"/>
    <w:rsid w:val="00976DFA"/>
    <w:rsid w:val="00977069"/>
    <w:rsid w:val="00977F53"/>
    <w:rsid w:val="009800E8"/>
    <w:rsid w:val="00980477"/>
    <w:rsid w:val="009806E8"/>
    <w:rsid w:val="00980B16"/>
    <w:rsid w:val="00980B60"/>
    <w:rsid w:val="00980DC4"/>
    <w:rsid w:val="00981BC4"/>
    <w:rsid w:val="009827B9"/>
    <w:rsid w:val="0098286C"/>
    <w:rsid w:val="00982A71"/>
    <w:rsid w:val="00982F06"/>
    <w:rsid w:val="0098433C"/>
    <w:rsid w:val="00984A96"/>
    <w:rsid w:val="00985253"/>
    <w:rsid w:val="009853B3"/>
    <w:rsid w:val="00985445"/>
    <w:rsid w:val="0098546A"/>
    <w:rsid w:val="00985722"/>
    <w:rsid w:val="0098581F"/>
    <w:rsid w:val="00985A64"/>
    <w:rsid w:val="00985CB1"/>
    <w:rsid w:val="0098604F"/>
    <w:rsid w:val="00986B35"/>
    <w:rsid w:val="00987053"/>
    <w:rsid w:val="0098721D"/>
    <w:rsid w:val="00987CE6"/>
    <w:rsid w:val="00990119"/>
    <w:rsid w:val="009904ED"/>
    <w:rsid w:val="00990630"/>
    <w:rsid w:val="009907D3"/>
    <w:rsid w:val="00990E97"/>
    <w:rsid w:val="00990FD9"/>
    <w:rsid w:val="009911E7"/>
    <w:rsid w:val="00991761"/>
    <w:rsid w:val="0099186E"/>
    <w:rsid w:val="009919CA"/>
    <w:rsid w:val="00992281"/>
    <w:rsid w:val="00992E1C"/>
    <w:rsid w:val="0099454B"/>
    <w:rsid w:val="00994B6D"/>
    <w:rsid w:val="00994DCA"/>
    <w:rsid w:val="00994FF3"/>
    <w:rsid w:val="00995089"/>
    <w:rsid w:val="0099547B"/>
    <w:rsid w:val="00995515"/>
    <w:rsid w:val="00995A7A"/>
    <w:rsid w:val="009960EC"/>
    <w:rsid w:val="00996D68"/>
    <w:rsid w:val="009970DD"/>
    <w:rsid w:val="0099719A"/>
    <w:rsid w:val="00997245"/>
    <w:rsid w:val="009A0141"/>
    <w:rsid w:val="009A0E70"/>
    <w:rsid w:val="009A0FBA"/>
    <w:rsid w:val="009A14F8"/>
    <w:rsid w:val="009A1601"/>
    <w:rsid w:val="009A197A"/>
    <w:rsid w:val="009A1CA4"/>
    <w:rsid w:val="009A1ED4"/>
    <w:rsid w:val="009A2C07"/>
    <w:rsid w:val="009A3016"/>
    <w:rsid w:val="009A3BB6"/>
    <w:rsid w:val="009A462D"/>
    <w:rsid w:val="009A4A6C"/>
    <w:rsid w:val="009A50FE"/>
    <w:rsid w:val="009A5A1C"/>
    <w:rsid w:val="009A5CBA"/>
    <w:rsid w:val="009A64A4"/>
    <w:rsid w:val="009A64D0"/>
    <w:rsid w:val="009A6F2F"/>
    <w:rsid w:val="009A7640"/>
    <w:rsid w:val="009A7AD5"/>
    <w:rsid w:val="009A7AE7"/>
    <w:rsid w:val="009A7E6D"/>
    <w:rsid w:val="009B01D0"/>
    <w:rsid w:val="009B0309"/>
    <w:rsid w:val="009B1D3F"/>
    <w:rsid w:val="009B1F30"/>
    <w:rsid w:val="009B2537"/>
    <w:rsid w:val="009B26CA"/>
    <w:rsid w:val="009B274A"/>
    <w:rsid w:val="009B365B"/>
    <w:rsid w:val="009B38F4"/>
    <w:rsid w:val="009B3AC2"/>
    <w:rsid w:val="009B406E"/>
    <w:rsid w:val="009B46D9"/>
    <w:rsid w:val="009B477D"/>
    <w:rsid w:val="009B480F"/>
    <w:rsid w:val="009B48CF"/>
    <w:rsid w:val="009B4D3E"/>
    <w:rsid w:val="009B4DF4"/>
    <w:rsid w:val="009B5475"/>
    <w:rsid w:val="009B564E"/>
    <w:rsid w:val="009B5ECE"/>
    <w:rsid w:val="009B62D9"/>
    <w:rsid w:val="009B6365"/>
    <w:rsid w:val="009B754C"/>
    <w:rsid w:val="009B79C0"/>
    <w:rsid w:val="009B7E87"/>
    <w:rsid w:val="009C0169"/>
    <w:rsid w:val="009C0179"/>
    <w:rsid w:val="009C089C"/>
    <w:rsid w:val="009C10BF"/>
    <w:rsid w:val="009C1679"/>
    <w:rsid w:val="009C1A52"/>
    <w:rsid w:val="009C2037"/>
    <w:rsid w:val="009C241D"/>
    <w:rsid w:val="009C251B"/>
    <w:rsid w:val="009C27DD"/>
    <w:rsid w:val="009C2927"/>
    <w:rsid w:val="009C2C93"/>
    <w:rsid w:val="009C36FA"/>
    <w:rsid w:val="009C403E"/>
    <w:rsid w:val="009C5177"/>
    <w:rsid w:val="009C521D"/>
    <w:rsid w:val="009C5509"/>
    <w:rsid w:val="009C5E79"/>
    <w:rsid w:val="009C605A"/>
    <w:rsid w:val="009C6D3C"/>
    <w:rsid w:val="009C6DEA"/>
    <w:rsid w:val="009C770F"/>
    <w:rsid w:val="009C781A"/>
    <w:rsid w:val="009D037C"/>
    <w:rsid w:val="009D05C2"/>
    <w:rsid w:val="009D05DA"/>
    <w:rsid w:val="009D1513"/>
    <w:rsid w:val="009D2A46"/>
    <w:rsid w:val="009D4919"/>
    <w:rsid w:val="009D4929"/>
    <w:rsid w:val="009D4FF0"/>
    <w:rsid w:val="009D5F00"/>
    <w:rsid w:val="009D5FBA"/>
    <w:rsid w:val="009D6A63"/>
    <w:rsid w:val="009D6B67"/>
    <w:rsid w:val="009D703C"/>
    <w:rsid w:val="009D718F"/>
    <w:rsid w:val="009D7AB8"/>
    <w:rsid w:val="009E0662"/>
    <w:rsid w:val="009E068F"/>
    <w:rsid w:val="009E0FE9"/>
    <w:rsid w:val="009E1261"/>
    <w:rsid w:val="009E14E0"/>
    <w:rsid w:val="009E1690"/>
    <w:rsid w:val="009E1792"/>
    <w:rsid w:val="009E1D55"/>
    <w:rsid w:val="009E2491"/>
    <w:rsid w:val="009E2563"/>
    <w:rsid w:val="009E2BB7"/>
    <w:rsid w:val="009E35DB"/>
    <w:rsid w:val="009E360E"/>
    <w:rsid w:val="009E3830"/>
    <w:rsid w:val="009E3B46"/>
    <w:rsid w:val="009E40BC"/>
    <w:rsid w:val="009E43A2"/>
    <w:rsid w:val="009E47A3"/>
    <w:rsid w:val="009E489F"/>
    <w:rsid w:val="009E519C"/>
    <w:rsid w:val="009E5990"/>
    <w:rsid w:val="009E5ACA"/>
    <w:rsid w:val="009E670A"/>
    <w:rsid w:val="009E6B96"/>
    <w:rsid w:val="009E7127"/>
    <w:rsid w:val="009E7301"/>
    <w:rsid w:val="009E7626"/>
    <w:rsid w:val="009E778B"/>
    <w:rsid w:val="009E77B2"/>
    <w:rsid w:val="009E7A49"/>
    <w:rsid w:val="009E7AA9"/>
    <w:rsid w:val="009E7D3E"/>
    <w:rsid w:val="009F0300"/>
    <w:rsid w:val="009F07E0"/>
    <w:rsid w:val="009F08F3"/>
    <w:rsid w:val="009F0984"/>
    <w:rsid w:val="009F0EDC"/>
    <w:rsid w:val="009F10C5"/>
    <w:rsid w:val="009F1654"/>
    <w:rsid w:val="009F179B"/>
    <w:rsid w:val="009F1DFF"/>
    <w:rsid w:val="009F2C05"/>
    <w:rsid w:val="009F2D25"/>
    <w:rsid w:val="009F2EA0"/>
    <w:rsid w:val="009F344F"/>
    <w:rsid w:val="009F35F8"/>
    <w:rsid w:val="009F4549"/>
    <w:rsid w:val="009F51E0"/>
    <w:rsid w:val="009F51E5"/>
    <w:rsid w:val="009F5871"/>
    <w:rsid w:val="009F5BE4"/>
    <w:rsid w:val="009F6679"/>
    <w:rsid w:val="009F73C2"/>
    <w:rsid w:val="009F781B"/>
    <w:rsid w:val="009F7BDE"/>
    <w:rsid w:val="00A001CB"/>
    <w:rsid w:val="00A0029B"/>
    <w:rsid w:val="00A00456"/>
    <w:rsid w:val="00A00A43"/>
    <w:rsid w:val="00A00EC6"/>
    <w:rsid w:val="00A014B0"/>
    <w:rsid w:val="00A02199"/>
    <w:rsid w:val="00A02AA6"/>
    <w:rsid w:val="00A031D8"/>
    <w:rsid w:val="00A03284"/>
    <w:rsid w:val="00A0375C"/>
    <w:rsid w:val="00A03C1B"/>
    <w:rsid w:val="00A04659"/>
    <w:rsid w:val="00A048A8"/>
    <w:rsid w:val="00A04AC4"/>
    <w:rsid w:val="00A04F49"/>
    <w:rsid w:val="00A0514E"/>
    <w:rsid w:val="00A05CEF"/>
    <w:rsid w:val="00A05F2D"/>
    <w:rsid w:val="00A0787B"/>
    <w:rsid w:val="00A07A43"/>
    <w:rsid w:val="00A07D91"/>
    <w:rsid w:val="00A102BD"/>
    <w:rsid w:val="00A105C1"/>
    <w:rsid w:val="00A1079D"/>
    <w:rsid w:val="00A1098C"/>
    <w:rsid w:val="00A10991"/>
    <w:rsid w:val="00A11441"/>
    <w:rsid w:val="00A12390"/>
    <w:rsid w:val="00A1352A"/>
    <w:rsid w:val="00A136D1"/>
    <w:rsid w:val="00A13E54"/>
    <w:rsid w:val="00A13F97"/>
    <w:rsid w:val="00A14031"/>
    <w:rsid w:val="00A141EA"/>
    <w:rsid w:val="00A166D7"/>
    <w:rsid w:val="00A167D8"/>
    <w:rsid w:val="00A16C07"/>
    <w:rsid w:val="00A16C46"/>
    <w:rsid w:val="00A17C8B"/>
    <w:rsid w:val="00A17F63"/>
    <w:rsid w:val="00A20044"/>
    <w:rsid w:val="00A2057B"/>
    <w:rsid w:val="00A205DD"/>
    <w:rsid w:val="00A20AFE"/>
    <w:rsid w:val="00A214A7"/>
    <w:rsid w:val="00A21606"/>
    <w:rsid w:val="00A2193B"/>
    <w:rsid w:val="00A2196A"/>
    <w:rsid w:val="00A21AB7"/>
    <w:rsid w:val="00A2245C"/>
    <w:rsid w:val="00A22997"/>
    <w:rsid w:val="00A2351A"/>
    <w:rsid w:val="00A23B6E"/>
    <w:rsid w:val="00A23CAB"/>
    <w:rsid w:val="00A23E4D"/>
    <w:rsid w:val="00A2457B"/>
    <w:rsid w:val="00A24C32"/>
    <w:rsid w:val="00A24E0D"/>
    <w:rsid w:val="00A25138"/>
    <w:rsid w:val="00A2552E"/>
    <w:rsid w:val="00A26095"/>
    <w:rsid w:val="00A264A9"/>
    <w:rsid w:val="00A264C1"/>
    <w:rsid w:val="00A269EC"/>
    <w:rsid w:val="00A26B5D"/>
    <w:rsid w:val="00A26DCF"/>
    <w:rsid w:val="00A26E1D"/>
    <w:rsid w:val="00A26EDC"/>
    <w:rsid w:val="00A27785"/>
    <w:rsid w:val="00A30187"/>
    <w:rsid w:val="00A30224"/>
    <w:rsid w:val="00A30538"/>
    <w:rsid w:val="00A30A03"/>
    <w:rsid w:val="00A30F73"/>
    <w:rsid w:val="00A31057"/>
    <w:rsid w:val="00A311C2"/>
    <w:rsid w:val="00A31BD4"/>
    <w:rsid w:val="00A31C6F"/>
    <w:rsid w:val="00A322B3"/>
    <w:rsid w:val="00A324CE"/>
    <w:rsid w:val="00A324F8"/>
    <w:rsid w:val="00A328B0"/>
    <w:rsid w:val="00A328E6"/>
    <w:rsid w:val="00A32EA3"/>
    <w:rsid w:val="00A32EAE"/>
    <w:rsid w:val="00A32F9F"/>
    <w:rsid w:val="00A3348F"/>
    <w:rsid w:val="00A337C4"/>
    <w:rsid w:val="00A33DDD"/>
    <w:rsid w:val="00A33EB4"/>
    <w:rsid w:val="00A3448A"/>
    <w:rsid w:val="00A34CAF"/>
    <w:rsid w:val="00A35731"/>
    <w:rsid w:val="00A359F7"/>
    <w:rsid w:val="00A35C98"/>
    <w:rsid w:val="00A36147"/>
    <w:rsid w:val="00A36297"/>
    <w:rsid w:val="00A368DB"/>
    <w:rsid w:val="00A36F61"/>
    <w:rsid w:val="00A36F75"/>
    <w:rsid w:val="00A3709A"/>
    <w:rsid w:val="00A3756E"/>
    <w:rsid w:val="00A37791"/>
    <w:rsid w:val="00A378FF"/>
    <w:rsid w:val="00A37E31"/>
    <w:rsid w:val="00A4054E"/>
    <w:rsid w:val="00A407D2"/>
    <w:rsid w:val="00A40824"/>
    <w:rsid w:val="00A419BD"/>
    <w:rsid w:val="00A41E2B"/>
    <w:rsid w:val="00A42066"/>
    <w:rsid w:val="00A42170"/>
    <w:rsid w:val="00A437E9"/>
    <w:rsid w:val="00A45075"/>
    <w:rsid w:val="00A45404"/>
    <w:rsid w:val="00A45B74"/>
    <w:rsid w:val="00A467D2"/>
    <w:rsid w:val="00A46A07"/>
    <w:rsid w:val="00A46B7B"/>
    <w:rsid w:val="00A470FC"/>
    <w:rsid w:val="00A4761F"/>
    <w:rsid w:val="00A47D50"/>
    <w:rsid w:val="00A47D5C"/>
    <w:rsid w:val="00A501FC"/>
    <w:rsid w:val="00A50787"/>
    <w:rsid w:val="00A5083F"/>
    <w:rsid w:val="00A509FE"/>
    <w:rsid w:val="00A50EF6"/>
    <w:rsid w:val="00A51324"/>
    <w:rsid w:val="00A51934"/>
    <w:rsid w:val="00A51D8C"/>
    <w:rsid w:val="00A52094"/>
    <w:rsid w:val="00A520E7"/>
    <w:rsid w:val="00A52872"/>
    <w:rsid w:val="00A529F4"/>
    <w:rsid w:val="00A52E1D"/>
    <w:rsid w:val="00A52E5C"/>
    <w:rsid w:val="00A5301A"/>
    <w:rsid w:val="00A53B84"/>
    <w:rsid w:val="00A54415"/>
    <w:rsid w:val="00A54A85"/>
    <w:rsid w:val="00A55101"/>
    <w:rsid w:val="00A55873"/>
    <w:rsid w:val="00A579CE"/>
    <w:rsid w:val="00A6009B"/>
    <w:rsid w:val="00A609D2"/>
    <w:rsid w:val="00A61499"/>
    <w:rsid w:val="00A619BA"/>
    <w:rsid w:val="00A61AB8"/>
    <w:rsid w:val="00A61B44"/>
    <w:rsid w:val="00A62266"/>
    <w:rsid w:val="00A62731"/>
    <w:rsid w:val="00A62A77"/>
    <w:rsid w:val="00A62D96"/>
    <w:rsid w:val="00A63483"/>
    <w:rsid w:val="00A63739"/>
    <w:rsid w:val="00A638B7"/>
    <w:rsid w:val="00A63C40"/>
    <w:rsid w:val="00A649A4"/>
    <w:rsid w:val="00A64B28"/>
    <w:rsid w:val="00A64D39"/>
    <w:rsid w:val="00A657D7"/>
    <w:rsid w:val="00A65865"/>
    <w:rsid w:val="00A660AC"/>
    <w:rsid w:val="00A66174"/>
    <w:rsid w:val="00A66380"/>
    <w:rsid w:val="00A663F0"/>
    <w:rsid w:val="00A673D9"/>
    <w:rsid w:val="00A674C0"/>
    <w:rsid w:val="00A67AAA"/>
    <w:rsid w:val="00A67BDA"/>
    <w:rsid w:val="00A67E6C"/>
    <w:rsid w:val="00A706AD"/>
    <w:rsid w:val="00A708A2"/>
    <w:rsid w:val="00A70E09"/>
    <w:rsid w:val="00A711E9"/>
    <w:rsid w:val="00A71853"/>
    <w:rsid w:val="00A71870"/>
    <w:rsid w:val="00A71995"/>
    <w:rsid w:val="00A71B99"/>
    <w:rsid w:val="00A71F43"/>
    <w:rsid w:val="00A721C7"/>
    <w:rsid w:val="00A7293D"/>
    <w:rsid w:val="00A72AC2"/>
    <w:rsid w:val="00A731CB"/>
    <w:rsid w:val="00A73654"/>
    <w:rsid w:val="00A739D0"/>
    <w:rsid w:val="00A73D47"/>
    <w:rsid w:val="00A7419B"/>
    <w:rsid w:val="00A74C38"/>
    <w:rsid w:val="00A74D4E"/>
    <w:rsid w:val="00A75048"/>
    <w:rsid w:val="00A75421"/>
    <w:rsid w:val="00A754C5"/>
    <w:rsid w:val="00A761D4"/>
    <w:rsid w:val="00A76457"/>
    <w:rsid w:val="00A76B59"/>
    <w:rsid w:val="00A7713D"/>
    <w:rsid w:val="00A77B08"/>
    <w:rsid w:val="00A77EC4"/>
    <w:rsid w:val="00A8009E"/>
    <w:rsid w:val="00A8085B"/>
    <w:rsid w:val="00A80C04"/>
    <w:rsid w:val="00A8126D"/>
    <w:rsid w:val="00A819FF"/>
    <w:rsid w:val="00A81ADB"/>
    <w:rsid w:val="00A82394"/>
    <w:rsid w:val="00A824AA"/>
    <w:rsid w:val="00A835C1"/>
    <w:rsid w:val="00A83A29"/>
    <w:rsid w:val="00A845EE"/>
    <w:rsid w:val="00A84630"/>
    <w:rsid w:val="00A84AB6"/>
    <w:rsid w:val="00A8556B"/>
    <w:rsid w:val="00A85E0B"/>
    <w:rsid w:val="00A8608F"/>
    <w:rsid w:val="00A8628C"/>
    <w:rsid w:val="00A863C5"/>
    <w:rsid w:val="00A86AD6"/>
    <w:rsid w:val="00A86CED"/>
    <w:rsid w:val="00A8755C"/>
    <w:rsid w:val="00A8772F"/>
    <w:rsid w:val="00A8795E"/>
    <w:rsid w:val="00A90290"/>
    <w:rsid w:val="00A9080C"/>
    <w:rsid w:val="00A911DC"/>
    <w:rsid w:val="00A91486"/>
    <w:rsid w:val="00A91496"/>
    <w:rsid w:val="00A9195E"/>
    <w:rsid w:val="00A91A00"/>
    <w:rsid w:val="00A91BC9"/>
    <w:rsid w:val="00A92383"/>
    <w:rsid w:val="00A923E8"/>
    <w:rsid w:val="00A9244F"/>
    <w:rsid w:val="00A92879"/>
    <w:rsid w:val="00A92994"/>
    <w:rsid w:val="00A92A24"/>
    <w:rsid w:val="00A92ACE"/>
    <w:rsid w:val="00A92F45"/>
    <w:rsid w:val="00A92F9D"/>
    <w:rsid w:val="00A9301B"/>
    <w:rsid w:val="00A938F3"/>
    <w:rsid w:val="00A93B93"/>
    <w:rsid w:val="00A9442A"/>
    <w:rsid w:val="00A95411"/>
    <w:rsid w:val="00A9595C"/>
    <w:rsid w:val="00A96354"/>
    <w:rsid w:val="00A96F07"/>
    <w:rsid w:val="00A973C6"/>
    <w:rsid w:val="00A9766B"/>
    <w:rsid w:val="00A977C2"/>
    <w:rsid w:val="00A978C2"/>
    <w:rsid w:val="00AA016F"/>
    <w:rsid w:val="00AA155B"/>
    <w:rsid w:val="00AA1B3E"/>
    <w:rsid w:val="00AA1D00"/>
    <w:rsid w:val="00AA1ED6"/>
    <w:rsid w:val="00AA1EDF"/>
    <w:rsid w:val="00AA2195"/>
    <w:rsid w:val="00AA2638"/>
    <w:rsid w:val="00AA3DDC"/>
    <w:rsid w:val="00AA4846"/>
    <w:rsid w:val="00AA51D6"/>
    <w:rsid w:val="00AA5B37"/>
    <w:rsid w:val="00AA5E1B"/>
    <w:rsid w:val="00AA61CF"/>
    <w:rsid w:val="00AA6AA6"/>
    <w:rsid w:val="00AA6DEC"/>
    <w:rsid w:val="00AA75B6"/>
    <w:rsid w:val="00AB00F2"/>
    <w:rsid w:val="00AB0BC8"/>
    <w:rsid w:val="00AB1118"/>
    <w:rsid w:val="00AB11CA"/>
    <w:rsid w:val="00AB14D9"/>
    <w:rsid w:val="00AB14FB"/>
    <w:rsid w:val="00AB1A8A"/>
    <w:rsid w:val="00AB1CE1"/>
    <w:rsid w:val="00AB1DA6"/>
    <w:rsid w:val="00AB204D"/>
    <w:rsid w:val="00AB20A7"/>
    <w:rsid w:val="00AB3264"/>
    <w:rsid w:val="00AB332A"/>
    <w:rsid w:val="00AB4749"/>
    <w:rsid w:val="00AB4AB8"/>
    <w:rsid w:val="00AB4B91"/>
    <w:rsid w:val="00AB4BE3"/>
    <w:rsid w:val="00AB5608"/>
    <w:rsid w:val="00AB655E"/>
    <w:rsid w:val="00AB660A"/>
    <w:rsid w:val="00AB7997"/>
    <w:rsid w:val="00AC007F"/>
    <w:rsid w:val="00AC06F2"/>
    <w:rsid w:val="00AC0BD9"/>
    <w:rsid w:val="00AC1260"/>
    <w:rsid w:val="00AC1D94"/>
    <w:rsid w:val="00AC2210"/>
    <w:rsid w:val="00AC26F1"/>
    <w:rsid w:val="00AC2739"/>
    <w:rsid w:val="00AC2D41"/>
    <w:rsid w:val="00AC2D51"/>
    <w:rsid w:val="00AC2ECD"/>
    <w:rsid w:val="00AC2EE5"/>
    <w:rsid w:val="00AC3119"/>
    <w:rsid w:val="00AC3441"/>
    <w:rsid w:val="00AC3A5F"/>
    <w:rsid w:val="00AC3BD8"/>
    <w:rsid w:val="00AC40E2"/>
    <w:rsid w:val="00AC49FB"/>
    <w:rsid w:val="00AC51D5"/>
    <w:rsid w:val="00AC52B2"/>
    <w:rsid w:val="00AC5315"/>
    <w:rsid w:val="00AC5504"/>
    <w:rsid w:val="00AC5A10"/>
    <w:rsid w:val="00AC6BB8"/>
    <w:rsid w:val="00AC72C4"/>
    <w:rsid w:val="00AC7768"/>
    <w:rsid w:val="00AC79EB"/>
    <w:rsid w:val="00AC7C5E"/>
    <w:rsid w:val="00AC7FD0"/>
    <w:rsid w:val="00AD0075"/>
    <w:rsid w:val="00AD0530"/>
    <w:rsid w:val="00AD08D9"/>
    <w:rsid w:val="00AD0AA3"/>
    <w:rsid w:val="00AD0F7E"/>
    <w:rsid w:val="00AD12EC"/>
    <w:rsid w:val="00AD1474"/>
    <w:rsid w:val="00AD1A50"/>
    <w:rsid w:val="00AD1BCE"/>
    <w:rsid w:val="00AD1EE0"/>
    <w:rsid w:val="00AD2302"/>
    <w:rsid w:val="00AD23E2"/>
    <w:rsid w:val="00AD24D8"/>
    <w:rsid w:val="00AD2CFE"/>
    <w:rsid w:val="00AD2ED0"/>
    <w:rsid w:val="00AD2FAB"/>
    <w:rsid w:val="00AD3542"/>
    <w:rsid w:val="00AD371D"/>
    <w:rsid w:val="00AD3AAA"/>
    <w:rsid w:val="00AD3D2F"/>
    <w:rsid w:val="00AD3F94"/>
    <w:rsid w:val="00AD4124"/>
    <w:rsid w:val="00AD44B5"/>
    <w:rsid w:val="00AD4A5A"/>
    <w:rsid w:val="00AD5113"/>
    <w:rsid w:val="00AD5848"/>
    <w:rsid w:val="00AD5BC6"/>
    <w:rsid w:val="00AD6050"/>
    <w:rsid w:val="00AD660D"/>
    <w:rsid w:val="00AD7888"/>
    <w:rsid w:val="00AD7C6A"/>
    <w:rsid w:val="00AE07D4"/>
    <w:rsid w:val="00AE07F4"/>
    <w:rsid w:val="00AE09EB"/>
    <w:rsid w:val="00AE1053"/>
    <w:rsid w:val="00AE17B1"/>
    <w:rsid w:val="00AE18A4"/>
    <w:rsid w:val="00AE1C77"/>
    <w:rsid w:val="00AE27AC"/>
    <w:rsid w:val="00AE29DE"/>
    <w:rsid w:val="00AE32C4"/>
    <w:rsid w:val="00AE360D"/>
    <w:rsid w:val="00AE3E8C"/>
    <w:rsid w:val="00AE40E0"/>
    <w:rsid w:val="00AE444E"/>
    <w:rsid w:val="00AE4B10"/>
    <w:rsid w:val="00AE4DBA"/>
    <w:rsid w:val="00AE4F07"/>
    <w:rsid w:val="00AE4F5C"/>
    <w:rsid w:val="00AE54C0"/>
    <w:rsid w:val="00AE54F6"/>
    <w:rsid w:val="00AE55D5"/>
    <w:rsid w:val="00AE5725"/>
    <w:rsid w:val="00AE5753"/>
    <w:rsid w:val="00AE5B0F"/>
    <w:rsid w:val="00AE5C58"/>
    <w:rsid w:val="00AE662F"/>
    <w:rsid w:val="00AE6CE8"/>
    <w:rsid w:val="00AE7662"/>
    <w:rsid w:val="00AE7A6E"/>
    <w:rsid w:val="00AE7FBF"/>
    <w:rsid w:val="00AF0519"/>
    <w:rsid w:val="00AF0FFF"/>
    <w:rsid w:val="00AF13A8"/>
    <w:rsid w:val="00AF16DC"/>
    <w:rsid w:val="00AF1C5D"/>
    <w:rsid w:val="00AF295A"/>
    <w:rsid w:val="00AF34F7"/>
    <w:rsid w:val="00AF3660"/>
    <w:rsid w:val="00AF388F"/>
    <w:rsid w:val="00AF3B86"/>
    <w:rsid w:val="00AF3DE1"/>
    <w:rsid w:val="00AF3F3B"/>
    <w:rsid w:val="00AF3F63"/>
    <w:rsid w:val="00AF42D7"/>
    <w:rsid w:val="00AF43D4"/>
    <w:rsid w:val="00AF44BD"/>
    <w:rsid w:val="00AF469D"/>
    <w:rsid w:val="00AF4C70"/>
    <w:rsid w:val="00AF56F7"/>
    <w:rsid w:val="00AF58D9"/>
    <w:rsid w:val="00AF5DCE"/>
    <w:rsid w:val="00AF5E8F"/>
    <w:rsid w:val="00AF6361"/>
    <w:rsid w:val="00AF6BF9"/>
    <w:rsid w:val="00AF6C40"/>
    <w:rsid w:val="00AF723C"/>
    <w:rsid w:val="00AF78EE"/>
    <w:rsid w:val="00AF7F61"/>
    <w:rsid w:val="00B006FE"/>
    <w:rsid w:val="00B007CB"/>
    <w:rsid w:val="00B008F8"/>
    <w:rsid w:val="00B00DED"/>
    <w:rsid w:val="00B0102F"/>
    <w:rsid w:val="00B02AA9"/>
    <w:rsid w:val="00B02FA3"/>
    <w:rsid w:val="00B0300C"/>
    <w:rsid w:val="00B03093"/>
    <w:rsid w:val="00B0347D"/>
    <w:rsid w:val="00B0348E"/>
    <w:rsid w:val="00B03C21"/>
    <w:rsid w:val="00B04158"/>
    <w:rsid w:val="00B04A86"/>
    <w:rsid w:val="00B04EBA"/>
    <w:rsid w:val="00B05084"/>
    <w:rsid w:val="00B05B62"/>
    <w:rsid w:val="00B05CE6"/>
    <w:rsid w:val="00B05F7B"/>
    <w:rsid w:val="00B0697D"/>
    <w:rsid w:val="00B06DC5"/>
    <w:rsid w:val="00B07499"/>
    <w:rsid w:val="00B1039E"/>
    <w:rsid w:val="00B10644"/>
    <w:rsid w:val="00B10C2C"/>
    <w:rsid w:val="00B11396"/>
    <w:rsid w:val="00B120C0"/>
    <w:rsid w:val="00B120F5"/>
    <w:rsid w:val="00B12766"/>
    <w:rsid w:val="00B12B14"/>
    <w:rsid w:val="00B133A3"/>
    <w:rsid w:val="00B13514"/>
    <w:rsid w:val="00B13798"/>
    <w:rsid w:val="00B13C5C"/>
    <w:rsid w:val="00B13C9A"/>
    <w:rsid w:val="00B13D92"/>
    <w:rsid w:val="00B1423E"/>
    <w:rsid w:val="00B146EE"/>
    <w:rsid w:val="00B14925"/>
    <w:rsid w:val="00B14D82"/>
    <w:rsid w:val="00B14F5D"/>
    <w:rsid w:val="00B15150"/>
    <w:rsid w:val="00B1532E"/>
    <w:rsid w:val="00B157F9"/>
    <w:rsid w:val="00B167C6"/>
    <w:rsid w:val="00B16D62"/>
    <w:rsid w:val="00B17809"/>
    <w:rsid w:val="00B17D6C"/>
    <w:rsid w:val="00B20155"/>
    <w:rsid w:val="00B20256"/>
    <w:rsid w:val="00B20D09"/>
    <w:rsid w:val="00B20F24"/>
    <w:rsid w:val="00B21260"/>
    <w:rsid w:val="00B21451"/>
    <w:rsid w:val="00B228DB"/>
    <w:rsid w:val="00B22B8C"/>
    <w:rsid w:val="00B22E65"/>
    <w:rsid w:val="00B2322B"/>
    <w:rsid w:val="00B235BD"/>
    <w:rsid w:val="00B23667"/>
    <w:rsid w:val="00B23C65"/>
    <w:rsid w:val="00B24399"/>
    <w:rsid w:val="00B243DA"/>
    <w:rsid w:val="00B245BB"/>
    <w:rsid w:val="00B24CB7"/>
    <w:rsid w:val="00B25CD4"/>
    <w:rsid w:val="00B25F0A"/>
    <w:rsid w:val="00B2629E"/>
    <w:rsid w:val="00B265FC"/>
    <w:rsid w:val="00B26927"/>
    <w:rsid w:val="00B2763F"/>
    <w:rsid w:val="00B2778B"/>
    <w:rsid w:val="00B27AAC"/>
    <w:rsid w:val="00B27B9B"/>
    <w:rsid w:val="00B300F7"/>
    <w:rsid w:val="00B30929"/>
    <w:rsid w:val="00B30B4A"/>
    <w:rsid w:val="00B30CA5"/>
    <w:rsid w:val="00B30D0E"/>
    <w:rsid w:val="00B30ED2"/>
    <w:rsid w:val="00B316A7"/>
    <w:rsid w:val="00B31F91"/>
    <w:rsid w:val="00B31FC1"/>
    <w:rsid w:val="00B3291E"/>
    <w:rsid w:val="00B33128"/>
    <w:rsid w:val="00B3359E"/>
    <w:rsid w:val="00B33749"/>
    <w:rsid w:val="00B3384A"/>
    <w:rsid w:val="00B343A1"/>
    <w:rsid w:val="00B344BC"/>
    <w:rsid w:val="00B34D12"/>
    <w:rsid w:val="00B34E7C"/>
    <w:rsid w:val="00B34FD2"/>
    <w:rsid w:val="00B35072"/>
    <w:rsid w:val="00B350DD"/>
    <w:rsid w:val="00B354CC"/>
    <w:rsid w:val="00B35C44"/>
    <w:rsid w:val="00B36220"/>
    <w:rsid w:val="00B3673B"/>
    <w:rsid w:val="00B36757"/>
    <w:rsid w:val="00B3696D"/>
    <w:rsid w:val="00B36A69"/>
    <w:rsid w:val="00B372AA"/>
    <w:rsid w:val="00B3730E"/>
    <w:rsid w:val="00B3743F"/>
    <w:rsid w:val="00B37649"/>
    <w:rsid w:val="00B37CB9"/>
    <w:rsid w:val="00B40118"/>
    <w:rsid w:val="00B402DB"/>
    <w:rsid w:val="00B40445"/>
    <w:rsid w:val="00B40851"/>
    <w:rsid w:val="00B409E0"/>
    <w:rsid w:val="00B411C8"/>
    <w:rsid w:val="00B4150D"/>
    <w:rsid w:val="00B416A6"/>
    <w:rsid w:val="00B41845"/>
    <w:rsid w:val="00B41888"/>
    <w:rsid w:val="00B41949"/>
    <w:rsid w:val="00B41CD7"/>
    <w:rsid w:val="00B423F0"/>
    <w:rsid w:val="00B431EC"/>
    <w:rsid w:val="00B44834"/>
    <w:rsid w:val="00B44910"/>
    <w:rsid w:val="00B44C93"/>
    <w:rsid w:val="00B44DED"/>
    <w:rsid w:val="00B45050"/>
    <w:rsid w:val="00B45793"/>
    <w:rsid w:val="00B4586E"/>
    <w:rsid w:val="00B45A52"/>
    <w:rsid w:val="00B45C17"/>
    <w:rsid w:val="00B46175"/>
    <w:rsid w:val="00B46D5E"/>
    <w:rsid w:val="00B46F09"/>
    <w:rsid w:val="00B47BE8"/>
    <w:rsid w:val="00B519E3"/>
    <w:rsid w:val="00B527D5"/>
    <w:rsid w:val="00B53363"/>
    <w:rsid w:val="00B53930"/>
    <w:rsid w:val="00B53B3B"/>
    <w:rsid w:val="00B5446B"/>
    <w:rsid w:val="00B548B7"/>
    <w:rsid w:val="00B549F5"/>
    <w:rsid w:val="00B55186"/>
    <w:rsid w:val="00B553EF"/>
    <w:rsid w:val="00B55FC9"/>
    <w:rsid w:val="00B568FD"/>
    <w:rsid w:val="00B56AC2"/>
    <w:rsid w:val="00B56CB4"/>
    <w:rsid w:val="00B56E23"/>
    <w:rsid w:val="00B57356"/>
    <w:rsid w:val="00B573BE"/>
    <w:rsid w:val="00B57A70"/>
    <w:rsid w:val="00B603C0"/>
    <w:rsid w:val="00B605CF"/>
    <w:rsid w:val="00B6073A"/>
    <w:rsid w:val="00B607CD"/>
    <w:rsid w:val="00B609B2"/>
    <w:rsid w:val="00B60E34"/>
    <w:rsid w:val="00B61555"/>
    <w:rsid w:val="00B61780"/>
    <w:rsid w:val="00B62448"/>
    <w:rsid w:val="00B62875"/>
    <w:rsid w:val="00B628FB"/>
    <w:rsid w:val="00B62F73"/>
    <w:rsid w:val="00B6385F"/>
    <w:rsid w:val="00B63F34"/>
    <w:rsid w:val="00B640C4"/>
    <w:rsid w:val="00B64AC0"/>
    <w:rsid w:val="00B6599F"/>
    <w:rsid w:val="00B65FEB"/>
    <w:rsid w:val="00B6602F"/>
    <w:rsid w:val="00B664C7"/>
    <w:rsid w:val="00B666EA"/>
    <w:rsid w:val="00B66799"/>
    <w:rsid w:val="00B7060C"/>
    <w:rsid w:val="00B7080E"/>
    <w:rsid w:val="00B72B31"/>
    <w:rsid w:val="00B72C97"/>
    <w:rsid w:val="00B73085"/>
    <w:rsid w:val="00B739F6"/>
    <w:rsid w:val="00B74275"/>
    <w:rsid w:val="00B743F3"/>
    <w:rsid w:val="00B74523"/>
    <w:rsid w:val="00B747E4"/>
    <w:rsid w:val="00B748E7"/>
    <w:rsid w:val="00B74A08"/>
    <w:rsid w:val="00B74B45"/>
    <w:rsid w:val="00B756C7"/>
    <w:rsid w:val="00B75BB0"/>
    <w:rsid w:val="00B768FC"/>
    <w:rsid w:val="00B76937"/>
    <w:rsid w:val="00B76C0E"/>
    <w:rsid w:val="00B7756F"/>
    <w:rsid w:val="00B777F3"/>
    <w:rsid w:val="00B77C10"/>
    <w:rsid w:val="00B81212"/>
    <w:rsid w:val="00B81334"/>
    <w:rsid w:val="00B8163D"/>
    <w:rsid w:val="00B81A32"/>
    <w:rsid w:val="00B81A6C"/>
    <w:rsid w:val="00B81EC0"/>
    <w:rsid w:val="00B81FF4"/>
    <w:rsid w:val="00B82665"/>
    <w:rsid w:val="00B8266A"/>
    <w:rsid w:val="00B827F4"/>
    <w:rsid w:val="00B8357A"/>
    <w:rsid w:val="00B836DD"/>
    <w:rsid w:val="00B84195"/>
    <w:rsid w:val="00B8458E"/>
    <w:rsid w:val="00B849D8"/>
    <w:rsid w:val="00B84A12"/>
    <w:rsid w:val="00B84CA2"/>
    <w:rsid w:val="00B85150"/>
    <w:rsid w:val="00B85235"/>
    <w:rsid w:val="00B85CE6"/>
    <w:rsid w:val="00B85DE5"/>
    <w:rsid w:val="00B85E1F"/>
    <w:rsid w:val="00B8667D"/>
    <w:rsid w:val="00B86693"/>
    <w:rsid w:val="00B8745A"/>
    <w:rsid w:val="00B877A2"/>
    <w:rsid w:val="00B879D1"/>
    <w:rsid w:val="00B90032"/>
    <w:rsid w:val="00B90103"/>
    <w:rsid w:val="00B908A1"/>
    <w:rsid w:val="00B909C2"/>
    <w:rsid w:val="00B90DEF"/>
    <w:rsid w:val="00B90F73"/>
    <w:rsid w:val="00B91202"/>
    <w:rsid w:val="00B91EDB"/>
    <w:rsid w:val="00B9287B"/>
    <w:rsid w:val="00B92CC5"/>
    <w:rsid w:val="00B92D99"/>
    <w:rsid w:val="00B93B59"/>
    <w:rsid w:val="00B93E74"/>
    <w:rsid w:val="00B9406A"/>
    <w:rsid w:val="00B9408D"/>
    <w:rsid w:val="00B94216"/>
    <w:rsid w:val="00B942C4"/>
    <w:rsid w:val="00B945FF"/>
    <w:rsid w:val="00B9499D"/>
    <w:rsid w:val="00B94A35"/>
    <w:rsid w:val="00B94BB8"/>
    <w:rsid w:val="00B95145"/>
    <w:rsid w:val="00B9527D"/>
    <w:rsid w:val="00B956C8"/>
    <w:rsid w:val="00B9599E"/>
    <w:rsid w:val="00B9696B"/>
    <w:rsid w:val="00B97319"/>
    <w:rsid w:val="00B97484"/>
    <w:rsid w:val="00B979BA"/>
    <w:rsid w:val="00B97D8F"/>
    <w:rsid w:val="00BA076A"/>
    <w:rsid w:val="00BA0D06"/>
    <w:rsid w:val="00BA2280"/>
    <w:rsid w:val="00BA2323"/>
    <w:rsid w:val="00BA2A08"/>
    <w:rsid w:val="00BA2D58"/>
    <w:rsid w:val="00BA375F"/>
    <w:rsid w:val="00BA3A64"/>
    <w:rsid w:val="00BA4DFD"/>
    <w:rsid w:val="00BA55EC"/>
    <w:rsid w:val="00BA56D2"/>
    <w:rsid w:val="00BA6CF2"/>
    <w:rsid w:val="00BA7248"/>
    <w:rsid w:val="00BA76E0"/>
    <w:rsid w:val="00BB0320"/>
    <w:rsid w:val="00BB0625"/>
    <w:rsid w:val="00BB069E"/>
    <w:rsid w:val="00BB0D48"/>
    <w:rsid w:val="00BB100E"/>
    <w:rsid w:val="00BB15E0"/>
    <w:rsid w:val="00BB16F0"/>
    <w:rsid w:val="00BB216D"/>
    <w:rsid w:val="00BB2A25"/>
    <w:rsid w:val="00BB2CFD"/>
    <w:rsid w:val="00BB32EC"/>
    <w:rsid w:val="00BB3B5F"/>
    <w:rsid w:val="00BB42D8"/>
    <w:rsid w:val="00BB4CEF"/>
    <w:rsid w:val="00BB51E9"/>
    <w:rsid w:val="00BB60EE"/>
    <w:rsid w:val="00BB676F"/>
    <w:rsid w:val="00BB7649"/>
    <w:rsid w:val="00BB7C16"/>
    <w:rsid w:val="00BC0035"/>
    <w:rsid w:val="00BC00CA"/>
    <w:rsid w:val="00BC0FDC"/>
    <w:rsid w:val="00BC1AF2"/>
    <w:rsid w:val="00BC21F1"/>
    <w:rsid w:val="00BC251D"/>
    <w:rsid w:val="00BC29EB"/>
    <w:rsid w:val="00BC2C99"/>
    <w:rsid w:val="00BC3053"/>
    <w:rsid w:val="00BC37AB"/>
    <w:rsid w:val="00BC3F78"/>
    <w:rsid w:val="00BC4230"/>
    <w:rsid w:val="00BC45C2"/>
    <w:rsid w:val="00BC4986"/>
    <w:rsid w:val="00BC4A2A"/>
    <w:rsid w:val="00BC4B40"/>
    <w:rsid w:val="00BC4D2E"/>
    <w:rsid w:val="00BC4E25"/>
    <w:rsid w:val="00BC5DEC"/>
    <w:rsid w:val="00BC6302"/>
    <w:rsid w:val="00BC6563"/>
    <w:rsid w:val="00BC6671"/>
    <w:rsid w:val="00BC6C63"/>
    <w:rsid w:val="00BC6E64"/>
    <w:rsid w:val="00BC6EA9"/>
    <w:rsid w:val="00BC731C"/>
    <w:rsid w:val="00BC7703"/>
    <w:rsid w:val="00BC7C8D"/>
    <w:rsid w:val="00BD0629"/>
    <w:rsid w:val="00BD0BD0"/>
    <w:rsid w:val="00BD15DA"/>
    <w:rsid w:val="00BD1633"/>
    <w:rsid w:val="00BD287B"/>
    <w:rsid w:val="00BD2A8B"/>
    <w:rsid w:val="00BD2E41"/>
    <w:rsid w:val="00BD2F8B"/>
    <w:rsid w:val="00BD3851"/>
    <w:rsid w:val="00BD4127"/>
    <w:rsid w:val="00BD43D6"/>
    <w:rsid w:val="00BD4445"/>
    <w:rsid w:val="00BD48AC"/>
    <w:rsid w:val="00BD4D19"/>
    <w:rsid w:val="00BD5D20"/>
    <w:rsid w:val="00BD5F1A"/>
    <w:rsid w:val="00BD773A"/>
    <w:rsid w:val="00BD79F6"/>
    <w:rsid w:val="00BE0346"/>
    <w:rsid w:val="00BE0BA3"/>
    <w:rsid w:val="00BE1085"/>
    <w:rsid w:val="00BE112A"/>
    <w:rsid w:val="00BE11E8"/>
    <w:rsid w:val="00BE1234"/>
    <w:rsid w:val="00BE1BBD"/>
    <w:rsid w:val="00BE216A"/>
    <w:rsid w:val="00BE262F"/>
    <w:rsid w:val="00BE2663"/>
    <w:rsid w:val="00BE268B"/>
    <w:rsid w:val="00BE2722"/>
    <w:rsid w:val="00BE27F5"/>
    <w:rsid w:val="00BE2FA6"/>
    <w:rsid w:val="00BE32D5"/>
    <w:rsid w:val="00BE333F"/>
    <w:rsid w:val="00BE3924"/>
    <w:rsid w:val="00BE3CA2"/>
    <w:rsid w:val="00BE3D32"/>
    <w:rsid w:val="00BE413D"/>
    <w:rsid w:val="00BE4835"/>
    <w:rsid w:val="00BE4885"/>
    <w:rsid w:val="00BE536B"/>
    <w:rsid w:val="00BE537B"/>
    <w:rsid w:val="00BE58DE"/>
    <w:rsid w:val="00BE5B5D"/>
    <w:rsid w:val="00BE5CAD"/>
    <w:rsid w:val="00BE5FC7"/>
    <w:rsid w:val="00BE60EC"/>
    <w:rsid w:val="00BE6355"/>
    <w:rsid w:val="00BE7406"/>
    <w:rsid w:val="00BE7603"/>
    <w:rsid w:val="00BF1155"/>
    <w:rsid w:val="00BF164E"/>
    <w:rsid w:val="00BF1B94"/>
    <w:rsid w:val="00BF213F"/>
    <w:rsid w:val="00BF24DC"/>
    <w:rsid w:val="00BF3208"/>
    <w:rsid w:val="00BF3279"/>
    <w:rsid w:val="00BF33D6"/>
    <w:rsid w:val="00BF3555"/>
    <w:rsid w:val="00BF4616"/>
    <w:rsid w:val="00BF4A22"/>
    <w:rsid w:val="00BF4C3F"/>
    <w:rsid w:val="00BF4C93"/>
    <w:rsid w:val="00BF5038"/>
    <w:rsid w:val="00BF5B33"/>
    <w:rsid w:val="00BF7006"/>
    <w:rsid w:val="00BF74C7"/>
    <w:rsid w:val="00BF7E9D"/>
    <w:rsid w:val="00C00135"/>
    <w:rsid w:val="00C00188"/>
    <w:rsid w:val="00C00AEA"/>
    <w:rsid w:val="00C00BE4"/>
    <w:rsid w:val="00C013C1"/>
    <w:rsid w:val="00C015F1"/>
    <w:rsid w:val="00C0172A"/>
    <w:rsid w:val="00C01AF6"/>
    <w:rsid w:val="00C01BD2"/>
    <w:rsid w:val="00C01F33"/>
    <w:rsid w:val="00C0293F"/>
    <w:rsid w:val="00C02C6E"/>
    <w:rsid w:val="00C02CC6"/>
    <w:rsid w:val="00C0337B"/>
    <w:rsid w:val="00C03963"/>
    <w:rsid w:val="00C03C53"/>
    <w:rsid w:val="00C03D14"/>
    <w:rsid w:val="00C040F7"/>
    <w:rsid w:val="00C044AB"/>
    <w:rsid w:val="00C04530"/>
    <w:rsid w:val="00C0532F"/>
    <w:rsid w:val="00C055C6"/>
    <w:rsid w:val="00C05706"/>
    <w:rsid w:val="00C06B87"/>
    <w:rsid w:val="00C07377"/>
    <w:rsid w:val="00C0787C"/>
    <w:rsid w:val="00C078B0"/>
    <w:rsid w:val="00C07C82"/>
    <w:rsid w:val="00C100DA"/>
    <w:rsid w:val="00C103D9"/>
    <w:rsid w:val="00C1040E"/>
    <w:rsid w:val="00C10478"/>
    <w:rsid w:val="00C10584"/>
    <w:rsid w:val="00C106E5"/>
    <w:rsid w:val="00C112FA"/>
    <w:rsid w:val="00C11881"/>
    <w:rsid w:val="00C11DED"/>
    <w:rsid w:val="00C11E11"/>
    <w:rsid w:val="00C11E4F"/>
    <w:rsid w:val="00C1204D"/>
    <w:rsid w:val="00C12107"/>
    <w:rsid w:val="00C12687"/>
    <w:rsid w:val="00C12744"/>
    <w:rsid w:val="00C12BFE"/>
    <w:rsid w:val="00C133EA"/>
    <w:rsid w:val="00C13B08"/>
    <w:rsid w:val="00C14552"/>
    <w:rsid w:val="00C14963"/>
    <w:rsid w:val="00C14A5A"/>
    <w:rsid w:val="00C14B76"/>
    <w:rsid w:val="00C14D4B"/>
    <w:rsid w:val="00C14E02"/>
    <w:rsid w:val="00C154BB"/>
    <w:rsid w:val="00C159A8"/>
    <w:rsid w:val="00C15A4F"/>
    <w:rsid w:val="00C1650C"/>
    <w:rsid w:val="00C165C4"/>
    <w:rsid w:val="00C169D8"/>
    <w:rsid w:val="00C16AF5"/>
    <w:rsid w:val="00C16E7F"/>
    <w:rsid w:val="00C20486"/>
    <w:rsid w:val="00C20AC9"/>
    <w:rsid w:val="00C215F8"/>
    <w:rsid w:val="00C218CC"/>
    <w:rsid w:val="00C21BFF"/>
    <w:rsid w:val="00C221CA"/>
    <w:rsid w:val="00C225CD"/>
    <w:rsid w:val="00C225FC"/>
    <w:rsid w:val="00C22739"/>
    <w:rsid w:val="00C22790"/>
    <w:rsid w:val="00C22ABC"/>
    <w:rsid w:val="00C22C85"/>
    <w:rsid w:val="00C2309B"/>
    <w:rsid w:val="00C232AC"/>
    <w:rsid w:val="00C2377D"/>
    <w:rsid w:val="00C23790"/>
    <w:rsid w:val="00C239C8"/>
    <w:rsid w:val="00C23FB7"/>
    <w:rsid w:val="00C24398"/>
    <w:rsid w:val="00C247F0"/>
    <w:rsid w:val="00C252DE"/>
    <w:rsid w:val="00C25371"/>
    <w:rsid w:val="00C25389"/>
    <w:rsid w:val="00C25A09"/>
    <w:rsid w:val="00C25D41"/>
    <w:rsid w:val="00C25D52"/>
    <w:rsid w:val="00C27407"/>
    <w:rsid w:val="00C277C8"/>
    <w:rsid w:val="00C279B5"/>
    <w:rsid w:val="00C27B65"/>
    <w:rsid w:val="00C27C45"/>
    <w:rsid w:val="00C300B3"/>
    <w:rsid w:val="00C31BB4"/>
    <w:rsid w:val="00C31D88"/>
    <w:rsid w:val="00C31F4E"/>
    <w:rsid w:val="00C320EE"/>
    <w:rsid w:val="00C3233B"/>
    <w:rsid w:val="00C32368"/>
    <w:rsid w:val="00C324B1"/>
    <w:rsid w:val="00C33514"/>
    <w:rsid w:val="00C34189"/>
    <w:rsid w:val="00C342D4"/>
    <w:rsid w:val="00C342E2"/>
    <w:rsid w:val="00C347DD"/>
    <w:rsid w:val="00C358E5"/>
    <w:rsid w:val="00C369BE"/>
    <w:rsid w:val="00C36BB9"/>
    <w:rsid w:val="00C3719D"/>
    <w:rsid w:val="00C37A36"/>
    <w:rsid w:val="00C37A69"/>
    <w:rsid w:val="00C37CB2"/>
    <w:rsid w:val="00C40FE4"/>
    <w:rsid w:val="00C412B4"/>
    <w:rsid w:val="00C4172C"/>
    <w:rsid w:val="00C41741"/>
    <w:rsid w:val="00C42189"/>
    <w:rsid w:val="00C42665"/>
    <w:rsid w:val="00C42695"/>
    <w:rsid w:val="00C42862"/>
    <w:rsid w:val="00C4351B"/>
    <w:rsid w:val="00C4453C"/>
    <w:rsid w:val="00C44600"/>
    <w:rsid w:val="00C447FD"/>
    <w:rsid w:val="00C44E26"/>
    <w:rsid w:val="00C44F42"/>
    <w:rsid w:val="00C4533C"/>
    <w:rsid w:val="00C45594"/>
    <w:rsid w:val="00C45989"/>
    <w:rsid w:val="00C46963"/>
    <w:rsid w:val="00C4698C"/>
    <w:rsid w:val="00C46DBD"/>
    <w:rsid w:val="00C471A3"/>
    <w:rsid w:val="00C473A5"/>
    <w:rsid w:val="00C47B0E"/>
    <w:rsid w:val="00C47C70"/>
    <w:rsid w:val="00C47EC8"/>
    <w:rsid w:val="00C50B58"/>
    <w:rsid w:val="00C51941"/>
    <w:rsid w:val="00C51BAD"/>
    <w:rsid w:val="00C51C5E"/>
    <w:rsid w:val="00C52261"/>
    <w:rsid w:val="00C522E2"/>
    <w:rsid w:val="00C5248C"/>
    <w:rsid w:val="00C5255C"/>
    <w:rsid w:val="00C52F0E"/>
    <w:rsid w:val="00C532FF"/>
    <w:rsid w:val="00C5355C"/>
    <w:rsid w:val="00C53EAE"/>
    <w:rsid w:val="00C54995"/>
    <w:rsid w:val="00C54B71"/>
    <w:rsid w:val="00C54D41"/>
    <w:rsid w:val="00C54F19"/>
    <w:rsid w:val="00C55684"/>
    <w:rsid w:val="00C55707"/>
    <w:rsid w:val="00C5571C"/>
    <w:rsid w:val="00C55DE8"/>
    <w:rsid w:val="00C55EEB"/>
    <w:rsid w:val="00C55F37"/>
    <w:rsid w:val="00C56767"/>
    <w:rsid w:val="00C56A26"/>
    <w:rsid w:val="00C57326"/>
    <w:rsid w:val="00C60783"/>
    <w:rsid w:val="00C60B7D"/>
    <w:rsid w:val="00C60C03"/>
    <w:rsid w:val="00C612F2"/>
    <w:rsid w:val="00C61A82"/>
    <w:rsid w:val="00C61C10"/>
    <w:rsid w:val="00C61E0B"/>
    <w:rsid w:val="00C620F6"/>
    <w:rsid w:val="00C624ED"/>
    <w:rsid w:val="00C629A4"/>
    <w:rsid w:val="00C62BB3"/>
    <w:rsid w:val="00C62EDD"/>
    <w:rsid w:val="00C641A3"/>
    <w:rsid w:val="00C641CA"/>
    <w:rsid w:val="00C644BE"/>
    <w:rsid w:val="00C64672"/>
    <w:rsid w:val="00C651D5"/>
    <w:rsid w:val="00C67E54"/>
    <w:rsid w:val="00C700CB"/>
    <w:rsid w:val="00C70455"/>
    <w:rsid w:val="00C70697"/>
    <w:rsid w:val="00C7095F"/>
    <w:rsid w:val="00C71FC1"/>
    <w:rsid w:val="00C72093"/>
    <w:rsid w:val="00C723E3"/>
    <w:rsid w:val="00C7263A"/>
    <w:rsid w:val="00C72770"/>
    <w:rsid w:val="00C72BBA"/>
    <w:rsid w:val="00C72EF4"/>
    <w:rsid w:val="00C72F1F"/>
    <w:rsid w:val="00C738F4"/>
    <w:rsid w:val="00C73E18"/>
    <w:rsid w:val="00C73E7A"/>
    <w:rsid w:val="00C742B8"/>
    <w:rsid w:val="00C744B3"/>
    <w:rsid w:val="00C744FE"/>
    <w:rsid w:val="00C74547"/>
    <w:rsid w:val="00C74679"/>
    <w:rsid w:val="00C7471D"/>
    <w:rsid w:val="00C748DD"/>
    <w:rsid w:val="00C74B83"/>
    <w:rsid w:val="00C753E7"/>
    <w:rsid w:val="00C75CB0"/>
    <w:rsid w:val="00C75D2F"/>
    <w:rsid w:val="00C767BE"/>
    <w:rsid w:val="00C76E3C"/>
    <w:rsid w:val="00C77E81"/>
    <w:rsid w:val="00C77F90"/>
    <w:rsid w:val="00C8045A"/>
    <w:rsid w:val="00C808E9"/>
    <w:rsid w:val="00C80A0C"/>
    <w:rsid w:val="00C81176"/>
    <w:rsid w:val="00C81293"/>
    <w:rsid w:val="00C81568"/>
    <w:rsid w:val="00C81850"/>
    <w:rsid w:val="00C82153"/>
    <w:rsid w:val="00C833F2"/>
    <w:rsid w:val="00C837CF"/>
    <w:rsid w:val="00C840BD"/>
    <w:rsid w:val="00C8431E"/>
    <w:rsid w:val="00C8482C"/>
    <w:rsid w:val="00C84882"/>
    <w:rsid w:val="00C8505E"/>
    <w:rsid w:val="00C85610"/>
    <w:rsid w:val="00C85C4A"/>
    <w:rsid w:val="00C86178"/>
    <w:rsid w:val="00C87093"/>
    <w:rsid w:val="00C872CF"/>
    <w:rsid w:val="00C878E4"/>
    <w:rsid w:val="00C9027A"/>
    <w:rsid w:val="00C904AD"/>
    <w:rsid w:val="00C9068E"/>
    <w:rsid w:val="00C90C2B"/>
    <w:rsid w:val="00C9100A"/>
    <w:rsid w:val="00C91101"/>
    <w:rsid w:val="00C9196E"/>
    <w:rsid w:val="00C91FD3"/>
    <w:rsid w:val="00C92473"/>
    <w:rsid w:val="00C92D2D"/>
    <w:rsid w:val="00C92E53"/>
    <w:rsid w:val="00C92F32"/>
    <w:rsid w:val="00C934C2"/>
    <w:rsid w:val="00C93713"/>
    <w:rsid w:val="00C93814"/>
    <w:rsid w:val="00C93904"/>
    <w:rsid w:val="00C93C4B"/>
    <w:rsid w:val="00C93D02"/>
    <w:rsid w:val="00C944AB"/>
    <w:rsid w:val="00C94B51"/>
    <w:rsid w:val="00C94DE9"/>
    <w:rsid w:val="00C951E4"/>
    <w:rsid w:val="00C95631"/>
    <w:rsid w:val="00C95A0D"/>
    <w:rsid w:val="00C95B40"/>
    <w:rsid w:val="00C95C3E"/>
    <w:rsid w:val="00C95EE5"/>
    <w:rsid w:val="00C961CE"/>
    <w:rsid w:val="00C96235"/>
    <w:rsid w:val="00C963C5"/>
    <w:rsid w:val="00C9675A"/>
    <w:rsid w:val="00C9731C"/>
    <w:rsid w:val="00C979E4"/>
    <w:rsid w:val="00C97B7D"/>
    <w:rsid w:val="00C97D41"/>
    <w:rsid w:val="00C97D90"/>
    <w:rsid w:val="00CA0ADE"/>
    <w:rsid w:val="00CA0DAE"/>
    <w:rsid w:val="00CA158A"/>
    <w:rsid w:val="00CA1883"/>
    <w:rsid w:val="00CA1ED8"/>
    <w:rsid w:val="00CA2031"/>
    <w:rsid w:val="00CA3221"/>
    <w:rsid w:val="00CA3390"/>
    <w:rsid w:val="00CA3C01"/>
    <w:rsid w:val="00CA44C8"/>
    <w:rsid w:val="00CA500D"/>
    <w:rsid w:val="00CA5167"/>
    <w:rsid w:val="00CA5E74"/>
    <w:rsid w:val="00CA620D"/>
    <w:rsid w:val="00CA623D"/>
    <w:rsid w:val="00CA6CAA"/>
    <w:rsid w:val="00CA7045"/>
    <w:rsid w:val="00CA7CB2"/>
    <w:rsid w:val="00CA7D6D"/>
    <w:rsid w:val="00CB1556"/>
    <w:rsid w:val="00CB1593"/>
    <w:rsid w:val="00CB17C5"/>
    <w:rsid w:val="00CB1F63"/>
    <w:rsid w:val="00CB2206"/>
    <w:rsid w:val="00CB2804"/>
    <w:rsid w:val="00CB2C83"/>
    <w:rsid w:val="00CB30E5"/>
    <w:rsid w:val="00CB3486"/>
    <w:rsid w:val="00CB3583"/>
    <w:rsid w:val="00CB423C"/>
    <w:rsid w:val="00CB4547"/>
    <w:rsid w:val="00CB4960"/>
    <w:rsid w:val="00CB6714"/>
    <w:rsid w:val="00CB6B3C"/>
    <w:rsid w:val="00CB6B53"/>
    <w:rsid w:val="00CB7170"/>
    <w:rsid w:val="00CB7667"/>
    <w:rsid w:val="00CB7B1F"/>
    <w:rsid w:val="00CC040E"/>
    <w:rsid w:val="00CC0489"/>
    <w:rsid w:val="00CC111F"/>
    <w:rsid w:val="00CC13A3"/>
    <w:rsid w:val="00CC181A"/>
    <w:rsid w:val="00CC2011"/>
    <w:rsid w:val="00CC20AF"/>
    <w:rsid w:val="00CC235B"/>
    <w:rsid w:val="00CC23C0"/>
    <w:rsid w:val="00CC25EA"/>
    <w:rsid w:val="00CC29F4"/>
    <w:rsid w:val="00CC30B8"/>
    <w:rsid w:val="00CC30DE"/>
    <w:rsid w:val="00CC3A35"/>
    <w:rsid w:val="00CC3B99"/>
    <w:rsid w:val="00CC3BD1"/>
    <w:rsid w:val="00CC3EA0"/>
    <w:rsid w:val="00CC3F2B"/>
    <w:rsid w:val="00CC4034"/>
    <w:rsid w:val="00CC412A"/>
    <w:rsid w:val="00CC4B54"/>
    <w:rsid w:val="00CC51EE"/>
    <w:rsid w:val="00CC725E"/>
    <w:rsid w:val="00CC7400"/>
    <w:rsid w:val="00CC7ADA"/>
    <w:rsid w:val="00CC7B45"/>
    <w:rsid w:val="00CD024A"/>
    <w:rsid w:val="00CD0865"/>
    <w:rsid w:val="00CD0CA9"/>
    <w:rsid w:val="00CD1188"/>
    <w:rsid w:val="00CD1EE4"/>
    <w:rsid w:val="00CD2659"/>
    <w:rsid w:val="00CD2A3C"/>
    <w:rsid w:val="00CD2AF1"/>
    <w:rsid w:val="00CD2ED1"/>
    <w:rsid w:val="00CD337B"/>
    <w:rsid w:val="00CD3967"/>
    <w:rsid w:val="00CD3A48"/>
    <w:rsid w:val="00CD447B"/>
    <w:rsid w:val="00CD466E"/>
    <w:rsid w:val="00CD5263"/>
    <w:rsid w:val="00CD59B0"/>
    <w:rsid w:val="00CD6451"/>
    <w:rsid w:val="00CD7887"/>
    <w:rsid w:val="00CE0424"/>
    <w:rsid w:val="00CE097A"/>
    <w:rsid w:val="00CE0BF7"/>
    <w:rsid w:val="00CE0E3C"/>
    <w:rsid w:val="00CE0E5B"/>
    <w:rsid w:val="00CE10F1"/>
    <w:rsid w:val="00CE15A4"/>
    <w:rsid w:val="00CE1F75"/>
    <w:rsid w:val="00CE2531"/>
    <w:rsid w:val="00CE2FC9"/>
    <w:rsid w:val="00CE365C"/>
    <w:rsid w:val="00CE484B"/>
    <w:rsid w:val="00CE4BE3"/>
    <w:rsid w:val="00CE502A"/>
    <w:rsid w:val="00CE5431"/>
    <w:rsid w:val="00CE5855"/>
    <w:rsid w:val="00CE595F"/>
    <w:rsid w:val="00CE646E"/>
    <w:rsid w:val="00CE715D"/>
    <w:rsid w:val="00CE7561"/>
    <w:rsid w:val="00CE7D67"/>
    <w:rsid w:val="00CE7E31"/>
    <w:rsid w:val="00CE7EB0"/>
    <w:rsid w:val="00CF007F"/>
    <w:rsid w:val="00CF05D4"/>
    <w:rsid w:val="00CF0865"/>
    <w:rsid w:val="00CF0933"/>
    <w:rsid w:val="00CF0EA5"/>
    <w:rsid w:val="00CF1354"/>
    <w:rsid w:val="00CF1698"/>
    <w:rsid w:val="00CF1C48"/>
    <w:rsid w:val="00CF24EE"/>
    <w:rsid w:val="00CF2710"/>
    <w:rsid w:val="00CF2885"/>
    <w:rsid w:val="00CF3412"/>
    <w:rsid w:val="00CF3B1F"/>
    <w:rsid w:val="00CF3BF6"/>
    <w:rsid w:val="00CF43A1"/>
    <w:rsid w:val="00CF47EF"/>
    <w:rsid w:val="00CF4829"/>
    <w:rsid w:val="00CF498C"/>
    <w:rsid w:val="00CF4A77"/>
    <w:rsid w:val="00CF4F41"/>
    <w:rsid w:val="00CF5260"/>
    <w:rsid w:val="00CF531A"/>
    <w:rsid w:val="00CF5823"/>
    <w:rsid w:val="00CF6150"/>
    <w:rsid w:val="00CF625B"/>
    <w:rsid w:val="00CF63DC"/>
    <w:rsid w:val="00CF6651"/>
    <w:rsid w:val="00CF687E"/>
    <w:rsid w:val="00CF6BBF"/>
    <w:rsid w:val="00CF6FDA"/>
    <w:rsid w:val="00CF756C"/>
    <w:rsid w:val="00D004EF"/>
    <w:rsid w:val="00D00F9E"/>
    <w:rsid w:val="00D0192D"/>
    <w:rsid w:val="00D01C19"/>
    <w:rsid w:val="00D02775"/>
    <w:rsid w:val="00D02C61"/>
    <w:rsid w:val="00D02DAD"/>
    <w:rsid w:val="00D030F7"/>
    <w:rsid w:val="00D0349B"/>
    <w:rsid w:val="00D03FAB"/>
    <w:rsid w:val="00D03FD6"/>
    <w:rsid w:val="00D044EB"/>
    <w:rsid w:val="00D0451A"/>
    <w:rsid w:val="00D0467F"/>
    <w:rsid w:val="00D0517B"/>
    <w:rsid w:val="00D0596C"/>
    <w:rsid w:val="00D0634C"/>
    <w:rsid w:val="00D0637A"/>
    <w:rsid w:val="00D0713C"/>
    <w:rsid w:val="00D07947"/>
    <w:rsid w:val="00D10249"/>
    <w:rsid w:val="00D10925"/>
    <w:rsid w:val="00D10953"/>
    <w:rsid w:val="00D10C7D"/>
    <w:rsid w:val="00D10CA0"/>
    <w:rsid w:val="00D10D6C"/>
    <w:rsid w:val="00D10DEC"/>
    <w:rsid w:val="00D115C3"/>
    <w:rsid w:val="00D11897"/>
    <w:rsid w:val="00D11B6C"/>
    <w:rsid w:val="00D12C3C"/>
    <w:rsid w:val="00D13135"/>
    <w:rsid w:val="00D13452"/>
    <w:rsid w:val="00D13BE8"/>
    <w:rsid w:val="00D13D39"/>
    <w:rsid w:val="00D13E0F"/>
    <w:rsid w:val="00D13E4E"/>
    <w:rsid w:val="00D13ED1"/>
    <w:rsid w:val="00D14514"/>
    <w:rsid w:val="00D1491A"/>
    <w:rsid w:val="00D14A09"/>
    <w:rsid w:val="00D14D3A"/>
    <w:rsid w:val="00D15125"/>
    <w:rsid w:val="00D15F7F"/>
    <w:rsid w:val="00D15FBC"/>
    <w:rsid w:val="00D161B5"/>
    <w:rsid w:val="00D16564"/>
    <w:rsid w:val="00D16BC9"/>
    <w:rsid w:val="00D1750E"/>
    <w:rsid w:val="00D177F3"/>
    <w:rsid w:val="00D17A76"/>
    <w:rsid w:val="00D20128"/>
    <w:rsid w:val="00D208EA"/>
    <w:rsid w:val="00D20CD3"/>
    <w:rsid w:val="00D21306"/>
    <w:rsid w:val="00D2195D"/>
    <w:rsid w:val="00D21FED"/>
    <w:rsid w:val="00D22263"/>
    <w:rsid w:val="00D22466"/>
    <w:rsid w:val="00D22485"/>
    <w:rsid w:val="00D239A7"/>
    <w:rsid w:val="00D23E65"/>
    <w:rsid w:val="00D23F47"/>
    <w:rsid w:val="00D23FF6"/>
    <w:rsid w:val="00D24076"/>
    <w:rsid w:val="00D2474C"/>
    <w:rsid w:val="00D247E9"/>
    <w:rsid w:val="00D250B8"/>
    <w:rsid w:val="00D254DD"/>
    <w:rsid w:val="00D256D4"/>
    <w:rsid w:val="00D25B5D"/>
    <w:rsid w:val="00D25F52"/>
    <w:rsid w:val="00D26144"/>
    <w:rsid w:val="00D261BD"/>
    <w:rsid w:val="00D26354"/>
    <w:rsid w:val="00D26A85"/>
    <w:rsid w:val="00D26CBC"/>
    <w:rsid w:val="00D26D45"/>
    <w:rsid w:val="00D27178"/>
    <w:rsid w:val="00D27828"/>
    <w:rsid w:val="00D30335"/>
    <w:rsid w:val="00D30F76"/>
    <w:rsid w:val="00D3105A"/>
    <w:rsid w:val="00D3106B"/>
    <w:rsid w:val="00D3112A"/>
    <w:rsid w:val="00D31363"/>
    <w:rsid w:val="00D31958"/>
    <w:rsid w:val="00D31A95"/>
    <w:rsid w:val="00D31EB9"/>
    <w:rsid w:val="00D32D64"/>
    <w:rsid w:val="00D33296"/>
    <w:rsid w:val="00D33434"/>
    <w:rsid w:val="00D3390D"/>
    <w:rsid w:val="00D339B8"/>
    <w:rsid w:val="00D34081"/>
    <w:rsid w:val="00D343B4"/>
    <w:rsid w:val="00D34626"/>
    <w:rsid w:val="00D348E9"/>
    <w:rsid w:val="00D34A15"/>
    <w:rsid w:val="00D34AD8"/>
    <w:rsid w:val="00D34D01"/>
    <w:rsid w:val="00D35726"/>
    <w:rsid w:val="00D35B6B"/>
    <w:rsid w:val="00D35B8C"/>
    <w:rsid w:val="00D35EF4"/>
    <w:rsid w:val="00D35FAA"/>
    <w:rsid w:val="00D3636E"/>
    <w:rsid w:val="00D36398"/>
    <w:rsid w:val="00D366DC"/>
    <w:rsid w:val="00D36D33"/>
    <w:rsid w:val="00D36E71"/>
    <w:rsid w:val="00D371CC"/>
    <w:rsid w:val="00D37233"/>
    <w:rsid w:val="00D37401"/>
    <w:rsid w:val="00D3761C"/>
    <w:rsid w:val="00D37A17"/>
    <w:rsid w:val="00D37CE1"/>
    <w:rsid w:val="00D37D51"/>
    <w:rsid w:val="00D37D87"/>
    <w:rsid w:val="00D4028A"/>
    <w:rsid w:val="00D4041A"/>
    <w:rsid w:val="00D40548"/>
    <w:rsid w:val="00D40596"/>
    <w:rsid w:val="00D40723"/>
    <w:rsid w:val="00D40B1C"/>
    <w:rsid w:val="00D40B26"/>
    <w:rsid w:val="00D40B33"/>
    <w:rsid w:val="00D412A2"/>
    <w:rsid w:val="00D417B8"/>
    <w:rsid w:val="00D41B12"/>
    <w:rsid w:val="00D4243E"/>
    <w:rsid w:val="00D426F0"/>
    <w:rsid w:val="00D4318F"/>
    <w:rsid w:val="00D432B5"/>
    <w:rsid w:val="00D434A3"/>
    <w:rsid w:val="00D434FF"/>
    <w:rsid w:val="00D438BF"/>
    <w:rsid w:val="00D43D1A"/>
    <w:rsid w:val="00D440F8"/>
    <w:rsid w:val="00D4479D"/>
    <w:rsid w:val="00D44A01"/>
    <w:rsid w:val="00D4530D"/>
    <w:rsid w:val="00D45BB6"/>
    <w:rsid w:val="00D45D51"/>
    <w:rsid w:val="00D46380"/>
    <w:rsid w:val="00D46B56"/>
    <w:rsid w:val="00D477A5"/>
    <w:rsid w:val="00D504EF"/>
    <w:rsid w:val="00D50829"/>
    <w:rsid w:val="00D50EE0"/>
    <w:rsid w:val="00D51DD4"/>
    <w:rsid w:val="00D522D2"/>
    <w:rsid w:val="00D52362"/>
    <w:rsid w:val="00D528A1"/>
    <w:rsid w:val="00D53093"/>
    <w:rsid w:val="00D5314E"/>
    <w:rsid w:val="00D5346B"/>
    <w:rsid w:val="00D538B1"/>
    <w:rsid w:val="00D53AC8"/>
    <w:rsid w:val="00D53DAA"/>
    <w:rsid w:val="00D546FF"/>
    <w:rsid w:val="00D552A6"/>
    <w:rsid w:val="00D555BF"/>
    <w:rsid w:val="00D55AD5"/>
    <w:rsid w:val="00D57151"/>
    <w:rsid w:val="00D57156"/>
    <w:rsid w:val="00D571A6"/>
    <w:rsid w:val="00D57213"/>
    <w:rsid w:val="00D576CA"/>
    <w:rsid w:val="00D57A46"/>
    <w:rsid w:val="00D57AFE"/>
    <w:rsid w:val="00D57E0F"/>
    <w:rsid w:val="00D60563"/>
    <w:rsid w:val="00D6085B"/>
    <w:rsid w:val="00D60943"/>
    <w:rsid w:val="00D60ABF"/>
    <w:rsid w:val="00D60B3A"/>
    <w:rsid w:val="00D60E79"/>
    <w:rsid w:val="00D619EE"/>
    <w:rsid w:val="00D61ABE"/>
    <w:rsid w:val="00D61AF5"/>
    <w:rsid w:val="00D61CB4"/>
    <w:rsid w:val="00D6210F"/>
    <w:rsid w:val="00D6249E"/>
    <w:rsid w:val="00D624D3"/>
    <w:rsid w:val="00D62534"/>
    <w:rsid w:val="00D62A97"/>
    <w:rsid w:val="00D6426B"/>
    <w:rsid w:val="00D65183"/>
    <w:rsid w:val="00D652B5"/>
    <w:rsid w:val="00D6547D"/>
    <w:rsid w:val="00D656D3"/>
    <w:rsid w:val="00D66155"/>
    <w:rsid w:val="00D670A2"/>
    <w:rsid w:val="00D67339"/>
    <w:rsid w:val="00D678B4"/>
    <w:rsid w:val="00D70375"/>
    <w:rsid w:val="00D708B0"/>
    <w:rsid w:val="00D70947"/>
    <w:rsid w:val="00D70B77"/>
    <w:rsid w:val="00D70B7C"/>
    <w:rsid w:val="00D70D93"/>
    <w:rsid w:val="00D7129E"/>
    <w:rsid w:val="00D714DC"/>
    <w:rsid w:val="00D7179A"/>
    <w:rsid w:val="00D71F0D"/>
    <w:rsid w:val="00D7224C"/>
    <w:rsid w:val="00D72557"/>
    <w:rsid w:val="00D7359F"/>
    <w:rsid w:val="00D739B6"/>
    <w:rsid w:val="00D73E92"/>
    <w:rsid w:val="00D73F2B"/>
    <w:rsid w:val="00D7409C"/>
    <w:rsid w:val="00D74369"/>
    <w:rsid w:val="00D7444F"/>
    <w:rsid w:val="00D749D9"/>
    <w:rsid w:val="00D74A61"/>
    <w:rsid w:val="00D74FCE"/>
    <w:rsid w:val="00D75594"/>
    <w:rsid w:val="00D7596D"/>
    <w:rsid w:val="00D75B3D"/>
    <w:rsid w:val="00D76C62"/>
    <w:rsid w:val="00D76CC1"/>
    <w:rsid w:val="00D77549"/>
    <w:rsid w:val="00D776E8"/>
    <w:rsid w:val="00D77B1D"/>
    <w:rsid w:val="00D77C57"/>
    <w:rsid w:val="00D77DE9"/>
    <w:rsid w:val="00D8021F"/>
    <w:rsid w:val="00D80299"/>
    <w:rsid w:val="00D80383"/>
    <w:rsid w:val="00D804A7"/>
    <w:rsid w:val="00D81591"/>
    <w:rsid w:val="00D81AA1"/>
    <w:rsid w:val="00D81EEB"/>
    <w:rsid w:val="00D823C6"/>
    <w:rsid w:val="00D82617"/>
    <w:rsid w:val="00D82F12"/>
    <w:rsid w:val="00D82F15"/>
    <w:rsid w:val="00D8327F"/>
    <w:rsid w:val="00D83E61"/>
    <w:rsid w:val="00D84250"/>
    <w:rsid w:val="00D8466D"/>
    <w:rsid w:val="00D85AA5"/>
    <w:rsid w:val="00D86075"/>
    <w:rsid w:val="00D8630B"/>
    <w:rsid w:val="00D86CA3"/>
    <w:rsid w:val="00D87074"/>
    <w:rsid w:val="00D871CE"/>
    <w:rsid w:val="00D871F5"/>
    <w:rsid w:val="00D873D0"/>
    <w:rsid w:val="00D878FE"/>
    <w:rsid w:val="00D87C49"/>
    <w:rsid w:val="00D87C8B"/>
    <w:rsid w:val="00D900A7"/>
    <w:rsid w:val="00D90608"/>
    <w:rsid w:val="00D90AC3"/>
    <w:rsid w:val="00D90B7C"/>
    <w:rsid w:val="00D9143D"/>
    <w:rsid w:val="00D9196D"/>
    <w:rsid w:val="00D91B0F"/>
    <w:rsid w:val="00D91BE6"/>
    <w:rsid w:val="00D91C4F"/>
    <w:rsid w:val="00D91F7D"/>
    <w:rsid w:val="00D920F8"/>
    <w:rsid w:val="00D9246D"/>
    <w:rsid w:val="00D926BE"/>
    <w:rsid w:val="00D92982"/>
    <w:rsid w:val="00D92D00"/>
    <w:rsid w:val="00D92E58"/>
    <w:rsid w:val="00D92E88"/>
    <w:rsid w:val="00D93419"/>
    <w:rsid w:val="00D934C3"/>
    <w:rsid w:val="00D93587"/>
    <w:rsid w:val="00D939B4"/>
    <w:rsid w:val="00D93D7B"/>
    <w:rsid w:val="00D9564F"/>
    <w:rsid w:val="00D95BF1"/>
    <w:rsid w:val="00D96467"/>
    <w:rsid w:val="00D96A17"/>
    <w:rsid w:val="00D96C30"/>
    <w:rsid w:val="00D96D51"/>
    <w:rsid w:val="00D96ECE"/>
    <w:rsid w:val="00D97000"/>
    <w:rsid w:val="00D9713C"/>
    <w:rsid w:val="00D975F5"/>
    <w:rsid w:val="00D9789B"/>
    <w:rsid w:val="00D97C45"/>
    <w:rsid w:val="00D97C86"/>
    <w:rsid w:val="00D97E51"/>
    <w:rsid w:val="00DA0374"/>
    <w:rsid w:val="00DA0C20"/>
    <w:rsid w:val="00DA175E"/>
    <w:rsid w:val="00DA24B2"/>
    <w:rsid w:val="00DA2755"/>
    <w:rsid w:val="00DA2FCB"/>
    <w:rsid w:val="00DA3028"/>
    <w:rsid w:val="00DA305E"/>
    <w:rsid w:val="00DA30A6"/>
    <w:rsid w:val="00DA3A13"/>
    <w:rsid w:val="00DA3AFB"/>
    <w:rsid w:val="00DA3F87"/>
    <w:rsid w:val="00DA3FB6"/>
    <w:rsid w:val="00DA4837"/>
    <w:rsid w:val="00DA4AA9"/>
    <w:rsid w:val="00DA5417"/>
    <w:rsid w:val="00DA55F5"/>
    <w:rsid w:val="00DA56E8"/>
    <w:rsid w:val="00DA5711"/>
    <w:rsid w:val="00DA59D8"/>
    <w:rsid w:val="00DA5EA7"/>
    <w:rsid w:val="00DA5FF2"/>
    <w:rsid w:val="00DA66D3"/>
    <w:rsid w:val="00DA6D53"/>
    <w:rsid w:val="00DA751E"/>
    <w:rsid w:val="00DA7599"/>
    <w:rsid w:val="00DA7881"/>
    <w:rsid w:val="00DA79E5"/>
    <w:rsid w:val="00DA7BDE"/>
    <w:rsid w:val="00DA7EF6"/>
    <w:rsid w:val="00DB0786"/>
    <w:rsid w:val="00DB0A9F"/>
    <w:rsid w:val="00DB0B47"/>
    <w:rsid w:val="00DB1188"/>
    <w:rsid w:val="00DB11D4"/>
    <w:rsid w:val="00DB14CF"/>
    <w:rsid w:val="00DB19EE"/>
    <w:rsid w:val="00DB314E"/>
    <w:rsid w:val="00DB377D"/>
    <w:rsid w:val="00DB3B78"/>
    <w:rsid w:val="00DB3E54"/>
    <w:rsid w:val="00DB3E7B"/>
    <w:rsid w:val="00DB4110"/>
    <w:rsid w:val="00DB453E"/>
    <w:rsid w:val="00DB560A"/>
    <w:rsid w:val="00DB5CEF"/>
    <w:rsid w:val="00DB5E33"/>
    <w:rsid w:val="00DB66C5"/>
    <w:rsid w:val="00DB741C"/>
    <w:rsid w:val="00DB7773"/>
    <w:rsid w:val="00DB7F0A"/>
    <w:rsid w:val="00DC0408"/>
    <w:rsid w:val="00DC0FBD"/>
    <w:rsid w:val="00DC18D1"/>
    <w:rsid w:val="00DC1CFB"/>
    <w:rsid w:val="00DC1F58"/>
    <w:rsid w:val="00DC2785"/>
    <w:rsid w:val="00DC2A92"/>
    <w:rsid w:val="00DC2D36"/>
    <w:rsid w:val="00DC2DBC"/>
    <w:rsid w:val="00DC35DC"/>
    <w:rsid w:val="00DC37E8"/>
    <w:rsid w:val="00DC387B"/>
    <w:rsid w:val="00DC3FD7"/>
    <w:rsid w:val="00DC499F"/>
    <w:rsid w:val="00DC4E04"/>
    <w:rsid w:val="00DC5299"/>
    <w:rsid w:val="00DC53EF"/>
    <w:rsid w:val="00DC5BCF"/>
    <w:rsid w:val="00DC5FCB"/>
    <w:rsid w:val="00DC657E"/>
    <w:rsid w:val="00DC6D45"/>
    <w:rsid w:val="00DC7003"/>
    <w:rsid w:val="00DC7699"/>
    <w:rsid w:val="00DC7B6A"/>
    <w:rsid w:val="00DC7C4B"/>
    <w:rsid w:val="00DC7DC3"/>
    <w:rsid w:val="00DD0177"/>
    <w:rsid w:val="00DD0268"/>
    <w:rsid w:val="00DD0429"/>
    <w:rsid w:val="00DD0AE2"/>
    <w:rsid w:val="00DD123A"/>
    <w:rsid w:val="00DD1749"/>
    <w:rsid w:val="00DD1859"/>
    <w:rsid w:val="00DD1CD3"/>
    <w:rsid w:val="00DD2C53"/>
    <w:rsid w:val="00DD358D"/>
    <w:rsid w:val="00DD36DB"/>
    <w:rsid w:val="00DD4325"/>
    <w:rsid w:val="00DD495C"/>
    <w:rsid w:val="00DD4E59"/>
    <w:rsid w:val="00DD4FD3"/>
    <w:rsid w:val="00DD5782"/>
    <w:rsid w:val="00DD5898"/>
    <w:rsid w:val="00DD596F"/>
    <w:rsid w:val="00DD59C0"/>
    <w:rsid w:val="00DD5C62"/>
    <w:rsid w:val="00DD5E07"/>
    <w:rsid w:val="00DD6103"/>
    <w:rsid w:val="00DD7B50"/>
    <w:rsid w:val="00DD7F37"/>
    <w:rsid w:val="00DD7F97"/>
    <w:rsid w:val="00DD7FB5"/>
    <w:rsid w:val="00DE0439"/>
    <w:rsid w:val="00DE0B33"/>
    <w:rsid w:val="00DE0F8B"/>
    <w:rsid w:val="00DE13A9"/>
    <w:rsid w:val="00DE24E6"/>
    <w:rsid w:val="00DE2848"/>
    <w:rsid w:val="00DE2CF3"/>
    <w:rsid w:val="00DE3FB7"/>
    <w:rsid w:val="00DE5206"/>
    <w:rsid w:val="00DE523A"/>
    <w:rsid w:val="00DE55AC"/>
    <w:rsid w:val="00DE5608"/>
    <w:rsid w:val="00DE58D0"/>
    <w:rsid w:val="00DE5CE1"/>
    <w:rsid w:val="00DE5E41"/>
    <w:rsid w:val="00DE654F"/>
    <w:rsid w:val="00DE682D"/>
    <w:rsid w:val="00DE6C13"/>
    <w:rsid w:val="00DE6D63"/>
    <w:rsid w:val="00DE750A"/>
    <w:rsid w:val="00DE7B99"/>
    <w:rsid w:val="00DE7C4C"/>
    <w:rsid w:val="00DE7CA6"/>
    <w:rsid w:val="00DF002D"/>
    <w:rsid w:val="00DF01F0"/>
    <w:rsid w:val="00DF06C8"/>
    <w:rsid w:val="00DF0B6E"/>
    <w:rsid w:val="00DF0E7D"/>
    <w:rsid w:val="00DF11D4"/>
    <w:rsid w:val="00DF15E0"/>
    <w:rsid w:val="00DF207F"/>
    <w:rsid w:val="00DF2211"/>
    <w:rsid w:val="00DF323C"/>
    <w:rsid w:val="00DF32DC"/>
    <w:rsid w:val="00DF37A0"/>
    <w:rsid w:val="00DF40A4"/>
    <w:rsid w:val="00DF41E2"/>
    <w:rsid w:val="00DF4E01"/>
    <w:rsid w:val="00DF5085"/>
    <w:rsid w:val="00DF5B3C"/>
    <w:rsid w:val="00DF5C95"/>
    <w:rsid w:val="00DF5DE2"/>
    <w:rsid w:val="00DF74BE"/>
    <w:rsid w:val="00DF7B77"/>
    <w:rsid w:val="00E00A71"/>
    <w:rsid w:val="00E00D01"/>
    <w:rsid w:val="00E012EF"/>
    <w:rsid w:val="00E0166E"/>
    <w:rsid w:val="00E0196E"/>
    <w:rsid w:val="00E01C9A"/>
    <w:rsid w:val="00E0236B"/>
    <w:rsid w:val="00E0251B"/>
    <w:rsid w:val="00E027DE"/>
    <w:rsid w:val="00E02E71"/>
    <w:rsid w:val="00E0377A"/>
    <w:rsid w:val="00E03813"/>
    <w:rsid w:val="00E03BE6"/>
    <w:rsid w:val="00E03E12"/>
    <w:rsid w:val="00E04F6C"/>
    <w:rsid w:val="00E05304"/>
    <w:rsid w:val="00E058A0"/>
    <w:rsid w:val="00E05AE3"/>
    <w:rsid w:val="00E05C75"/>
    <w:rsid w:val="00E05CD2"/>
    <w:rsid w:val="00E05D90"/>
    <w:rsid w:val="00E061F8"/>
    <w:rsid w:val="00E062B9"/>
    <w:rsid w:val="00E0677A"/>
    <w:rsid w:val="00E06E16"/>
    <w:rsid w:val="00E101D2"/>
    <w:rsid w:val="00E110E7"/>
    <w:rsid w:val="00E11228"/>
    <w:rsid w:val="00E11B20"/>
    <w:rsid w:val="00E1228B"/>
    <w:rsid w:val="00E12327"/>
    <w:rsid w:val="00E1249A"/>
    <w:rsid w:val="00E125E0"/>
    <w:rsid w:val="00E12875"/>
    <w:rsid w:val="00E12BA0"/>
    <w:rsid w:val="00E12E4A"/>
    <w:rsid w:val="00E147B3"/>
    <w:rsid w:val="00E148B3"/>
    <w:rsid w:val="00E15AAD"/>
    <w:rsid w:val="00E15DB6"/>
    <w:rsid w:val="00E16570"/>
    <w:rsid w:val="00E1691A"/>
    <w:rsid w:val="00E17FA2"/>
    <w:rsid w:val="00E2090F"/>
    <w:rsid w:val="00E217BF"/>
    <w:rsid w:val="00E21AC7"/>
    <w:rsid w:val="00E22169"/>
    <w:rsid w:val="00E22330"/>
    <w:rsid w:val="00E226D9"/>
    <w:rsid w:val="00E241EE"/>
    <w:rsid w:val="00E245EE"/>
    <w:rsid w:val="00E246DF"/>
    <w:rsid w:val="00E2481B"/>
    <w:rsid w:val="00E25CCF"/>
    <w:rsid w:val="00E26167"/>
    <w:rsid w:val="00E262F2"/>
    <w:rsid w:val="00E26FFD"/>
    <w:rsid w:val="00E272D4"/>
    <w:rsid w:val="00E27E6B"/>
    <w:rsid w:val="00E3032B"/>
    <w:rsid w:val="00E305B0"/>
    <w:rsid w:val="00E30B5A"/>
    <w:rsid w:val="00E30E5F"/>
    <w:rsid w:val="00E30F36"/>
    <w:rsid w:val="00E3123D"/>
    <w:rsid w:val="00E31461"/>
    <w:rsid w:val="00E315D7"/>
    <w:rsid w:val="00E31BBA"/>
    <w:rsid w:val="00E31D43"/>
    <w:rsid w:val="00E32106"/>
    <w:rsid w:val="00E3223A"/>
    <w:rsid w:val="00E32608"/>
    <w:rsid w:val="00E32E13"/>
    <w:rsid w:val="00E33203"/>
    <w:rsid w:val="00E332F3"/>
    <w:rsid w:val="00E33B23"/>
    <w:rsid w:val="00E3402F"/>
    <w:rsid w:val="00E34188"/>
    <w:rsid w:val="00E34327"/>
    <w:rsid w:val="00E34398"/>
    <w:rsid w:val="00E34447"/>
    <w:rsid w:val="00E34614"/>
    <w:rsid w:val="00E34702"/>
    <w:rsid w:val="00E34866"/>
    <w:rsid w:val="00E34AE7"/>
    <w:rsid w:val="00E34B6E"/>
    <w:rsid w:val="00E34CE6"/>
    <w:rsid w:val="00E35559"/>
    <w:rsid w:val="00E358B3"/>
    <w:rsid w:val="00E36C2C"/>
    <w:rsid w:val="00E36EF9"/>
    <w:rsid w:val="00E3723A"/>
    <w:rsid w:val="00E374D4"/>
    <w:rsid w:val="00E37860"/>
    <w:rsid w:val="00E40099"/>
    <w:rsid w:val="00E40473"/>
    <w:rsid w:val="00E40BA9"/>
    <w:rsid w:val="00E41073"/>
    <w:rsid w:val="00E41712"/>
    <w:rsid w:val="00E41735"/>
    <w:rsid w:val="00E41967"/>
    <w:rsid w:val="00E420A8"/>
    <w:rsid w:val="00E422E4"/>
    <w:rsid w:val="00E4262C"/>
    <w:rsid w:val="00E43457"/>
    <w:rsid w:val="00E43758"/>
    <w:rsid w:val="00E44493"/>
    <w:rsid w:val="00E4462B"/>
    <w:rsid w:val="00E44649"/>
    <w:rsid w:val="00E446F1"/>
    <w:rsid w:val="00E45049"/>
    <w:rsid w:val="00E45145"/>
    <w:rsid w:val="00E4540C"/>
    <w:rsid w:val="00E45522"/>
    <w:rsid w:val="00E459F9"/>
    <w:rsid w:val="00E45C72"/>
    <w:rsid w:val="00E45F90"/>
    <w:rsid w:val="00E45FD0"/>
    <w:rsid w:val="00E46645"/>
    <w:rsid w:val="00E466A3"/>
    <w:rsid w:val="00E46886"/>
    <w:rsid w:val="00E46B19"/>
    <w:rsid w:val="00E46B9C"/>
    <w:rsid w:val="00E4761E"/>
    <w:rsid w:val="00E476B8"/>
    <w:rsid w:val="00E47AEF"/>
    <w:rsid w:val="00E47E98"/>
    <w:rsid w:val="00E50002"/>
    <w:rsid w:val="00E504D1"/>
    <w:rsid w:val="00E50D8C"/>
    <w:rsid w:val="00E51284"/>
    <w:rsid w:val="00E51B9C"/>
    <w:rsid w:val="00E51BD8"/>
    <w:rsid w:val="00E51E1A"/>
    <w:rsid w:val="00E53469"/>
    <w:rsid w:val="00E5353F"/>
    <w:rsid w:val="00E53B75"/>
    <w:rsid w:val="00E53F11"/>
    <w:rsid w:val="00E54048"/>
    <w:rsid w:val="00E5434B"/>
    <w:rsid w:val="00E54934"/>
    <w:rsid w:val="00E54950"/>
    <w:rsid w:val="00E54A45"/>
    <w:rsid w:val="00E54E3B"/>
    <w:rsid w:val="00E551D0"/>
    <w:rsid w:val="00E5534C"/>
    <w:rsid w:val="00E555AE"/>
    <w:rsid w:val="00E559F0"/>
    <w:rsid w:val="00E55A70"/>
    <w:rsid w:val="00E55F21"/>
    <w:rsid w:val="00E56467"/>
    <w:rsid w:val="00E567A4"/>
    <w:rsid w:val="00E56938"/>
    <w:rsid w:val="00E56F1B"/>
    <w:rsid w:val="00E57565"/>
    <w:rsid w:val="00E577A5"/>
    <w:rsid w:val="00E6018F"/>
    <w:rsid w:val="00E6043F"/>
    <w:rsid w:val="00E60851"/>
    <w:rsid w:val="00E60C63"/>
    <w:rsid w:val="00E60E73"/>
    <w:rsid w:val="00E60F1F"/>
    <w:rsid w:val="00E6180E"/>
    <w:rsid w:val="00E628A1"/>
    <w:rsid w:val="00E62C11"/>
    <w:rsid w:val="00E633B9"/>
    <w:rsid w:val="00E63838"/>
    <w:rsid w:val="00E63C1B"/>
    <w:rsid w:val="00E63D99"/>
    <w:rsid w:val="00E642D8"/>
    <w:rsid w:val="00E64434"/>
    <w:rsid w:val="00E6470C"/>
    <w:rsid w:val="00E650FE"/>
    <w:rsid w:val="00E651E2"/>
    <w:rsid w:val="00E653F5"/>
    <w:rsid w:val="00E659A6"/>
    <w:rsid w:val="00E66993"/>
    <w:rsid w:val="00E67628"/>
    <w:rsid w:val="00E67862"/>
    <w:rsid w:val="00E67B52"/>
    <w:rsid w:val="00E67C51"/>
    <w:rsid w:val="00E70033"/>
    <w:rsid w:val="00E709C3"/>
    <w:rsid w:val="00E70C67"/>
    <w:rsid w:val="00E7108E"/>
    <w:rsid w:val="00E714EC"/>
    <w:rsid w:val="00E72EFC"/>
    <w:rsid w:val="00E7304D"/>
    <w:rsid w:val="00E73586"/>
    <w:rsid w:val="00E7380B"/>
    <w:rsid w:val="00E74410"/>
    <w:rsid w:val="00E74842"/>
    <w:rsid w:val="00E74E36"/>
    <w:rsid w:val="00E752B1"/>
    <w:rsid w:val="00E7547F"/>
    <w:rsid w:val="00E758EC"/>
    <w:rsid w:val="00E75C87"/>
    <w:rsid w:val="00E7631F"/>
    <w:rsid w:val="00E76548"/>
    <w:rsid w:val="00E76553"/>
    <w:rsid w:val="00E765DD"/>
    <w:rsid w:val="00E77484"/>
    <w:rsid w:val="00E77DAF"/>
    <w:rsid w:val="00E8088E"/>
    <w:rsid w:val="00E80BDB"/>
    <w:rsid w:val="00E80C44"/>
    <w:rsid w:val="00E80F64"/>
    <w:rsid w:val="00E8150D"/>
    <w:rsid w:val="00E81584"/>
    <w:rsid w:val="00E81917"/>
    <w:rsid w:val="00E8234C"/>
    <w:rsid w:val="00E8236B"/>
    <w:rsid w:val="00E824D5"/>
    <w:rsid w:val="00E8252F"/>
    <w:rsid w:val="00E8256D"/>
    <w:rsid w:val="00E8269C"/>
    <w:rsid w:val="00E82BCE"/>
    <w:rsid w:val="00E82C8F"/>
    <w:rsid w:val="00E830BD"/>
    <w:rsid w:val="00E835E6"/>
    <w:rsid w:val="00E837CD"/>
    <w:rsid w:val="00E83AA9"/>
    <w:rsid w:val="00E83E5E"/>
    <w:rsid w:val="00E84037"/>
    <w:rsid w:val="00E8497E"/>
    <w:rsid w:val="00E84ACA"/>
    <w:rsid w:val="00E84DC3"/>
    <w:rsid w:val="00E85928"/>
    <w:rsid w:val="00E85BB5"/>
    <w:rsid w:val="00E86034"/>
    <w:rsid w:val="00E862DE"/>
    <w:rsid w:val="00E873CC"/>
    <w:rsid w:val="00E87822"/>
    <w:rsid w:val="00E87C9C"/>
    <w:rsid w:val="00E90098"/>
    <w:rsid w:val="00E90395"/>
    <w:rsid w:val="00E90E49"/>
    <w:rsid w:val="00E917F9"/>
    <w:rsid w:val="00E91B88"/>
    <w:rsid w:val="00E9291C"/>
    <w:rsid w:val="00E92F62"/>
    <w:rsid w:val="00E9389A"/>
    <w:rsid w:val="00E93DA5"/>
    <w:rsid w:val="00E93FFE"/>
    <w:rsid w:val="00E9412B"/>
    <w:rsid w:val="00E9436C"/>
    <w:rsid w:val="00E946AC"/>
    <w:rsid w:val="00E94B57"/>
    <w:rsid w:val="00E94C97"/>
    <w:rsid w:val="00E94F8A"/>
    <w:rsid w:val="00E951D6"/>
    <w:rsid w:val="00E953E4"/>
    <w:rsid w:val="00E954A3"/>
    <w:rsid w:val="00E95654"/>
    <w:rsid w:val="00E96ABC"/>
    <w:rsid w:val="00E97097"/>
    <w:rsid w:val="00E97E40"/>
    <w:rsid w:val="00E97FFA"/>
    <w:rsid w:val="00EA00D7"/>
    <w:rsid w:val="00EA022C"/>
    <w:rsid w:val="00EA1330"/>
    <w:rsid w:val="00EA15F4"/>
    <w:rsid w:val="00EA1ACC"/>
    <w:rsid w:val="00EA1C44"/>
    <w:rsid w:val="00EA2104"/>
    <w:rsid w:val="00EA2A00"/>
    <w:rsid w:val="00EA2E04"/>
    <w:rsid w:val="00EA3512"/>
    <w:rsid w:val="00EA4220"/>
    <w:rsid w:val="00EA4CF6"/>
    <w:rsid w:val="00EA4E77"/>
    <w:rsid w:val="00EA55F9"/>
    <w:rsid w:val="00EA5C6C"/>
    <w:rsid w:val="00EA5CEB"/>
    <w:rsid w:val="00EA63C3"/>
    <w:rsid w:val="00EA6DC3"/>
    <w:rsid w:val="00EA70DC"/>
    <w:rsid w:val="00EA78D4"/>
    <w:rsid w:val="00EA7A19"/>
    <w:rsid w:val="00EA7A41"/>
    <w:rsid w:val="00EA7E1C"/>
    <w:rsid w:val="00EB05F9"/>
    <w:rsid w:val="00EB077B"/>
    <w:rsid w:val="00EB0CC2"/>
    <w:rsid w:val="00EB0EBF"/>
    <w:rsid w:val="00EB128F"/>
    <w:rsid w:val="00EB138A"/>
    <w:rsid w:val="00EB1A19"/>
    <w:rsid w:val="00EB1E53"/>
    <w:rsid w:val="00EB2421"/>
    <w:rsid w:val="00EB2960"/>
    <w:rsid w:val="00EB2E80"/>
    <w:rsid w:val="00EB347C"/>
    <w:rsid w:val="00EB3F72"/>
    <w:rsid w:val="00EB49D6"/>
    <w:rsid w:val="00EB4A31"/>
    <w:rsid w:val="00EB4BB5"/>
    <w:rsid w:val="00EB4EA2"/>
    <w:rsid w:val="00EB5CF7"/>
    <w:rsid w:val="00EB5DF7"/>
    <w:rsid w:val="00EB64C3"/>
    <w:rsid w:val="00EB66DB"/>
    <w:rsid w:val="00EB6FDB"/>
    <w:rsid w:val="00EB76CB"/>
    <w:rsid w:val="00EB776A"/>
    <w:rsid w:val="00EB7AD7"/>
    <w:rsid w:val="00EB7E04"/>
    <w:rsid w:val="00EC052D"/>
    <w:rsid w:val="00EC068C"/>
    <w:rsid w:val="00EC0A9A"/>
    <w:rsid w:val="00EC0DE3"/>
    <w:rsid w:val="00EC1AE9"/>
    <w:rsid w:val="00EC21FF"/>
    <w:rsid w:val="00EC24A9"/>
    <w:rsid w:val="00EC24D5"/>
    <w:rsid w:val="00EC27C6"/>
    <w:rsid w:val="00EC2899"/>
    <w:rsid w:val="00EC2AB6"/>
    <w:rsid w:val="00EC36B5"/>
    <w:rsid w:val="00EC36D7"/>
    <w:rsid w:val="00EC3753"/>
    <w:rsid w:val="00EC3E2B"/>
    <w:rsid w:val="00EC3F4E"/>
    <w:rsid w:val="00EC4022"/>
    <w:rsid w:val="00EC4207"/>
    <w:rsid w:val="00EC4330"/>
    <w:rsid w:val="00EC501B"/>
    <w:rsid w:val="00EC50A0"/>
    <w:rsid w:val="00EC5653"/>
    <w:rsid w:val="00EC5B84"/>
    <w:rsid w:val="00EC5C5C"/>
    <w:rsid w:val="00EC6CA4"/>
    <w:rsid w:val="00EC71CE"/>
    <w:rsid w:val="00EC7717"/>
    <w:rsid w:val="00EC78EF"/>
    <w:rsid w:val="00EC7A3C"/>
    <w:rsid w:val="00EC7A60"/>
    <w:rsid w:val="00ED02B8"/>
    <w:rsid w:val="00ED0CCF"/>
    <w:rsid w:val="00ED0DF5"/>
    <w:rsid w:val="00ED0FA8"/>
    <w:rsid w:val="00ED1006"/>
    <w:rsid w:val="00ED11DD"/>
    <w:rsid w:val="00ED1D44"/>
    <w:rsid w:val="00ED2769"/>
    <w:rsid w:val="00ED29EA"/>
    <w:rsid w:val="00ED314F"/>
    <w:rsid w:val="00ED31F8"/>
    <w:rsid w:val="00ED3456"/>
    <w:rsid w:val="00ED3915"/>
    <w:rsid w:val="00ED43F6"/>
    <w:rsid w:val="00ED4E4F"/>
    <w:rsid w:val="00ED5329"/>
    <w:rsid w:val="00ED565A"/>
    <w:rsid w:val="00ED5A6E"/>
    <w:rsid w:val="00ED5EC8"/>
    <w:rsid w:val="00ED5F71"/>
    <w:rsid w:val="00ED5FEE"/>
    <w:rsid w:val="00ED6063"/>
    <w:rsid w:val="00ED60D7"/>
    <w:rsid w:val="00ED6579"/>
    <w:rsid w:val="00ED6A6E"/>
    <w:rsid w:val="00ED6E7E"/>
    <w:rsid w:val="00ED7C83"/>
    <w:rsid w:val="00ED7D47"/>
    <w:rsid w:val="00ED7E04"/>
    <w:rsid w:val="00ED7EDC"/>
    <w:rsid w:val="00EE021B"/>
    <w:rsid w:val="00EE0D0A"/>
    <w:rsid w:val="00EE11F0"/>
    <w:rsid w:val="00EE1991"/>
    <w:rsid w:val="00EE259D"/>
    <w:rsid w:val="00EE280C"/>
    <w:rsid w:val="00EE2E29"/>
    <w:rsid w:val="00EE3262"/>
    <w:rsid w:val="00EE32FA"/>
    <w:rsid w:val="00EE33FC"/>
    <w:rsid w:val="00EE34D3"/>
    <w:rsid w:val="00EE4339"/>
    <w:rsid w:val="00EE457C"/>
    <w:rsid w:val="00EE5B8C"/>
    <w:rsid w:val="00EE6737"/>
    <w:rsid w:val="00EE6A4F"/>
    <w:rsid w:val="00EE728D"/>
    <w:rsid w:val="00EE7B91"/>
    <w:rsid w:val="00EE7BB0"/>
    <w:rsid w:val="00EE7D53"/>
    <w:rsid w:val="00EE7ED2"/>
    <w:rsid w:val="00EF04AE"/>
    <w:rsid w:val="00EF0811"/>
    <w:rsid w:val="00EF09BF"/>
    <w:rsid w:val="00EF0BF2"/>
    <w:rsid w:val="00EF0BFD"/>
    <w:rsid w:val="00EF108D"/>
    <w:rsid w:val="00EF144D"/>
    <w:rsid w:val="00EF15BC"/>
    <w:rsid w:val="00EF18FE"/>
    <w:rsid w:val="00EF195D"/>
    <w:rsid w:val="00EF1B82"/>
    <w:rsid w:val="00EF1FD8"/>
    <w:rsid w:val="00EF2A78"/>
    <w:rsid w:val="00EF35CF"/>
    <w:rsid w:val="00EF39E9"/>
    <w:rsid w:val="00EF3AFC"/>
    <w:rsid w:val="00EF3CE4"/>
    <w:rsid w:val="00EF3E17"/>
    <w:rsid w:val="00EF3EEC"/>
    <w:rsid w:val="00EF433D"/>
    <w:rsid w:val="00EF436C"/>
    <w:rsid w:val="00EF44F1"/>
    <w:rsid w:val="00EF5787"/>
    <w:rsid w:val="00EF5CBC"/>
    <w:rsid w:val="00EF5E2C"/>
    <w:rsid w:val="00EF609B"/>
    <w:rsid w:val="00EF60D0"/>
    <w:rsid w:val="00EF6FFF"/>
    <w:rsid w:val="00EF7602"/>
    <w:rsid w:val="00EF7B6A"/>
    <w:rsid w:val="00EF7C1C"/>
    <w:rsid w:val="00EF7C7D"/>
    <w:rsid w:val="00EF7F7F"/>
    <w:rsid w:val="00F00184"/>
    <w:rsid w:val="00F00233"/>
    <w:rsid w:val="00F00437"/>
    <w:rsid w:val="00F00B2C"/>
    <w:rsid w:val="00F00BBD"/>
    <w:rsid w:val="00F00D1C"/>
    <w:rsid w:val="00F01159"/>
    <w:rsid w:val="00F01189"/>
    <w:rsid w:val="00F01E94"/>
    <w:rsid w:val="00F01EC0"/>
    <w:rsid w:val="00F024E5"/>
    <w:rsid w:val="00F02504"/>
    <w:rsid w:val="00F02695"/>
    <w:rsid w:val="00F030D4"/>
    <w:rsid w:val="00F03533"/>
    <w:rsid w:val="00F0373D"/>
    <w:rsid w:val="00F0399D"/>
    <w:rsid w:val="00F04087"/>
    <w:rsid w:val="00F04BCE"/>
    <w:rsid w:val="00F04D6B"/>
    <w:rsid w:val="00F0528D"/>
    <w:rsid w:val="00F069F7"/>
    <w:rsid w:val="00F06C67"/>
    <w:rsid w:val="00F06DFD"/>
    <w:rsid w:val="00F071D1"/>
    <w:rsid w:val="00F07533"/>
    <w:rsid w:val="00F076D1"/>
    <w:rsid w:val="00F078B8"/>
    <w:rsid w:val="00F07BE1"/>
    <w:rsid w:val="00F07D7D"/>
    <w:rsid w:val="00F10629"/>
    <w:rsid w:val="00F11176"/>
    <w:rsid w:val="00F1182B"/>
    <w:rsid w:val="00F11C8F"/>
    <w:rsid w:val="00F12431"/>
    <w:rsid w:val="00F12563"/>
    <w:rsid w:val="00F127D1"/>
    <w:rsid w:val="00F127F6"/>
    <w:rsid w:val="00F129DE"/>
    <w:rsid w:val="00F12CAD"/>
    <w:rsid w:val="00F1344C"/>
    <w:rsid w:val="00F13728"/>
    <w:rsid w:val="00F13F68"/>
    <w:rsid w:val="00F14777"/>
    <w:rsid w:val="00F147D2"/>
    <w:rsid w:val="00F14E55"/>
    <w:rsid w:val="00F1508F"/>
    <w:rsid w:val="00F15159"/>
    <w:rsid w:val="00F1562F"/>
    <w:rsid w:val="00F15C4B"/>
    <w:rsid w:val="00F15FA5"/>
    <w:rsid w:val="00F16588"/>
    <w:rsid w:val="00F16C98"/>
    <w:rsid w:val="00F16CCD"/>
    <w:rsid w:val="00F16E7F"/>
    <w:rsid w:val="00F1725F"/>
    <w:rsid w:val="00F17554"/>
    <w:rsid w:val="00F178D3"/>
    <w:rsid w:val="00F17CDE"/>
    <w:rsid w:val="00F17D98"/>
    <w:rsid w:val="00F17F5E"/>
    <w:rsid w:val="00F208B9"/>
    <w:rsid w:val="00F209B7"/>
    <w:rsid w:val="00F20A20"/>
    <w:rsid w:val="00F20A21"/>
    <w:rsid w:val="00F20FBC"/>
    <w:rsid w:val="00F21237"/>
    <w:rsid w:val="00F2168B"/>
    <w:rsid w:val="00F21742"/>
    <w:rsid w:val="00F2177A"/>
    <w:rsid w:val="00F21F34"/>
    <w:rsid w:val="00F21FC3"/>
    <w:rsid w:val="00F22094"/>
    <w:rsid w:val="00F23336"/>
    <w:rsid w:val="00F236AB"/>
    <w:rsid w:val="00F2376F"/>
    <w:rsid w:val="00F238CA"/>
    <w:rsid w:val="00F24355"/>
    <w:rsid w:val="00F243D8"/>
    <w:rsid w:val="00F249AC"/>
    <w:rsid w:val="00F24C55"/>
    <w:rsid w:val="00F24F25"/>
    <w:rsid w:val="00F2502B"/>
    <w:rsid w:val="00F25F96"/>
    <w:rsid w:val="00F260A9"/>
    <w:rsid w:val="00F274D1"/>
    <w:rsid w:val="00F27843"/>
    <w:rsid w:val="00F27F0E"/>
    <w:rsid w:val="00F27FE2"/>
    <w:rsid w:val="00F303BA"/>
    <w:rsid w:val="00F30828"/>
    <w:rsid w:val="00F3086B"/>
    <w:rsid w:val="00F30EB0"/>
    <w:rsid w:val="00F313D6"/>
    <w:rsid w:val="00F31BFA"/>
    <w:rsid w:val="00F3206F"/>
    <w:rsid w:val="00F3232C"/>
    <w:rsid w:val="00F333B7"/>
    <w:rsid w:val="00F3396A"/>
    <w:rsid w:val="00F33D16"/>
    <w:rsid w:val="00F33FF8"/>
    <w:rsid w:val="00F340F0"/>
    <w:rsid w:val="00F34344"/>
    <w:rsid w:val="00F34CF2"/>
    <w:rsid w:val="00F353CC"/>
    <w:rsid w:val="00F35DDA"/>
    <w:rsid w:val="00F36FA6"/>
    <w:rsid w:val="00F36FE6"/>
    <w:rsid w:val="00F37B24"/>
    <w:rsid w:val="00F4009B"/>
    <w:rsid w:val="00F400E3"/>
    <w:rsid w:val="00F402DE"/>
    <w:rsid w:val="00F40506"/>
    <w:rsid w:val="00F40895"/>
    <w:rsid w:val="00F40977"/>
    <w:rsid w:val="00F40A34"/>
    <w:rsid w:val="00F40EDF"/>
    <w:rsid w:val="00F40F0C"/>
    <w:rsid w:val="00F41134"/>
    <w:rsid w:val="00F4162B"/>
    <w:rsid w:val="00F41C28"/>
    <w:rsid w:val="00F41E1B"/>
    <w:rsid w:val="00F421AE"/>
    <w:rsid w:val="00F4226C"/>
    <w:rsid w:val="00F43C36"/>
    <w:rsid w:val="00F43E32"/>
    <w:rsid w:val="00F443F8"/>
    <w:rsid w:val="00F447C0"/>
    <w:rsid w:val="00F44CC0"/>
    <w:rsid w:val="00F45173"/>
    <w:rsid w:val="00F4578F"/>
    <w:rsid w:val="00F45B85"/>
    <w:rsid w:val="00F468E9"/>
    <w:rsid w:val="00F46EF1"/>
    <w:rsid w:val="00F46FF4"/>
    <w:rsid w:val="00F4766C"/>
    <w:rsid w:val="00F47695"/>
    <w:rsid w:val="00F47F68"/>
    <w:rsid w:val="00F5060E"/>
    <w:rsid w:val="00F507D1"/>
    <w:rsid w:val="00F50C74"/>
    <w:rsid w:val="00F511C3"/>
    <w:rsid w:val="00F51253"/>
    <w:rsid w:val="00F513A7"/>
    <w:rsid w:val="00F519CE"/>
    <w:rsid w:val="00F51ADA"/>
    <w:rsid w:val="00F51B6E"/>
    <w:rsid w:val="00F51CAE"/>
    <w:rsid w:val="00F51D77"/>
    <w:rsid w:val="00F53316"/>
    <w:rsid w:val="00F53354"/>
    <w:rsid w:val="00F5386D"/>
    <w:rsid w:val="00F54146"/>
    <w:rsid w:val="00F54552"/>
    <w:rsid w:val="00F5594B"/>
    <w:rsid w:val="00F55BDD"/>
    <w:rsid w:val="00F56083"/>
    <w:rsid w:val="00F562D0"/>
    <w:rsid w:val="00F56388"/>
    <w:rsid w:val="00F56E25"/>
    <w:rsid w:val="00F57B39"/>
    <w:rsid w:val="00F60203"/>
    <w:rsid w:val="00F607C5"/>
    <w:rsid w:val="00F60AF3"/>
    <w:rsid w:val="00F60C58"/>
    <w:rsid w:val="00F60DEA"/>
    <w:rsid w:val="00F61BEA"/>
    <w:rsid w:val="00F621A5"/>
    <w:rsid w:val="00F623A4"/>
    <w:rsid w:val="00F62954"/>
    <w:rsid w:val="00F6302A"/>
    <w:rsid w:val="00F63335"/>
    <w:rsid w:val="00F63950"/>
    <w:rsid w:val="00F64133"/>
    <w:rsid w:val="00F64201"/>
    <w:rsid w:val="00F643F2"/>
    <w:rsid w:val="00F6456F"/>
    <w:rsid w:val="00F64707"/>
    <w:rsid w:val="00F64BDA"/>
    <w:rsid w:val="00F64C2B"/>
    <w:rsid w:val="00F64DF8"/>
    <w:rsid w:val="00F6518D"/>
    <w:rsid w:val="00F651BE"/>
    <w:rsid w:val="00F65531"/>
    <w:rsid w:val="00F6574D"/>
    <w:rsid w:val="00F667A5"/>
    <w:rsid w:val="00F66875"/>
    <w:rsid w:val="00F66B53"/>
    <w:rsid w:val="00F66F3A"/>
    <w:rsid w:val="00F6751F"/>
    <w:rsid w:val="00F67719"/>
    <w:rsid w:val="00F67A61"/>
    <w:rsid w:val="00F67ACD"/>
    <w:rsid w:val="00F67AFF"/>
    <w:rsid w:val="00F67BA8"/>
    <w:rsid w:val="00F67D74"/>
    <w:rsid w:val="00F67E16"/>
    <w:rsid w:val="00F67F53"/>
    <w:rsid w:val="00F703BE"/>
    <w:rsid w:val="00F70870"/>
    <w:rsid w:val="00F70914"/>
    <w:rsid w:val="00F70A85"/>
    <w:rsid w:val="00F70CE9"/>
    <w:rsid w:val="00F71116"/>
    <w:rsid w:val="00F71F69"/>
    <w:rsid w:val="00F72128"/>
    <w:rsid w:val="00F7231E"/>
    <w:rsid w:val="00F72A4C"/>
    <w:rsid w:val="00F72B72"/>
    <w:rsid w:val="00F732B4"/>
    <w:rsid w:val="00F73610"/>
    <w:rsid w:val="00F738F6"/>
    <w:rsid w:val="00F73D37"/>
    <w:rsid w:val="00F740B5"/>
    <w:rsid w:val="00F740CD"/>
    <w:rsid w:val="00F74A0C"/>
    <w:rsid w:val="00F74AD7"/>
    <w:rsid w:val="00F74BB9"/>
    <w:rsid w:val="00F74DBB"/>
    <w:rsid w:val="00F74E4E"/>
    <w:rsid w:val="00F74FE0"/>
    <w:rsid w:val="00F75582"/>
    <w:rsid w:val="00F756AE"/>
    <w:rsid w:val="00F757B9"/>
    <w:rsid w:val="00F75AAC"/>
    <w:rsid w:val="00F76090"/>
    <w:rsid w:val="00F76715"/>
    <w:rsid w:val="00F76EFA"/>
    <w:rsid w:val="00F77BD8"/>
    <w:rsid w:val="00F804BE"/>
    <w:rsid w:val="00F80C0A"/>
    <w:rsid w:val="00F80C20"/>
    <w:rsid w:val="00F80DC9"/>
    <w:rsid w:val="00F80F4C"/>
    <w:rsid w:val="00F81449"/>
    <w:rsid w:val="00F817C8"/>
    <w:rsid w:val="00F817CE"/>
    <w:rsid w:val="00F8192E"/>
    <w:rsid w:val="00F8216E"/>
    <w:rsid w:val="00F8223B"/>
    <w:rsid w:val="00F822D2"/>
    <w:rsid w:val="00F82683"/>
    <w:rsid w:val="00F837D9"/>
    <w:rsid w:val="00F8456C"/>
    <w:rsid w:val="00F84798"/>
    <w:rsid w:val="00F853DF"/>
    <w:rsid w:val="00F856A7"/>
    <w:rsid w:val="00F856AD"/>
    <w:rsid w:val="00F8572F"/>
    <w:rsid w:val="00F859D8"/>
    <w:rsid w:val="00F863AF"/>
    <w:rsid w:val="00F8678E"/>
    <w:rsid w:val="00F868F5"/>
    <w:rsid w:val="00F86BC2"/>
    <w:rsid w:val="00F87877"/>
    <w:rsid w:val="00F901AD"/>
    <w:rsid w:val="00F904AD"/>
    <w:rsid w:val="00F9056A"/>
    <w:rsid w:val="00F9064B"/>
    <w:rsid w:val="00F909D2"/>
    <w:rsid w:val="00F90B15"/>
    <w:rsid w:val="00F90F1D"/>
    <w:rsid w:val="00F90F8D"/>
    <w:rsid w:val="00F913C3"/>
    <w:rsid w:val="00F91982"/>
    <w:rsid w:val="00F91C89"/>
    <w:rsid w:val="00F91E02"/>
    <w:rsid w:val="00F92047"/>
    <w:rsid w:val="00F92782"/>
    <w:rsid w:val="00F93AA9"/>
    <w:rsid w:val="00F93BE2"/>
    <w:rsid w:val="00F93C16"/>
    <w:rsid w:val="00F940BD"/>
    <w:rsid w:val="00F9444B"/>
    <w:rsid w:val="00F9462A"/>
    <w:rsid w:val="00F949E0"/>
    <w:rsid w:val="00F94E18"/>
    <w:rsid w:val="00F94F64"/>
    <w:rsid w:val="00F9542D"/>
    <w:rsid w:val="00F95613"/>
    <w:rsid w:val="00F960B0"/>
    <w:rsid w:val="00F963E1"/>
    <w:rsid w:val="00F96985"/>
    <w:rsid w:val="00F96D99"/>
    <w:rsid w:val="00F97172"/>
    <w:rsid w:val="00F9726B"/>
    <w:rsid w:val="00F97838"/>
    <w:rsid w:val="00F97EFC"/>
    <w:rsid w:val="00F97F10"/>
    <w:rsid w:val="00F97F75"/>
    <w:rsid w:val="00FA082F"/>
    <w:rsid w:val="00FA1BF8"/>
    <w:rsid w:val="00FA1CD8"/>
    <w:rsid w:val="00FA29E6"/>
    <w:rsid w:val="00FA2BB3"/>
    <w:rsid w:val="00FA2EC1"/>
    <w:rsid w:val="00FA317C"/>
    <w:rsid w:val="00FA33FF"/>
    <w:rsid w:val="00FA347A"/>
    <w:rsid w:val="00FA3914"/>
    <w:rsid w:val="00FA3D46"/>
    <w:rsid w:val="00FA4186"/>
    <w:rsid w:val="00FA4CAA"/>
    <w:rsid w:val="00FA50C8"/>
    <w:rsid w:val="00FA51E4"/>
    <w:rsid w:val="00FA52D7"/>
    <w:rsid w:val="00FA586F"/>
    <w:rsid w:val="00FA62CF"/>
    <w:rsid w:val="00FA66A8"/>
    <w:rsid w:val="00FA6A75"/>
    <w:rsid w:val="00FA6CE1"/>
    <w:rsid w:val="00FA73D6"/>
    <w:rsid w:val="00FA7867"/>
    <w:rsid w:val="00FA7D3B"/>
    <w:rsid w:val="00FB019F"/>
    <w:rsid w:val="00FB10AA"/>
    <w:rsid w:val="00FB1740"/>
    <w:rsid w:val="00FB1BBD"/>
    <w:rsid w:val="00FB252E"/>
    <w:rsid w:val="00FB25A4"/>
    <w:rsid w:val="00FB302A"/>
    <w:rsid w:val="00FB3199"/>
    <w:rsid w:val="00FB3AD6"/>
    <w:rsid w:val="00FB4036"/>
    <w:rsid w:val="00FB406A"/>
    <w:rsid w:val="00FB40EF"/>
    <w:rsid w:val="00FB434D"/>
    <w:rsid w:val="00FB47C1"/>
    <w:rsid w:val="00FB4A6C"/>
    <w:rsid w:val="00FB4C80"/>
    <w:rsid w:val="00FB5320"/>
    <w:rsid w:val="00FB65CB"/>
    <w:rsid w:val="00FB673B"/>
    <w:rsid w:val="00FB6780"/>
    <w:rsid w:val="00FB6A6A"/>
    <w:rsid w:val="00FB7C9B"/>
    <w:rsid w:val="00FC011C"/>
    <w:rsid w:val="00FC0981"/>
    <w:rsid w:val="00FC182D"/>
    <w:rsid w:val="00FC2CD4"/>
    <w:rsid w:val="00FC2CDC"/>
    <w:rsid w:val="00FC31AE"/>
    <w:rsid w:val="00FC35BF"/>
    <w:rsid w:val="00FC415D"/>
    <w:rsid w:val="00FC43C3"/>
    <w:rsid w:val="00FC4448"/>
    <w:rsid w:val="00FC4C31"/>
    <w:rsid w:val="00FC5835"/>
    <w:rsid w:val="00FC5CFE"/>
    <w:rsid w:val="00FC66FF"/>
    <w:rsid w:val="00FC6B40"/>
    <w:rsid w:val="00FC6CDE"/>
    <w:rsid w:val="00FC71B4"/>
    <w:rsid w:val="00FC7218"/>
    <w:rsid w:val="00FC7429"/>
    <w:rsid w:val="00FC7893"/>
    <w:rsid w:val="00FC7CA2"/>
    <w:rsid w:val="00FD076F"/>
    <w:rsid w:val="00FD07F6"/>
    <w:rsid w:val="00FD0BE9"/>
    <w:rsid w:val="00FD1B9D"/>
    <w:rsid w:val="00FD1D4F"/>
    <w:rsid w:val="00FD1EC8"/>
    <w:rsid w:val="00FD2494"/>
    <w:rsid w:val="00FD2D08"/>
    <w:rsid w:val="00FD2D9E"/>
    <w:rsid w:val="00FD3660"/>
    <w:rsid w:val="00FD3A8F"/>
    <w:rsid w:val="00FD45CC"/>
    <w:rsid w:val="00FD47ED"/>
    <w:rsid w:val="00FD4B11"/>
    <w:rsid w:val="00FD52A9"/>
    <w:rsid w:val="00FD5805"/>
    <w:rsid w:val="00FD5AB5"/>
    <w:rsid w:val="00FD6026"/>
    <w:rsid w:val="00FD69C4"/>
    <w:rsid w:val="00FD7050"/>
    <w:rsid w:val="00FD732A"/>
    <w:rsid w:val="00FD74DB"/>
    <w:rsid w:val="00FD7660"/>
    <w:rsid w:val="00FE054C"/>
    <w:rsid w:val="00FE0655"/>
    <w:rsid w:val="00FE0A9B"/>
    <w:rsid w:val="00FE0B24"/>
    <w:rsid w:val="00FE0E2B"/>
    <w:rsid w:val="00FE199A"/>
    <w:rsid w:val="00FE1A8F"/>
    <w:rsid w:val="00FE1C54"/>
    <w:rsid w:val="00FE1DB6"/>
    <w:rsid w:val="00FE1E1B"/>
    <w:rsid w:val="00FE1F22"/>
    <w:rsid w:val="00FE202A"/>
    <w:rsid w:val="00FE226D"/>
    <w:rsid w:val="00FE2365"/>
    <w:rsid w:val="00FE26CA"/>
    <w:rsid w:val="00FE2999"/>
    <w:rsid w:val="00FE353C"/>
    <w:rsid w:val="00FE37D7"/>
    <w:rsid w:val="00FE3AD5"/>
    <w:rsid w:val="00FE3D49"/>
    <w:rsid w:val="00FE4326"/>
    <w:rsid w:val="00FE49ED"/>
    <w:rsid w:val="00FE4C7B"/>
    <w:rsid w:val="00FE4F8E"/>
    <w:rsid w:val="00FE5EE6"/>
    <w:rsid w:val="00FE6780"/>
    <w:rsid w:val="00FE67D8"/>
    <w:rsid w:val="00FE7336"/>
    <w:rsid w:val="00FE787C"/>
    <w:rsid w:val="00FE7A36"/>
    <w:rsid w:val="00FE7FD8"/>
    <w:rsid w:val="00FF050F"/>
    <w:rsid w:val="00FF0D3D"/>
    <w:rsid w:val="00FF0E60"/>
    <w:rsid w:val="00FF1199"/>
    <w:rsid w:val="00FF1308"/>
    <w:rsid w:val="00FF1E6E"/>
    <w:rsid w:val="00FF1F41"/>
    <w:rsid w:val="00FF2207"/>
    <w:rsid w:val="00FF27FB"/>
    <w:rsid w:val="00FF291C"/>
    <w:rsid w:val="00FF3004"/>
    <w:rsid w:val="00FF313B"/>
    <w:rsid w:val="00FF38A3"/>
    <w:rsid w:val="00FF3C8F"/>
    <w:rsid w:val="00FF3E64"/>
    <w:rsid w:val="00FF4197"/>
    <w:rsid w:val="00FF45A5"/>
    <w:rsid w:val="00FF460F"/>
    <w:rsid w:val="00FF497F"/>
    <w:rsid w:val="00FF4B8D"/>
    <w:rsid w:val="00FF50BE"/>
    <w:rsid w:val="00FF5214"/>
    <w:rsid w:val="00FF5C91"/>
    <w:rsid w:val="00FF67CD"/>
    <w:rsid w:val="00FF6A1E"/>
    <w:rsid w:val="00FF6DDC"/>
    <w:rsid w:val="00FF6F71"/>
    <w:rsid w:val="00FF6F9D"/>
    <w:rsid w:val="00FF7596"/>
    <w:rsid w:val="32B600B8"/>
    <w:rsid w:val="403239D0"/>
    <w:rsid w:val="447B72EF"/>
    <w:rsid w:val="4E8B15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718FD9-5CDB-4D15-8BA2-853BFC3B9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line="259" w:lineRule="auto"/>
      <w:textAlignment w:val="baseline"/>
    </w:pPr>
    <w:rPr>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7"/>
    <w:qFormat/>
    <w:rPr>
      <w:b/>
      <w:bCs/>
    </w:rPr>
  </w:style>
  <w:style w:type="table" w:styleId="af4">
    <w:name w:val="Table 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character" w:customStyle="1" w:styleId="Char3">
    <w:name w:val="批注框文本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qFormat/>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c">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列出段落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paragraph" w:customStyle="1" w:styleId="Pa10">
    <w:name w:val="Pa10"/>
    <w:basedOn w:val="a1"/>
    <w:next w:val="a1"/>
    <w:uiPriority w:val="99"/>
    <w:qFormat/>
    <w:pPr>
      <w:overflowPunct/>
      <w:spacing w:after="0" w:line="181" w:lineRule="atLeast"/>
      <w:textAlignment w:val="auto"/>
    </w:pPr>
    <w:rPr>
      <w:rFonts w:ascii="ClassicoURW" w:hAnsi="ClassicoURW"/>
      <w:sz w:val="24"/>
      <w:szCs w:val="24"/>
      <w:lang w:val="en-US" w:eastAsia="en-GB"/>
    </w:rPr>
  </w:style>
  <w:style w:type="character" w:customStyle="1" w:styleId="IvDInstructiontextChar">
    <w:name w:val="IvD Instructiontext Char"/>
    <w:link w:val="IvDInstructiontext"/>
    <w:uiPriority w:val="99"/>
    <w:qFormat/>
    <w:locked/>
    <w:rPr>
      <w:rFonts w:ascii="Arial" w:hAnsi="Arial" w:cs="Arial"/>
      <w:i/>
      <w:color w:val="7F7F7F" w:themeColor="text1" w:themeTint="80"/>
      <w:spacing w:val="2"/>
      <w:sz w:val="18"/>
      <w:szCs w:val="18"/>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i/>
      <w:color w:val="7F7F7F" w:themeColor="text1" w:themeTint="80"/>
      <w:spacing w:val="2"/>
      <w:sz w:val="18"/>
      <w:szCs w:val="18"/>
      <w:lang w:eastAsia="en-GB"/>
    </w:rPr>
  </w:style>
  <w:style w:type="character" w:customStyle="1" w:styleId="IvDbodytextChar">
    <w:name w:val="IvD bodytext Char"/>
    <w:basedOn w:val="a2"/>
    <w:link w:val="IvDbodytext"/>
    <w:qForma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cs="Arial"/>
      <w:spacing w:val="2"/>
      <w:lang w:eastAsia="en-GB"/>
    </w:rPr>
  </w:style>
  <w:style w:type="paragraph" w:customStyle="1" w:styleId="PropObs">
    <w:name w:val="PropObs"/>
    <w:basedOn w:val="a1"/>
    <w:link w:val="PropObsChar"/>
    <w:qFormat/>
    <w:pPr>
      <w:numPr>
        <w:numId w:val="13"/>
      </w:numPr>
      <w:overflowPunct/>
      <w:autoSpaceDE/>
      <w:autoSpaceDN/>
      <w:adjustRightInd/>
      <w:spacing w:after="0"/>
      <w:ind w:left="1134" w:hanging="1134"/>
      <w:jc w:val="both"/>
      <w:textAlignment w:val="auto"/>
    </w:pPr>
    <w:rPr>
      <w:rFonts w:ascii="Calibri" w:eastAsia="MS Mincho" w:hAnsi="Calibri"/>
      <w:b/>
      <w:lang w:eastAsia="sv-SE"/>
    </w:rPr>
  </w:style>
  <w:style w:type="character" w:customStyle="1" w:styleId="PropObsChar">
    <w:name w:val="PropObs Char"/>
    <w:link w:val="PropObs"/>
    <w:qFormat/>
    <w:rPr>
      <w:rFonts w:ascii="Calibri" w:eastAsia="MS Mincho" w:hAnsi="Calibri"/>
      <w:b/>
      <w:lang w:val="en-GB" w:eastAsia="sv-SE"/>
    </w:rPr>
  </w:style>
  <w:style w:type="paragraph" w:styleId="afd">
    <w:name w:val="No Spacing"/>
    <w:uiPriority w:val="1"/>
    <w:qFormat/>
    <w:pPr>
      <w:overflowPunct w:val="0"/>
      <w:autoSpaceDE w:val="0"/>
      <w:autoSpaceDN w:val="0"/>
      <w:adjustRightInd w:val="0"/>
      <w:spacing w:after="160" w:line="259" w:lineRule="auto"/>
      <w:textAlignment w:val="baseline"/>
    </w:pPr>
    <w:rPr>
      <w:lang w:val="en-GB" w:eastAsia="ja-JP"/>
    </w:rPr>
  </w:style>
  <w:style w:type="paragraph" w:customStyle="1" w:styleId="CharCharCharCharCharChar">
    <w:name w:val="Char Char Char Char Char Char"/>
    <w:semiHidden/>
    <w:qFormat/>
    <w:pPr>
      <w:keepNext/>
      <w:numPr>
        <w:numId w:val="14"/>
      </w:numPr>
      <w:autoSpaceDE w:val="0"/>
      <w:autoSpaceDN w:val="0"/>
      <w:adjustRightInd w:val="0"/>
      <w:spacing w:before="60" w:after="60" w:line="259" w:lineRule="auto"/>
      <w:jc w:val="both"/>
    </w:pPr>
    <w:rPr>
      <w:rFonts w:ascii="Arial" w:hAnsi="Arial" w:cs="Arial"/>
      <w:color w:val="0000FF"/>
      <w:kern w:val="2"/>
    </w:rPr>
  </w:style>
  <w:style w:type="character" w:customStyle="1" w:styleId="UnresolvedMention1">
    <w:name w:val="Unresolved Mention1"/>
    <w:basedOn w:val="a2"/>
    <w:uiPriority w:val="99"/>
    <w:semiHidden/>
    <w:unhideWhenUsed/>
    <w:qFormat/>
    <w:rPr>
      <w:color w:val="605E5C"/>
      <w:shd w:val="clear" w:color="auto" w:fill="E1DFDD"/>
    </w:rPr>
  </w:style>
  <w:style w:type="paragraph" w:customStyle="1" w:styleId="Agreement">
    <w:name w:val="Agreement"/>
    <w:basedOn w:val="a1"/>
    <w:qFormat/>
    <w:pPr>
      <w:numPr>
        <w:numId w:val="15"/>
      </w:numPr>
      <w:overflowPunct/>
      <w:autoSpaceDE/>
      <w:autoSpaceDN/>
      <w:adjustRightInd/>
      <w:spacing w:before="60" w:after="0"/>
      <w:textAlignment w:val="auto"/>
    </w:pPr>
    <w:rPr>
      <w:rFonts w:ascii="Arial" w:eastAsiaTheme="minorHAnsi" w:hAnsi="Arial" w:cs="Arial"/>
      <w:b/>
      <w:bCs/>
      <w:lang w:val="sv-SE" w:eastAsia="sv-SE"/>
    </w:rPr>
  </w:style>
  <w:style w:type="character" w:styleId="afe">
    <w:name w:val="Placeholder Text"/>
    <w:basedOn w:val="a2"/>
    <w:uiPriority w:val="99"/>
    <w:semiHidden/>
    <w:qFormat/>
    <w:rPr>
      <w:color w:val="808080"/>
    </w:rPr>
  </w:style>
  <w:style w:type="paragraph" w:customStyle="1" w:styleId="textintend1">
    <w:name w:val="text intend 1"/>
    <w:basedOn w:val="a1"/>
    <w:qFormat/>
    <w:pPr>
      <w:numPr>
        <w:numId w:val="16"/>
      </w:numPr>
      <w:spacing w:after="120"/>
      <w:jc w:val="both"/>
    </w:pPr>
    <w:rPr>
      <w:rFonts w:eastAsia="MS Mincho"/>
      <w:sz w:val="24"/>
      <w:lang w:val="en-US" w:eastAsia="en-GB"/>
    </w:rPr>
  </w:style>
  <w:style w:type="character" w:customStyle="1" w:styleId="TACChar">
    <w:name w:val="TAC Char"/>
    <w:link w:val="TAC"/>
    <w:qFormat/>
    <w:locked/>
    <w:rPr>
      <w:rFonts w:ascii="Arial" w:hAnsi="Arial"/>
      <w:sz w:val="18"/>
      <w:lang w:val="zh-CN" w:eastAsia="zh-CN"/>
    </w:rPr>
  </w:style>
  <w:style w:type="paragraph" w:customStyle="1" w:styleId="Instructiontext">
    <w:name w:val="Instruction text"/>
    <w:basedOn w:val="a6"/>
    <w:link w:val="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nstructiontextChar">
    <w:name w:val="Instruction text Char"/>
    <w:link w:val="Instructiontext"/>
    <w:uiPriority w:val="99"/>
    <w:qFormat/>
    <w:rPr>
      <w:rFonts w:ascii="Arial" w:eastAsia="宋体" w:hAnsi="Arial"/>
      <w:i/>
      <w:color w:val="7F7F7F" w:themeColor="text1" w:themeTint="80"/>
      <w:spacing w:val="2"/>
      <w:sz w:val="18"/>
      <w:szCs w:val="18"/>
      <w:lang w:val="en-US" w:eastAsia="en-US"/>
    </w:rPr>
  </w:style>
  <w:style w:type="paragraph" w:customStyle="1" w:styleId="IvDtabletext">
    <w:name w:val="IvD tabletext"/>
    <w:basedOn w:val="a6"/>
    <w:link w:val="IvDtable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lang w:val="en-US" w:eastAsia="en-US"/>
    </w:rPr>
  </w:style>
  <w:style w:type="character" w:customStyle="1" w:styleId="IvDtabletextChar">
    <w:name w:val="IvD tabletext Char"/>
    <w:basedOn w:val="a2"/>
    <w:link w:val="IvDtabletext"/>
    <w:qFormat/>
    <w:rPr>
      <w:rFonts w:ascii="Arial" w:eastAsia="宋体" w:hAnsi="Arial"/>
      <w:spacing w:val="2"/>
      <w:lang w:val="en-US" w:eastAsia="en-US"/>
    </w:rPr>
  </w:style>
  <w:style w:type="paragraph" w:customStyle="1" w:styleId="Proposal1">
    <w:name w:val="Proposal1"/>
    <w:basedOn w:val="a1"/>
    <w:link w:val="Proposal1Char"/>
    <w:qFormat/>
    <w:pPr>
      <w:tabs>
        <w:tab w:val="left" w:pos="1620"/>
      </w:tabs>
      <w:overflowPunct/>
      <w:autoSpaceDE/>
      <w:autoSpaceDN/>
      <w:adjustRightInd/>
      <w:spacing w:before="120" w:after="0"/>
      <w:ind w:left="1620" w:hanging="1620"/>
      <w:jc w:val="both"/>
      <w:textAlignment w:val="auto"/>
    </w:pPr>
    <w:rPr>
      <w:rFonts w:ascii="Calibri" w:eastAsia="MS Mincho" w:hAnsi="Calibri"/>
      <w:b/>
      <w:lang w:val="en-US" w:eastAsia="en-US"/>
    </w:rPr>
  </w:style>
  <w:style w:type="character" w:customStyle="1" w:styleId="Proposal1Char">
    <w:name w:val="Proposal1 Char"/>
    <w:link w:val="Proposal1"/>
    <w:qFormat/>
    <w:rPr>
      <w:rFonts w:ascii="Calibri" w:eastAsia="MS Mincho" w:hAnsi="Calibri"/>
      <w:b/>
      <w:lang w:val="en-US" w:eastAsia="en-US"/>
    </w:rPr>
  </w:style>
  <w:style w:type="character" w:customStyle="1" w:styleId="UnresolvedMention2">
    <w:name w:val="Unresolved Mention2"/>
    <w:basedOn w:val="a2"/>
    <w:uiPriority w:val="99"/>
    <w:semiHidden/>
    <w:unhideWhenUsed/>
    <w:qFormat/>
    <w:rPr>
      <w:color w:val="605E5C"/>
      <w:shd w:val="clear" w:color="auto" w:fill="E1DFDD"/>
    </w:rPr>
  </w:style>
  <w:style w:type="character" w:customStyle="1" w:styleId="UnresolvedMention3">
    <w:name w:val="Unresolved Mention3"/>
    <w:basedOn w:val="a2"/>
    <w:uiPriority w:val="99"/>
    <w:semiHidden/>
    <w:unhideWhenUsed/>
    <w:qFormat/>
    <w:rPr>
      <w:color w:val="605E5C"/>
      <w:shd w:val="clear" w:color="auto" w:fill="E1DFDD"/>
    </w:rPr>
  </w:style>
  <w:style w:type="paragraph" w:customStyle="1" w:styleId="xmsonormal">
    <w:name w:val="x_msonormal"/>
    <w:basedOn w:val="a1"/>
    <w:qFormat/>
    <w:pPr>
      <w:overflowPunct/>
      <w:autoSpaceDE/>
      <w:autoSpaceDN/>
      <w:adjustRightInd/>
      <w:spacing w:after="0" w:line="240" w:lineRule="auto"/>
      <w:textAlignment w:val="auto"/>
    </w:pPr>
    <w:rPr>
      <w:rFonts w:ascii="宋体" w:hAnsi="宋体" w:cs="宋体"/>
      <w:sz w:val="24"/>
      <w:szCs w:val="24"/>
      <w:lang w:val="sv-SE" w:eastAsia="zh-CN"/>
    </w:rPr>
  </w:style>
  <w:style w:type="paragraph" w:customStyle="1" w:styleId="xmsonormal0">
    <w:name w:val="xmsonormal"/>
    <w:basedOn w:val="a1"/>
    <w:qFormat/>
    <w:pPr>
      <w:overflowPunct/>
      <w:autoSpaceDE/>
      <w:autoSpaceDN/>
      <w:adjustRightInd/>
      <w:spacing w:after="0" w:line="240" w:lineRule="auto"/>
      <w:textAlignment w:val="auto"/>
    </w:pPr>
    <w:rPr>
      <w:rFonts w:ascii="Calibri" w:eastAsia="Calibri" w:hAnsi="Calibri" w:cs="Calibri"/>
      <w:sz w:val="22"/>
      <w:szCs w:val="22"/>
      <w:lang w:eastAsia="en-GB"/>
    </w:rPr>
  </w:style>
  <w:style w:type="character" w:customStyle="1" w:styleId="UnresolvedMention">
    <w:name w:val="Unresolved Mention"/>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6b-e/Docs/R1-2108778.zip" TargetMode="External"/><Relationship Id="rId18" Type="http://schemas.openxmlformats.org/officeDocument/2006/relationships/hyperlink" Target="https://www.3gpp.org/ftp/TSG_RAN/WG1_RL1/TSGR1_106b-e/Docs/R1-211041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6b-e/Docs/R1-2110317.zip" TargetMode="External"/><Relationship Id="rId2" Type="http://schemas.openxmlformats.org/officeDocument/2006/relationships/customXml" Target="../customXml/item2.xml"/><Relationship Id="rId16" Type="http://schemas.openxmlformats.org/officeDocument/2006/relationships/hyperlink" Target="https://www.3gpp.org/ftp/TSG_RAN/WG1_RL1/TSGR1_106b-e/Docs/R1-2109175.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3gpp.org/ftp/TSG_RAN/WG1_RL1/TSGR1_106b-e/Docs/R1-2109338.zip"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6b-e/Docs/R1-2109315.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215</Value>
      <Value>212</Value>
      <Value>497</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11111111-1111-1111-1111-111111111111</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PublishingStartDate xmlns="http://schemas.microsoft.com/sharepoint/v3" xsi:nil="true"/>
    <_dlc_DocId xmlns="f166a696-7b5b-4ccd-9f0c-ffde0cceec81">5NUHHDQN7SK2-1476151046-505697</_dlc_DocId>
    <_dlc_DocIdUrl xmlns="f166a696-7b5b-4ccd-9f0c-ffde0cceec81">
      <Url>https://ericsson.sharepoint.com/sites/star/_layouts/15/DocIdRedir.aspx?ID=5NUHHDQN7SK2-1476151046-505697</Url>
      <Description>5NUHHDQN7SK2-1476151046-505697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F857D-A60B-49AC-B83D-F946BC3B93C9}">
  <ds:schemaRefs>
    <ds:schemaRef ds:uri="http://schemas.microsoft.com/sharepoint/v3/contenttype/forms"/>
  </ds:schemaRefs>
</ds:datastoreItem>
</file>

<file path=customXml/itemProps2.xml><?xml version="1.0" encoding="utf-8"?>
<ds:datastoreItem xmlns:ds="http://schemas.openxmlformats.org/officeDocument/2006/customXml" ds:itemID="{240A84D9-A239-48BB-9EF8-246DD26FA435}">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3"/>
  </ds:schemaRefs>
</ds:datastoreItem>
</file>

<file path=customXml/itemProps3.xml><?xml version="1.0" encoding="utf-8"?>
<ds:datastoreItem xmlns:ds="http://schemas.openxmlformats.org/officeDocument/2006/customXml" ds:itemID="{E9C4DD5C-B205-4A08-B3D2-D72C96B06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B2294C-6824-4207-B7BA-75221FBA853E}">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DD5D977-147D-48A4-AA0D-9ACBDE26F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11</Pages>
  <Words>3253</Words>
  <Characters>18547</Characters>
  <Application>Microsoft Office Word</Application>
  <DocSecurity>0</DocSecurity>
  <Lines>154</Lines>
  <Paragraphs>43</Paragraphs>
  <ScaleCrop>false</ScaleCrop>
  <Company>Ericsson</Company>
  <LinksUpToDate>false</LinksUpToDate>
  <CharactersWithSpaces>21757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Gerardo Agni Medina Acosta</dc:creator>
  <cp:keywords>3GPP; Ericsson; TDoc</cp:keywords>
  <cp:lastModifiedBy>Yangyubo2</cp:lastModifiedBy>
  <cp:revision>2</cp:revision>
  <cp:lastPrinted>2008-01-30T22:09:00Z</cp:lastPrinted>
  <dcterms:created xsi:type="dcterms:W3CDTF">2021-10-14T05:35:00Z</dcterms:created>
  <dcterms:modified xsi:type="dcterms:W3CDTF">2021-10-14T05:35:00Z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0x0101000A5832045C649C4FB0AB9A5D116E5EF3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1604280729</vt:lpwstr>
  </property>
  <property fmtid="{D5CDD505-2E9C-101B-9397-08002B2CF9AE}" pid="8" name="_2015_ms_pID_725343">
    <vt:lpwstr>(3)pzrduW5YgmG8RHTLR/mE3Yfc5RF3LQtEhGHDihuCMhtVkYmQ7LoSyGJg2rVZYDTnhOaijHEi
Iof0SpS0vsz01kmJYzGJ+fRnIZCpQW+qhltG0149kiqTSUub/TiePN2eQooDejKi1wHDBOPN
5YhpycnvO2V1s8pAXQeXvMImbqJqaL5XyIg03kxy1ql6KLOKKErzdIG5HAj+BZMZqATj47DQ
r8h6R11kBO4gG5R8VT</vt:lpwstr>
  </property>
  <property fmtid="{D5CDD505-2E9C-101B-9397-08002B2CF9AE}" pid="9" name="_2015_ms_pID_7253431">
    <vt:lpwstr>6F0SKGVU9QByUM42t56YT4gJRbZ3t0Bwbm2wAvkOzyRBl+YtkMLKIY
lbfG64fmLXUtK3vsvgxt2H1MVhanUIfElLb0NRrkKEhUjdbpNFyGZ+jcziZBHVd3DRoNYZdG
0SDYD3dvzVKDgmmLFYYp+PU8kGZTVkx7x1Oa1qTjNIYwdiQD0ezaOyRKuNcWuOqCZxygvQPO
MUgiSUpqZQ7ABJYqFSAtExPMelS9yCNtObiR</vt:lpwstr>
  </property>
  <property fmtid="{D5CDD505-2E9C-101B-9397-08002B2CF9AE}" pid="10" name="TaxKeyword">
    <vt:lpwstr>215;#3GPP|11111111-1111-1111-1111-111111111111;#212;#TDoc|af4b50c5-3c78-4293-b1bd-3e717d5b6882;#497;#Ericsson|11111111-1111-1111-1111-111111111111</vt:lpwstr>
  </property>
  <property fmtid="{D5CDD505-2E9C-101B-9397-08002B2CF9AE}" pid="11" name="_dlc_DocIdItemGuid">
    <vt:lpwstr>0010f1ab-a6c9-4ed6-86c2-be99c3c2a581</vt:lpwstr>
  </property>
  <property fmtid="{D5CDD505-2E9C-101B-9397-08002B2CF9AE}" pid="12" name="EriCOLLCategory">
    <vt:lpwstr/>
  </property>
  <property fmtid="{D5CDD505-2E9C-101B-9397-08002B2CF9AE}" pid="13" name="EriCOLLProjectsTaxHTField0">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Customer">
    <vt:lpwstr/>
  </property>
  <property fmtid="{D5CDD505-2E9C-101B-9397-08002B2CF9AE}" pid="19" name="EriCOLLOrganizationUnitTaxHTField0">
    <vt:lpwstr/>
  </property>
  <property fmtid="{D5CDD505-2E9C-101B-9397-08002B2CF9AE}" pid="20" name="EriCOLLProducts">
    <vt:lpwstr/>
  </property>
  <property fmtid="{D5CDD505-2E9C-101B-9397-08002B2CF9AE}" pid="21" name="EriCOLLCategoryTaxHTField0">
    <vt:lpwstr/>
  </property>
  <property fmtid="{D5CDD505-2E9C-101B-9397-08002B2CF9AE}" pid="22" name="EriCOLLCompetenceTaxHTField0">
    <vt:lpwstr/>
  </property>
  <property fmtid="{D5CDD505-2E9C-101B-9397-08002B2CF9AE}" pid="23" name="EriCOLLCountryTaxHTField0">
    <vt:lpwstr/>
  </property>
  <property fmtid="{D5CDD505-2E9C-101B-9397-08002B2CF9AE}" pid="24" name="EriCOLLCustomerTaxHTField0">
    <vt:lpwstr/>
  </property>
  <property fmtid="{D5CDD505-2E9C-101B-9397-08002B2CF9AE}" pid="25" name="EriCOLLProductsTaxHTField0">
    <vt:lpwstr/>
  </property>
  <property fmtid="{D5CDD505-2E9C-101B-9397-08002B2CF9AE}" pid="26" name="EriCOLLProcessTaxHTField0">
    <vt:lpwstr/>
  </property>
  <property fmtid="{D5CDD505-2E9C-101B-9397-08002B2CF9AE}" pid="27" name="EriCOLLProjects">
    <vt:lpwstr/>
  </property>
  <property fmtid="{D5CDD505-2E9C-101B-9397-08002B2CF9AE}" pid="28" name="KSOProductBuildVer">
    <vt:lpwstr>2052-11.8.2.9022</vt:lpwstr>
  </property>
  <property fmtid="{D5CDD505-2E9C-101B-9397-08002B2CF9AE}" pid="29" name="_2015_ms_pID_7253432">
    <vt:lpwstr>LA==</vt:lpwstr>
  </property>
</Properties>
</file>