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31FE5495"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ListParagraph"/>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775"/>
        <w:gridCol w:w="7285"/>
      </w:tblGrid>
      <w:tr w:rsidR="007D6630" w14:paraId="54A22997" w14:textId="77777777" w:rsidTr="00DB10C9">
        <w:tc>
          <w:tcPr>
            <w:tcW w:w="1775"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285"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DB10C9">
        <w:tc>
          <w:tcPr>
            <w:tcW w:w="1775"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285"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DB10C9">
        <w:tc>
          <w:tcPr>
            <w:tcW w:w="1775"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285"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BodyText"/>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1pt;height:120.65pt;mso-width-percent:0;mso-height-percent:0;mso-width-percent:0;mso-height-percent:0" o:ole="">
                  <v:imagedata r:id="rId12" o:title=""/>
                </v:shape>
                <o:OLEObject Type="Embed" ProgID="Visio.Drawing.15" ShapeID="_x0000_i1025" DrawAspect="Content" ObjectID="_1695539181"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BodyText"/>
              <w:spacing w:before="0" w:after="0" w:line="240" w:lineRule="auto"/>
              <w:jc w:val="center"/>
              <w:rPr>
                <w:rFonts w:cs="Times"/>
                <w:szCs w:val="20"/>
                <w:lang w:eastAsia="zh-CN"/>
              </w:rPr>
            </w:pPr>
            <w:r>
              <w:rPr>
                <w:noProof/>
              </w:rPr>
              <w:object w:dxaOrig="4636" w:dyaOrig="2401" w14:anchorId="74236859">
                <v:shape id="_x0000_i1026" type="#_x0000_t75" alt="" style="width:232.25pt;height:120.65pt;mso-width-percent:0;mso-height-percent:0;mso-width-percent:0;mso-height-percent:0" o:ole="">
                  <v:imagedata r:id="rId14" o:title=""/>
                </v:shape>
                <o:OLEObject Type="Embed" ProgID="Visio.Drawing.15" ShapeID="_x0000_i1026" DrawAspect="Content" ObjectID="_1695539182" r:id="rId15"/>
              </w:object>
            </w:r>
          </w:p>
        </w:tc>
      </w:tr>
      <w:tr w:rsidR="007D6630" w:rsidRPr="00AE2703" w14:paraId="5930ABE1" w14:textId="77777777" w:rsidTr="00DB10C9">
        <w:tc>
          <w:tcPr>
            <w:tcW w:w="1775"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285"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proofErr w:type="gramStart"/>
            <w:r w:rsidR="00797887">
              <w:rPr>
                <w:lang w:val="en-GB" w:eastAsia="zh-CN"/>
              </w:rPr>
              <w:t>So</w:t>
            </w:r>
            <w:proofErr w:type="gramEnd"/>
            <w:r w:rsidR="00797887">
              <w:rPr>
                <w:lang w:val="en-GB" w:eastAsia="zh-CN"/>
              </w:rPr>
              <w:t xml:space="preserve">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DB10C9">
        <w:tc>
          <w:tcPr>
            <w:tcW w:w="1775"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285"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DB10C9">
        <w:tc>
          <w:tcPr>
            <w:tcW w:w="1775"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t>Panasonic</w:t>
            </w:r>
          </w:p>
        </w:tc>
        <w:tc>
          <w:tcPr>
            <w:tcW w:w="7285"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DB10C9">
        <w:tc>
          <w:tcPr>
            <w:tcW w:w="1775" w:type="dxa"/>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285"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233DAB">
              <w:rPr>
                <w:rFonts w:ascii="Times New Roman" w:hAnsi="Times New Roman"/>
                <w:b/>
                <w:bCs/>
                <w:color w:val="0070C0"/>
              </w:rPr>
              <w:t>_</w:t>
            </w:r>
            <w:proofErr w:type="gramEnd"/>
            <w:r w:rsidRPr="00233DAB">
              <w:rPr>
                <w:rFonts w:ascii="Times New Roman" w:hAnsi="Times New Roman"/>
                <w:b/>
                <w:bCs/>
                <w:color w:val="0070C0"/>
              </w:rPr>
              <w:t>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DB10C9">
        <w:tc>
          <w:tcPr>
            <w:tcW w:w="1775" w:type="dxa"/>
            <w:vAlign w:val="center"/>
          </w:tcPr>
          <w:p w14:paraId="48BAF5E7" w14:textId="67352B9A" w:rsidR="00DD18CE" w:rsidRDefault="00DD18CE" w:rsidP="00DD18CE">
            <w:pPr>
              <w:spacing w:after="0" w:line="240" w:lineRule="auto"/>
              <w:rPr>
                <w:bCs/>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285"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DB10C9">
        <w:tc>
          <w:tcPr>
            <w:tcW w:w="1775" w:type="dxa"/>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285"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t xml:space="preserve">Moreover, one of the </w:t>
            </w:r>
            <w:proofErr w:type="gramStart"/>
            <w:r w:rsidRPr="001F3946">
              <w:rPr>
                <w:rFonts w:eastAsia="Malgun Gothic"/>
                <w:lang w:val="en-GB" w:eastAsia="ko-KR"/>
              </w:rPr>
              <w:t>issue</w:t>
            </w:r>
            <w:proofErr w:type="gramEnd"/>
            <w:r w:rsidRPr="001F3946">
              <w:rPr>
                <w:rFonts w:eastAsia="Malgun Gothic"/>
                <w:lang w:val="en-GB" w:eastAsia="ko-KR"/>
              </w:rPr>
              <w:t xml:space="preserve"> that shall be discussed is that whether the DCI formats should have same “PDCCH monitoring adaptation configuration” or not. In general, more bits are assigned to guarantee the scheduling flexibility for the DCI format x_1, while smaller </w:t>
            </w:r>
            <w:proofErr w:type="gramStart"/>
            <w:r w:rsidRPr="001F3946">
              <w:rPr>
                <w:rFonts w:eastAsia="Malgun Gothic"/>
                <w:lang w:val="en-GB" w:eastAsia="ko-KR"/>
              </w:rPr>
              <w:t>bits(</w:t>
            </w:r>
            <w:proofErr w:type="gramEnd"/>
            <w:r w:rsidRPr="001F3946">
              <w:rPr>
                <w:rFonts w:eastAsia="Malgun Gothic"/>
                <w:lang w:val="en-GB" w:eastAsia="ko-KR"/>
              </w:rPr>
              <w:t xml:space="preserve">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DB10C9">
        <w:tc>
          <w:tcPr>
            <w:tcW w:w="1775" w:type="dxa"/>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285"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w:t>
            </w:r>
            <w:proofErr w:type="gramStart"/>
            <w:r>
              <w:rPr>
                <w:rFonts w:eastAsiaTheme="minorEastAsia" w:hint="eastAsia"/>
                <w:lang w:eastAsia="zh-CN"/>
              </w:rPr>
              <w:t>be  configured</w:t>
            </w:r>
            <w:proofErr w:type="gramEnd"/>
            <w:r>
              <w:rPr>
                <w:rFonts w:eastAsiaTheme="minorEastAsia" w:hint="eastAsia"/>
                <w:lang w:eastAsia="zh-CN"/>
              </w:rPr>
              <w:t xml:space="preserve">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 xml:space="preserve">We think </w:t>
            </w:r>
            <w:proofErr w:type="gramStart"/>
            <w:r>
              <w:rPr>
                <w:rFonts w:eastAsiaTheme="minorEastAsia"/>
                <w:lang w:eastAsia="zh-CN"/>
              </w:rPr>
              <w:t>m</w:t>
            </w:r>
            <w:r>
              <w:rPr>
                <w:rFonts w:eastAsiaTheme="minorEastAsia" w:hint="eastAsia"/>
                <w:lang w:eastAsia="zh-CN"/>
              </w:rPr>
              <w:t>ultiple  skipping</w:t>
            </w:r>
            <w:proofErr w:type="gramEnd"/>
            <w:r>
              <w:rPr>
                <w:rFonts w:eastAsiaTheme="minorEastAsia" w:hint="eastAsia"/>
                <w:lang w:eastAsia="zh-CN"/>
              </w:rPr>
              <w:t xml:space="preserve">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xml:space="preserve">, should be discussed </w:t>
            </w:r>
            <w:proofErr w:type="spellStart"/>
            <w:r>
              <w:rPr>
                <w:rFonts w:eastAsiaTheme="minorEastAsia"/>
                <w:lang w:eastAsia="zh-CN"/>
              </w:rPr>
              <w:t>toghether</w:t>
            </w:r>
            <w:proofErr w:type="spellEnd"/>
            <w:r>
              <w:rPr>
                <w:rFonts w:eastAsiaTheme="minorEastAsia"/>
                <w:lang w:eastAsia="zh-CN"/>
              </w:rPr>
              <w:t xml:space="preserve"> herein</w:t>
            </w:r>
            <w:r>
              <w:rPr>
                <w:rFonts w:eastAsiaTheme="minorEastAsia" w:hint="eastAsia"/>
                <w:lang w:eastAsia="zh-CN"/>
              </w:rPr>
              <w:t xml:space="preserve">. When determining the PDCCH monitor adaptation indication, multiple skipping durations should be considered. For example when only PDCCH skipping is supported by </w:t>
            </w:r>
            <w:proofErr w:type="gramStart"/>
            <w:r>
              <w:rPr>
                <w:rFonts w:eastAsiaTheme="minorEastAsia" w:hint="eastAsia"/>
                <w:lang w:eastAsia="zh-CN"/>
              </w:rPr>
              <w:t>UE(</w:t>
            </w:r>
            <w:proofErr w:type="gramEnd"/>
            <w:r>
              <w:rPr>
                <w:rFonts w:eastAsiaTheme="minorEastAsia" w:hint="eastAsia"/>
                <w:lang w:eastAsia="zh-CN"/>
              </w:rPr>
              <w:t>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 xml:space="preserve">2 </w:t>
                  </w:r>
                  <w:proofErr w:type="gramStart"/>
                  <w:r>
                    <w:rPr>
                      <w:rFonts w:hint="eastAsia"/>
                      <w:b/>
                      <w:bCs/>
                    </w:rPr>
                    <w:t>bit</w:t>
                  </w:r>
                  <w:proofErr w:type="gramEnd"/>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DB10C9">
        <w:tc>
          <w:tcPr>
            <w:tcW w:w="1775" w:type="dxa"/>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285"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proofErr w:type="gramStart"/>
            <w:r w:rsidRPr="00DD7E83">
              <w:rPr>
                <w:rFonts w:eastAsiaTheme="minorEastAsia" w:hint="eastAsia"/>
                <w:lang w:val="en-GB" w:eastAsia="zh-CN"/>
              </w:rPr>
              <w:t>have</w:t>
            </w:r>
            <w:proofErr w:type="gramEnd"/>
            <w:r w:rsidRPr="00DD7E83">
              <w:rPr>
                <w:rFonts w:eastAsiaTheme="minorEastAsia"/>
                <w:lang w:val="en-GB" w:eastAsia="zh-CN"/>
              </w:rPr>
              <w:t xml:space="preserve"> similar views as Nordic that the </w:t>
            </w:r>
            <w:proofErr w:type="spellStart"/>
            <w:r w:rsidRPr="00DD7E83">
              <w:rPr>
                <w:rFonts w:eastAsiaTheme="minorEastAsia"/>
                <w:lang w:val="en-GB" w:eastAsia="zh-CN"/>
              </w:rPr>
              <w:t>behavior</w:t>
            </w:r>
            <w:proofErr w:type="spellEnd"/>
            <w:r w:rsidRPr="00DD7E83">
              <w:rPr>
                <w:rFonts w:eastAsiaTheme="minorEastAsia"/>
                <w:lang w:val="en-GB" w:eastAsia="zh-CN"/>
              </w:rPr>
              <w:t xml:space="preserve">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w:t>
            </w:r>
            <w:proofErr w:type="gramStart"/>
            <w:r w:rsidRPr="00DD7E83">
              <w:rPr>
                <w:rFonts w:eastAsiaTheme="minorEastAsia"/>
                <w:lang w:val="en-GB" w:eastAsia="zh-CN"/>
              </w:rPr>
              <w:t>configurations</w:t>
            </w:r>
            <w:proofErr w:type="gramEnd"/>
            <w:r w:rsidRPr="00DD7E83">
              <w:rPr>
                <w:rFonts w:eastAsiaTheme="minorEastAsia"/>
                <w:lang w:val="en-GB" w:eastAsia="zh-CN"/>
              </w:rPr>
              <w:t xml:space="preserve">. It can be implicitly determined based on how many </w:t>
            </w:r>
            <w:proofErr w:type="spellStart"/>
            <w:r w:rsidRPr="00DD7E83">
              <w:rPr>
                <w:rFonts w:eastAsiaTheme="minorEastAsia"/>
                <w:lang w:val="en-GB" w:eastAsia="zh-CN"/>
              </w:rPr>
              <w:t>behaviors</w:t>
            </w:r>
            <w:proofErr w:type="spellEnd"/>
            <w:r w:rsidRPr="00DD7E83">
              <w:rPr>
                <w:rFonts w:eastAsiaTheme="minorEastAsia"/>
                <w:lang w:val="en-GB" w:eastAsia="zh-CN"/>
              </w:rPr>
              <w:t xml:space="preserve">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proofErr w:type="gramStart"/>
            <w:r w:rsidRPr="00DD7E83">
              <w:rPr>
                <w:rFonts w:cs="Times"/>
                <w:szCs w:val="20"/>
                <w:lang w:eastAsia="zh-CN"/>
              </w:rPr>
              <w:t xml:space="preserve">2  </w:t>
            </w:r>
            <w:r w:rsidRPr="00DD7E83">
              <w:rPr>
                <w:rFonts w:cs="Times" w:hint="eastAsia"/>
                <w:szCs w:val="20"/>
                <w:lang w:eastAsia="zh-CN"/>
              </w:rPr>
              <w:t>(</w:t>
            </w:r>
            <w:proofErr w:type="gramEnd"/>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w:t>
            </w:r>
            <w:proofErr w:type="gramStart"/>
            <w:r w:rsidRPr="00DB10C9">
              <w:rPr>
                <w:bCs/>
                <w:sz w:val="18"/>
                <w:szCs w:val="18"/>
              </w:rPr>
              <w:t xml:space="preserve">1, </w:t>
            </w:r>
            <w:r>
              <w:rPr>
                <w:bCs/>
                <w:sz w:val="18"/>
                <w:szCs w:val="18"/>
              </w:rPr>
              <w:t xml:space="preserve"> Beh</w:t>
            </w:r>
            <w:proofErr w:type="gramEnd"/>
            <w:r>
              <w:rPr>
                <w:bCs/>
                <w:sz w:val="18"/>
                <w:szCs w:val="18"/>
              </w:rPr>
              <w:t xml:space="preserve">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w:t>
            </w:r>
            <w:proofErr w:type="spellStart"/>
            <w:r>
              <w:rPr>
                <w:rFonts w:eastAsiaTheme="minorEastAsia"/>
                <w:lang w:val="en-GB" w:eastAsia="zh-CN"/>
              </w:rPr>
              <w:t>the</w:t>
            </w:r>
            <w:proofErr w:type="spellEnd"/>
            <w:r>
              <w:rPr>
                <w:rFonts w:eastAsiaTheme="minorEastAsia"/>
                <w:lang w:val="en-GB" w:eastAsia="zh-CN"/>
              </w:rPr>
              <w:t xml:space="preserve"> </w:t>
            </w:r>
            <w:proofErr w:type="spellStart"/>
            <w:r>
              <w:rPr>
                <w:rFonts w:eastAsiaTheme="minorEastAsia"/>
                <w:lang w:val="en-GB" w:eastAsia="zh-CN"/>
              </w:rPr>
              <w:t>behaviors</w:t>
            </w:r>
            <w:proofErr w:type="spellEnd"/>
            <w:r>
              <w:rPr>
                <w:rFonts w:eastAsiaTheme="minorEastAsia"/>
                <w:lang w:val="en-GB" w:eastAsia="zh-CN"/>
              </w:rPr>
              <w:t xml:space="preserve"> accordingly. </w:t>
            </w:r>
          </w:p>
        </w:tc>
      </w:tr>
      <w:tr w:rsidR="00676453" w:rsidRPr="001F7A25" w14:paraId="3E3DF70C" w14:textId="77777777" w:rsidTr="00676453">
        <w:tc>
          <w:tcPr>
            <w:tcW w:w="1775" w:type="dxa"/>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285" w:type="dxa"/>
          </w:tcPr>
          <w:p w14:paraId="758A8834" w14:textId="77777777" w:rsidR="00676453" w:rsidRDefault="00676453" w:rsidP="00375B49">
            <w:pPr>
              <w:pStyle w:val="ListParagraph"/>
              <w:numPr>
                <w:ilvl w:val="0"/>
                <w:numId w:val="100"/>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375B49">
            <w:pPr>
              <w:pStyle w:val="ListParagraph"/>
              <w:numPr>
                <w:ilvl w:val="0"/>
                <w:numId w:val="100"/>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375B49">
            <w:pPr>
              <w:pStyle w:val="ListParagraph"/>
              <w:numPr>
                <w:ilvl w:val="0"/>
                <w:numId w:val="100"/>
              </w:numPr>
              <w:spacing w:line="240" w:lineRule="auto"/>
              <w:rPr>
                <w:rFonts w:eastAsiaTheme="minorEastAsia"/>
                <w:lang w:val="en-GB" w:eastAsia="zh-CN"/>
              </w:rPr>
            </w:pPr>
            <w:r>
              <w:rPr>
                <w:rFonts w:eastAsiaTheme="minorEastAsia"/>
                <w:lang w:val="en-GB" w:eastAsia="zh-CN"/>
              </w:rPr>
              <w:t xml:space="preserve">For proposal 1-6, we think Beh 1 seems not needed for the configuration 4. </w:t>
            </w:r>
            <w:proofErr w:type="spellStart"/>
            <w:r>
              <w:rPr>
                <w:rFonts w:eastAsiaTheme="minorEastAsia"/>
                <w:lang w:val="en-GB" w:eastAsia="zh-CN"/>
              </w:rPr>
              <w:t>Threfore</w:t>
            </w:r>
            <w:proofErr w:type="spellEnd"/>
            <w:r>
              <w:rPr>
                <w:rFonts w:eastAsiaTheme="minorEastAsia"/>
                <w:lang w:val="en-GB" w:eastAsia="zh-CN"/>
              </w:rPr>
              <w:t xml:space="preserve">, we are fine with Nokia’s revision except the addition of </w:t>
            </w:r>
            <w:proofErr w:type="spellStart"/>
            <w:r>
              <w:rPr>
                <w:rFonts w:eastAsiaTheme="minorEastAsia"/>
                <w:lang w:val="en-GB" w:eastAsia="zh-CN"/>
              </w:rPr>
              <w:t>configraution</w:t>
            </w:r>
            <w:proofErr w:type="spellEnd"/>
            <w:r>
              <w:rPr>
                <w:rFonts w:eastAsiaTheme="minorEastAsia"/>
                <w:lang w:val="en-GB" w:eastAsia="zh-CN"/>
              </w:rPr>
              <w:t xml:space="preserve">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w:t>
            </w:r>
            <w:proofErr w:type="gramStart"/>
            <w:r w:rsidRPr="009A4D91">
              <w:rPr>
                <w:rFonts w:ascii="Times New Roman" w:hAnsi="Times New Roman"/>
                <w:b/>
                <w:bCs/>
                <w:i/>
                <w:highlight w:val="yellow"/>
              </w:rPr>
              <w:t>1)</w:t>
            </w:r>
            <w:r w:rsidRPr="009A4D91">
              <w:rPr>
                <w:rFonts w:ascii="Times New Roman" w:hAnsi="Times New Roman"/>
                <w:b/>
                <w:bCs/>
                <w:i/>
                <w:color w:val="0070C0"/>
              </w:rPr>
              <w:t>_</w:t>
            </w:r>
            <w:proofErr w:type="gramEnd"/>
            <w:r w:rsidRPr="009A4D91">
              <w:rPr>
                <w:rFonts w:ascii="Times New Roman" w:hAnsi="Times New Roman"/>
                <w:b/>
                <w:bCs/>
                <w:i/>
                <w:color w:val="0070C0"/>
              </w:rPr>
              <w:t>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w:t>
            </w:r>
            <w:proofErr w:type="gramStart"/>
            <w:r w:rsidRPr="009A4D91">
              <w:rPr>
                <w:rFonts w:cs="Times"/>
                <w:i/>
                <w:szCs w:val="20"/>
                <w:lang w:eastAsia="zh-CN"/>
              </w:rPr>
              <w:t xml:space="preserve">2  </w:t>
            </w:r>
            <w:r w:rsidRPr="009A4D91">
              <w:rPr>
                <w:rFonts w:cs="Times" w:hint="eastAsia"/>
                <w:i/>
                <w:szCs w:val="20"/>
                <w:lang w:eastAsia="zh-CN"/>
              </w:rPr>
              <w:t>(</w:t>
            </w:r>
            <w:proofErr w:type="gramEnd"/>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375B49">
            <w:pPr>
              <w:pStyle w:val="ListParagraph"/>
              <w:numPr>
                <w:ilvl w:val="0"/>
                <w:numId w:val="100"/>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676453">
        <w:tc>
          <w:tcPr>
            <w:tcW w:w="1775" w:type="dxa"/>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285"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w:t>
            </w:r>
            <w:proofErr w:type="gramStart"/>
            <w:r>
              <w:rPr>
                <w:rFonts w:eastAsiaTheme="minorEastAsia"/>
                <w:lang w:val="en-GB" w:eastAsia="zh-CN"/>
              </w:rPr>
              <w:t>of  m</w:t>
            </w:r>
            <w:r w:rsidRPr="00375B49">
              <w:rPr>
                <w:rFonts w:eastAsiaTheme="minorEastAsia"/>
                <w:lang w:val="en-GB" w:eastAsia="zh-CN"/>
              </w:rPr>
              <w:t>ore</w:t>
            </w:r>
            <w:proofErr w:type="gramEnd"/>
            <w:r w:rsidRPr="00375B49">
              <w:rPr>
                <w:rFonts w:eastAsiaTheme="minorEastAsia"/>
                <w:lang w:val="en-GB" w:eastAsia="zh-CN"/>
              </w:rPr>
              <w:t xml:space="preserv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 xml:space="preserve">egarding 1-7, for configuration 4, we think for a current SSSG both </w:t>
            </w:r>
            <w:proofErr w:type="spellStart"/>
            <w:r>
              <w:rPr>
                <w:rFonts w:eastAsiaTheme="minorEastAsia"/>
                <w:lang w:val="en-GB" w:eastAsia="zh-CN"/>
              </w:rPr>
              <w:t>beahviour</w:t>
            </w:r>
            <w:proofErr w:type="spellEnd"/>
            <w:r>
              <w:rPr>
                <w:rFonts w:eastAsiaTheme="minorEastAsia"/>
                <w:lang w:val="en-GB" w:eastAsia="zh-CN"/>
              </w:rPr>
              <w:t xml:space="preserve">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7D7266">
            <w:pPr>
              <w:pStyle w:val="ListParagraph"/>
              <w:numPr>
                <w:ilvl w:val="0"/>
                <w:numId w:val="102"/>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7D7266">
            <w:pPr>
              <w:pStyle w:val="ListParagraph"/>
              <w:numPr>
                <w:ilvl w:val="0"/>
                <w:numId w:val="102"/>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7D7266">
            <w:pPr>
              <w:pStyle w:val="ListParagraph"/>
              <w:numPr>
                <w:ilvl w:val="0"/>
                <w:numId w:val="102"/>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7D7266">
            <w:pPr>
              <w:pStyle w:val="ListParagraph"/>
              <w:numPr>
                <w:ilvl w:val="0"/>
                <w:numId w:val="102"/>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676453">
        <w:tc>
          <w:tcPr>
            <w:tcW w:w="1775" w:type="dxa"/>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285"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 and hence, no extra </w:t>
            </w:r>
            <w:proofErr w:type="spellStart"/>
            <w:r>
              <w:rPr>
                <w:rStyle w:val="normaltextrun"/>
                <w:color w:val="000000"/>
                <w:shd w:val="clear" w:color="auto" w:fill="FFFFFF"/>
                <w:lang w:val="en-GB"/>
              </w:rPr>
              <w:t>signaling</w:t>
            </w:r>
            <w:proofErr w:type="spellEnd"/>
            <w:r>
              <w:rPr>
                <w:rStyle w:val="normaltextrun"/>
                <w:color w:val="000000"/>
                <w:shd w:val="clear" w:color="auto" w:fill="FFFFFF"/>
                <w:lang w:val="en-GB"/>
              </w:rPr>
              <w:t> is required for this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w:t>
            </w:r>
            <w:r>
              <w:rPr>
                <w:rStyle w:val="eop"/>
                <w:color w:val="000000"/>
                <w:shd w:val="clear" w:color="auto" w:fill="FFFFFF"/>
              </w:rPr>
              <w:t> </w:t>
            </w:r>
          </w:p>
        </w:tc>
      </w:tr>
      <w:tr w:rsidR="004B493F" w:rsidRPr="001F7A25" w14:paraId="0E9B6968" w14:textId="77777777" w:rsidTr="00676453">
        <w:tc>
          <w:tcPr>
            <w:tcW w:w="1775" w:type="dxa"/>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285"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 xml:space="preserve">Regarding ZTE’s proposal, we think it is reasonable to support multiple skipping durations. All these </w:t>
            </w:r>
            <w:proofErr w:type="spellStart"/>
            <w:r>
              <w:rPr>
                <w:rFonts w:eastAsiaTheme="minorEastAsia"/>
                <w:lang w:val="en-GB" w:eastAsia="zh-CN"/>
              </w:rPr>
              <w:t>behaviors</w:t>
            </w:r>
            <w:proofErr w:type="spellEnd"/>
            <w:r>
              <w:rPr>
                <w:rFonts w:eastAsiaTheme="minorEastAsia"/>
                <w:lang w:val="en-GB" w:eastAsia="zh-CN"/>
              </w:rPr>
              <w:t xml:space="preserve">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E03CFE" w:rsidRPr="001F7A25" w14:paraId="6A6F10AA" w14:textId="77777777" w:rsidTr="00676453">
        <w:tc>
          <w:tcPr>
            <w:tcW w:w="1775" w:type="dxa"/>
          </w:tcPr>
          <w:p w14:paraId="466C4C48" w14:textId="29435FAE" w:rsidR="00E03CFE" w:rsidRDefault="008D65C9" w:rsidP="004B493F">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285" w:type="dxa"/>
          </w:tcPr>
          <w:p w14:paraId="41F7D97D" w14:textId="6C06E567" w:rsidR="00FD21E0" w:rsidRDefault="008D65C9" w:rsidP="004B493F">
            <w:pPr>
              <w:spacing w:line="240" w:lineRule="auto"/>
              <w:rPr>
                <w:rFonts w:eastAsiaTheme="minorEastAsia"/>
                <w:lang w:val="en-GB" w:eastAsia="zh-CN"/>
              </w:rPr>
            </w:pPr>
            <w:r>
              <w:rPr>
                <w:rFonts w:eastAsiaTheme="minorEastAsia"/>
                <w:lang w:val="en-GB" w:eastAsia="zh-CN"/>
              </w:rPr>
              <w:t xml:space="preserve">Support Proposals 1-1, </w:t>
            </w:r>
            <w:r w:rsidR="00E74D3F">
              <w:rPr>
                <w:rFonts w:eastAsiaTheme="minorEastAsia"/>
                <w:lang w:val="en-GB" w:eastAsia="zh-CN"/>
              </w:rPr>
              <w:t>1-</w:t>
            </w:r>
            <w:r w:rsidR="00AA6D8F">
              <w:rPr>
                <w:rFonts w:eastAsiaTheme="minorEastAsia"/>
                <w:lang w:val="en-GB" w:eastAsia="zh-CN"/>
              </w:rPr>
              <w:t>4,</w:t>
            </w:r>
            <w:r w:rsidR="00FD21E0">
              <w:rPr>
                <w:rFonts w:eastAsiaTheme="minorEastAsia"/>
                <w:lang w:val="en-GB" w:eastAsia="zh-CN"/>
              </w:rPr>
              <w:t xml:space="preserve"> </w:t>
            </w:r>
          </w:p>
          <w:p w14:paraId="3EEBE712" w14:textId="77777777" w:rsidR="00FD21E0" w:rsidRDefault="00FD21E0" w:rsidP="004B493F">
            <w:pPr>
              <w:spacing w:line="240" w:lineRule="auto"/>
              <w:rPr>
                <w:rFonts w:eastAsiaTheme="minorEastAsia"/>
                <w:lang w:val="en-GB" w:eastAsia="zh-CN"/>
              </w:rPr>
            </w:pPr>
            <w:r>
              <w:rPr>
                <w:rFonts w:eastAsiaTheme="minorEastAsia"/>
                <w:lang w:val="en-GB" w:eastAsia="zh-CN"/>
              </w:rPr>
              <w:t>Support Configs 1, 2</w:t>
            </w:r>
            <w:r w:rsidR="006460BC">
              <w:rPr>
                <w:rFonts w:eastAsiaTheme="minorEastAsia"/>
                <w:lang w:val="en-GB" w:eastAsia="zh-CN"/>
              </w:rPr>
              <w:t>, 4 in Proposal 1-6</w:t>
            </w:r>
          </w:p>
          <w:p w14:paraId="4E6D3AA1" w14:textId="77777777" w:rsidR="00B62B7B" w:rsidRDefault="00B62B7B" w:rsidP="004B493F">
            <w:pPr>
              <w:spacing w:line="240" w:lineRule="auto"/>
              <w:rPr>
                <w:rFonts w:eastAsiaTheme="minorEastAsia"/>
                <w:lang w:val="en-GB" w:eastAsia="zh-CN"/>
              </w:rPr>
            </w:pPr>
            <w:r>
              <w:rPr>
                <w:rFonts w:eastAsiaTheme="minorEastAsia"/>
                <w:lang w:val="en-GB" w:eastAsia="zh-CN"/>
              </w:rPr>
              <w:t xml:space="preserve">Support </w:t>
            </w:r>
            <w:r w:rsidR="008E5B58">
              <w:rPr>
                <w:rFonts w:eastAsiaTheme="minorEastAsia"/>
                <w:lang w:val="en-GB" w:eastAsia="zh-CN"/>
              </w:rPr>
              <w:t>the proposed bitmaps for Configs 1, 2, 4 in Proposal 1-7.</w:t>
            </w:r>
          </w:p>
          <w:p w14:paraId="43B74F6E" w14:textId="7142DAFA" w:rsidR="008E5B58" w:rsidRDefault="008E5B58" w:rsidP="004B493F">
            <w:pPr>
              <w:spacing w:line="240" w:lineRule="auto"/>
              <w:rPr>
                <w:rFonts w:eastAsiaTheme="minorEastAsia"/>
                <w:lang w:val="en-GB" w:eastAsia="zh-CN"/>
              </w:rPr>
            </w:pPr>
            <w:r>
              <w:rPr>
                <w:rFonts w:eastAsiaTheme="minorEastAsia"/>
                <w:lang w:val="en-GB" w:eastAsia="zh-CN"/>
              </w:rPr>
              <w:t xml:space="preserve">We do not see </w:t>
            </w:r>
            <w:r w:rsidR="00690E0B">
              <w:rPr>
                <w:rFonts w:eastAsiaTheme="minorEastAsia"/>
                <w:lang w:val="en-GB" w:eastAsia="zh-CN"/>
              </w:rPr>
              <w:t xml:space="preserve">the need for 3 SSSG switching by scheduling DCI. Hence, we have concern on rest of the proposals/configurations. The above already </w:t>
            </w:r>
            <w:r w:rsidR="004D4B33">
              <w:rPr>
                <w:rFonts w:eastAsiaTheme="minorEastAsia"/>
                <w:lang w:val="en-GB" w:eastAsia="zh-CN"/>
              </w:rPr>
              <w:t>considers unified functionality when both SSSG switching and skipping are supported.</w:t>
            </w:r>
            <w:r w:rsidR="00C30EF6">
              <w:rPr>
                <w:rFonts w:eastAsiaTheme="minorEastAsia"/>
                <w:lang w:val="en-GB" w:eastAsia="zh-CN"/>
              </w:rPr>
              <w:t>, or one of the two is configured only.</w:t>
            </w:r>
          </w:p>
        </w:tc>
      </w:tr>
    </w:tbl>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r w:rsidR="005248B6">
              <w:rPr>
                <w:color w:val="000000"/>
                <w:kern w:val="24"/>
                <w:sz w:val="18"/>
                <w:szCs w:val="18"/>
                <w:lang w:eastAsia="fi-FI"/>
              </w:rPr>
              <w:t xml:space="preserve">i.e.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w:t>
            </w:r>
            <w:proofErr w:type="gramStart"/>
            <w:r w:rsidR="00B11C95">
              <w:rPr>
                <w:lang w:val="en-GB" w:eastAsia="zh-CN"/>
              </w:rPr>
              <w:t>is</w:t>
            </w:r>
            <w:proofErr w:type="gramEnd"/>
            <w:r w:rsidR="00B11C95">
              <w:rPr>
                <w:lang w:val="en-GB" w:eastAsia="zh-CN"/>
              </w:rPr>
              <w:t xml:space="preserve">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 xml:space="preserve">some RNTIs including SI-RNTI, RA-RNTI, </w:t>
            </w:r>
            <w:proofErr w:type="spellStart"/>
            <w:r>
              <w:rPr>
                <w:rFonts w:eastAsiaTheme="minorEastAsia"/>
                <w:sz w:val="22"/>
                <w:lang w:eastAsia="ko-KR"/>
              </w:rPr>
              <w:t>MsgB</w:t>
            </w:r>
            <w:proofErr w:type="spellEnd"/>
            <w:r>
              <w:rPr>
                <w:rFonts w:eastAsiaTheme="minorEastAsia"/>
                <w:sz w:val="22"/>
                <w:lang w:eastAsia="ko-KR"/>
              </w:rPr>
              <w:t>-RNTI,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1C63D3">
              <w:rPr>
                <w:rFonts w:eastAsia="Malgun Gothic"/>
                <w:lang w:val="en-GB" w:eastAsia="ko-KR"/>
              </w:rPr>
              <w:t>MsgB</w:t>
            </w:r>
            <w:proofErr w:type="spellEnd"/>
            <w:r w:rsidRPr="001C63D3">
              <w:rPr>
                <w:rFonts w:eastAsia="Malgun Gothic"/>
                <w:lang w:val="en-GB" w:eastAsia="ko-KR"/>
              </w:rPr>
              <w:t xml:space="preserve">-RNTI,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proofErr w:type="gramStart"/>
            <w:r>
              <w:rPr>
                <w:rFonts w:eastAsia="Malgun Gothic" w:hint="eastAsia"/>
                <w:lang w:val="en-GB" w:eastAsia="ko-KR"/>
              </w:rPr>
              <w:t>T</w:t>
            </w:r>
            <w:r>
              <w:rPr>
                <w:rFonts w:eastAsia="Malgun Gothic"/>
                <w:lang w:val="en-GB" w:eastAsia="ko-KR"/>
              </w:rPr>
              <w:t>herefore</w:t>
            </w:r>
            <w:proofErr w:type="gramEnd"/>
            <w:r>
              <w:rPr>
                <w:rFonts w:eastAsia="Malgun Gothic"/>
                <w:lang w:val="en-GB" w:eastAsia="ko-KR"/>
              </w:rPr>
              <w:t xml:space="preserv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 xml:space="preserve">After receiving indication of PDCCH skipping, a UE should not </w:t>
            </w:r>
            <w:proofErr w:type="gramStart"/>
            <w:r w:rsidRPr="005042C3">
              <w:rPr>
                <w:rFonts w:eastAsia="Malgun Gothic"/>
                <w:color w:val="FF0000"/>
                <w:lang w:eastAsia="ko-KR"/>
              </w:rPr>
              <w:t>monitors</w:t>
            </w:r>
            <w:proofErr w:type="gramEnd"/>
            <w:r w:rsidRPr="005042C3">
              <w:rPr>
                <w:rFonts w:eastAsia="Malgun Gothic"/>
                <w:color w:val="FF0000"/>
                <w:lang w:eastAsia="ko-KR"/>
              </w:rPr>
              <w:t xml:space="preserve">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proofErr w:type="spellStart"/>
            <w:proofErr w:type="gramStart"/>
            <w:r>
              <w:rPr>
                <w:rFonts w:ascii="New York" w:eastAsiaTheme="minorEastAsia" w:hAnsi="New York" w:hint="eastAsia"/>
                <w:lang w:eastAsia="zh-CN"/>
              </w:rPr>
              <w:t>ZTE</w:t>
            </w:r>
            <w:r>
              <w:rPr>
                <w:rFonts w:ascii="New York" w:eastAsiaTheme="minorEastAsia" w:hAnsi="New York"/>
                <w:lang w:eastAsia="zh-CN"/>
              </w:rPr>
              <w:t>,Sanechips</w:t>
            </w:r>
            <w:proofErr w:type="spellEnd"/>
            <w:proofErr w:type="gramEnd"/>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727433" w14:paraId="49177E09" w14:textId="77777777" w:rsidTr="00676453">
        <w:tc>
          <w:tcPr>
            <w:tcW w:w="1995" w:type="dxa"/>
          </w:tcPr>
          <w:p w14:paraId="2C66F7D5" w14:textId="4DB8F392" w:rsidR="00727433" w:rsidRDefault="00557998"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053E7B94" w14:textId="74B6B198" w:rsidR="00727433" w:rsidRDefault="00706F8C" w:rsidP="00375B49">
            <w:pPr>
              <w:spacing w:after="0" w:line="240" w:lineRule="auto"/>
              <w:rPr>
                <w:rFonts w:eastAsiaTheme="minorEastAsia"/>
                <w:lang w:eastAsia="zh-CN"/>
              </w:rPr>
            </w:pPr>
            <w:r>
              <w:rPr>
                <w:rFonts w:eastAsiaTheme="minorEastAsia"/>
                <w:lang w:eastAsia="zh-CN"/>
              </w:rPr>
              <w:t xml:space="preserve">Agree with Huawei that </w:t>
            </w:r>
            <w:r w:rsidR="00065163">
              <w:rPr>
                <w:rFonts w:eastAsiaTheme="minorEastAsia"/>
                <w:lang w:eastAsia="zh-CN"/>
              </w:rPr>
              <w:t xml:space="preserve">objective of power saving may not be fulfilled if </w:t>
            </w:r>
            <w:r w:rsidR="00E32D90">
              <w:rPr>
                <w:rFonts w:eastAsiaTheme="minorEastAsia"/>
                <w:lang w:eastAsia="zh-CN"/>
              </w:rPr>
              <w:t xml:space="preserve">skipping those CSS are not allowed. </w:t>
            </w:r>
            <w:r>
              <w:rPr>
                <w:rFonts w:eastAsiaTheme="minorEastAsia"/>
                <w:lang w:eastAsia="zh-CN"/>
              </w:rPr>
              <w:t>Skipping duration can be configured appropriatel</w:t>
            </w:r>
            <w:r w:rsidR="00E32D90">
              <w:rPr>
                <w:rFonts w:eastAsiaTheme="minorEastAsia"/>
                <w:lang w:eastAsia="zh-CN"/>
              </w:rPr>
              <w:t>y so that</w:t>
            </w:r>
            <w:r w:rsidR="00E05EC4">
              <w:rPr>
                <w:rFonts w:eastAsiaTheme="minorEastAsia"/>
                <w:lang w:eastAsia="zh-CN"/>
              </w:rPr>
              <w:t xml:space="preserve"> impact is minimal.</w:t>
            </w:r>
          </w:p>
        </w:tc>
      </w:tr>
    </w:tbl>
    <w:p w14:paraId="1A04AA75" w14:textId="400BFCA2" w:rsidR="003B5119" w:rsidRPr="00676453" w:rsidRDefault="003B5119" w:rsidP="003B5119">
      <w:pPr>
        <w:rPr>
          <w:lang w:val="en-GB"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w:t>
      </w:r>
      <w:proofErr w:type="spellStart"/>
      <w:r w:rsidR="00070B18">
        <w:rPr>
          <w:rFonts w:ascii="Times New Roman" w:hAnsi="Times New Roman"/>
          <w:lang w:eastAsia="zh-CN"/>
        </w:rPr>
        <w:t>HiSilicon</w:t>
      </w:r>
      <w:proofErr w:type="spellEnd"/>
      <w:r w:rsidR="00070B18">
        <w:rPr>
          <w:rFonts w:ascii="Times New Roman" w:hAnsi="Times New Roman"/>
          <w:lang w:eastAsia="zh-CN"/>
        </w:rPr>
        <w:t xml:space="preserve">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927FE">
        <w:tc>
          <w:tcPr>
            <w:tcW w:w="2000"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060"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927FE">
        <w:tc>
          <w:tcPr>
            <w:tcW w:w="2000"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0"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3E07F0">
        <w:tc>
          <w:tcPr>
            <w:tcW w:w="2000"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060"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 xml:space="preserve">We prefer to have a single timer to </w:t>
            </w:r>
            <w:proofErr w:type="spellStart"/>
            <w:r w:rsidRPr="00EE2DEA">
              <w:rPr>
                <w:rFonts w:eastAsiaTheme="minorEastAsia"/>
                <w:lang w:val="en-GB" w:eastAsia="zh-CN"/>
              </w:rPr>
              <w:t>manta</w:t>
            </w:r>
            <w:r>
              <w:rPr>
                <w:rFonts w:eastAsiaTheme="minorEastAsia"/>
                <w:lang w:val="en-GB" w:eastAsia="zh-CN"/>
              </w:rPr>
              <w:t>i</w:t>
            </w:r>
            <w:r w:rsidRPr="00EE2DEA">
              <w:rPr>
                <w:rFonts w:eastAsiaTheme="minorEastAsia"/>
                <w:lang w:val="en-GB" w:eastAsia="zh-CN"/>
              </w:rPr>
              <w:t>n</w:t>
            </w:r>
            <w:proofErr w:type="spellEnd"/>
            <w:r w:rsidRPr="00EE2DEA">
              <w:rPr>
                <w:rFonts w:eastAsiaTheme="minorEastAsia"/>
                <w:lang w:val="en-GB" w:eastAsia="zh-CN"/>
              </w:rPr>
              <w:t xml:space="preserve">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676453">
        <w:tc>
          <w:tcPr>
            <w:tcW w:w="2000"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0"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 xml:space="preserve">We don’t agree. There is no need to support different timers and there is no reason to use some other bits for the timer length </w:t>
            </w:r>
            <w:proofErr w:type="gramStart"/>
            <w:r>
              <w:rPr>
                <w:bCs/>
                <w:lang w:eastAsia="zh-CN"/>
              </w:rPr>
              <w:t>indication..</w:t>
            </w:r>
            <w:proofErr w:type="gramEnd"/>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676453">
        <w:tc>
          <w:tcPr>
            <w:tcW w:w="2000"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0"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676453">
        <w:tc>
          <w:tcPr>
            <w:tcW w:w="2000"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0"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676453">
        <w:tc>
          <w:tcPr>
            <w:tcW w:w="2000"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0"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162629" w:rsidRPr="00441C86" w14:paraId="7FF157E6" w14:textId="77777777" w:rsidTr="00676453">
        <w:tc>
          <w:tcPr>
            <w:tcW w:w="2000" w:type="dxa"/>
          </w:tcPr>
          <w:p w14:paraId="28A67C25" w14:textId="0199B13F" w:rsidR="00162629" w:rsidRDefault="00162629"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0" w:type="dxa"/>
          </w:tcPr>
          <w:p w14:paraId="15F55602" w14:textId="3D36479A" w:rsidR="00162629" w:rsidRPr="00234EA6" w:rsidRDefault="00162629" w:rsidP="0097019E">
            <w:pPr>
              <w:spacing w:after="0" w:line="240" w:lineRule="auto"/>
              <w:rPr>
                <w:bCs/>
                <w:lang w:eastAsia="zh-CN"/>
              </w:rPr>
            </w:pPr>
            <w:r>
              <w:rPr>
                <w:bCs/>
                <w:lang w:eastAsia="zh-CN"/>
              </w:rPr>
              <w:t>Support Proposals 3-1, 3-2</w:t>
            </w:r>
            <w:r w:rsidR="0001768F">
              <w:rPr>
                <w:bCs/>
                <w:lang w:eastAsia="zh-CN"/>
              </w:rPr>
              <w:t>. Proposal 3-3 can be discussed after progress on 3 SSSGs based adaptation is agreed. We do not see need for Proposal 3-4</w:t>
            </w:r>
          </w:p>
        </w:tc>
      </w:tr>
    </w:tbl>
    <w:p w14:paraId="78756162" w14:textId="77777777" w:rsidR="007E3C91" w:rsidRPr="00676453"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xml:space="preserve">, Huawei, </w:t>
      </w:r>
      <w:proofErr w:type="spellStart"/>
      <w:r w:rsidR="00A13F77">
        <w:rPr>
          <w:rFonts w:ascii="Times New Roman" w:hAnsi="Times New Roman"/>
          <w:lang w:eastAsia="zh-CN"/>
        </w:rPr>
        <w:t>HiSilicon</w:t>
      </w:r>
      <w:proofErr w:type="spellEnd"/>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xml:space="preserve">, </w:t>
      </w:r>
      <w:proofErr w:type="spellStart"/>
      <w:r w:rsidR="00DD18CE" w:rsidRPr="00DD18CE">
        <w:rPr>
          <w:rFonts w:ascii="Times New Roman" w:hAnsi="Times New Roman"/>
          <w:color w:val="FF0000"/>
          <w:lang w:eastAsia="zh-CN"/>
        </w:rPr>
        <w:t>Spreadtrum</w:t>
      </w:r>
      <w:proofErr w:type="spellEnd"/>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gramStart"/>
            <w:r w:rsidR="00EA43D2">
              <w:rPr>
                <w:bCs/>
                <w:lang w:eastAsia="zh-CN"/>
              </w:rPr>
              <w:t xml:space="preserve">ms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xml:space="preserve">, thus it would be preferable to be able to configure the duration(s) per BWP. </w:t>
            </w:r>
            <w:proofErr w:type="gramStart"/>
            <w:r>
              <w:t>Also</w:t>
            </w:r>
            <w:proofErr w:type="gramEnd"/>
            <w:r>
              <w:t xml:space="preserve">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 xml:space="preserve">We are generally okay with proposal 4-1 but further </w:t>
            </w:r>
            <w:proofErr w:type="spellStart"/>
            <w:r>
              <w:rPr>
                <w:rFonts w:eastAsia="Malgun Gothic"/>
                <w:lang w:eastAsia="ko-KR"/>
              </w:rPr>
              <w:t>disuccsion</w:t>
            </w:r>
            <w:proofErr w:type="spellEnd"/>
            <w:r>
              <w:rPr>
                <w:rFonts w:eastAsia="Malgun Gothic"/>
                <w:lang w:eastAsia="ko-KR"/>
              </w:rPr>
              <w:t xml:space="preserve">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w:t>
            </w:r>
            <w:proofErr w:type="gramStart"/>
            <w:r>
              <w:rPr>
                <w:rFonts w:hint="eastAsia"/>
                <w:lang w:eastAsia="zh-CN"/>
              </w:rPr>
              <w:t>2 .</w:t>
            </w:r>
            <w:proofErr w:type="gramEnd"/>
            <w:r>
              <w:rPr>
                <w:lang w:eastAsia="zh-CN"/>
              </w:rPr>
              <w:t xml:space="preserve"> The unit should be consistent.</w:t>
            </w:r>
          </w:p>
          <w:p w14:paraId="3DDAF143" w14:textId="6067FB53" w:rsidR="002013D5" w:rsidRDefault="002013D5" w:rsidP="002013D5">
            <w:pPr>
              <w:rPr>
                <w:lang w:eastAsia="zh-CN"/>
              </w:rPr>
            </w:pPr>
            <w:r>
              <w:rPr>
                <w:lang w:eastAsia="zh-CN"/>
              </w:rPr>
              <w:t>As to proposal 4-</w:t>
            </w:r>
            <w:proofErr w:type="gramStart"/>
            <w:r>
              <w:rPr>
                <w:lang w:eastAsia="zh-CN"/>
              </w:rPr>
              <w:t xml:space="preserve">2, </w:t>
            </w:r>
            <w:r>
              <w:rPr>
                <w:rFonts w:hint="eastAsia"/>
                <w:lang w:eastAsia="zh-CN"/>
              </w:rPr>
              <w:t xml:space="preserve"> </w:t>
            </w:r>
            <w:r>
              <w:t>the</w:t>
            </w:r>
            <w:proofErr w:type="gramEnd"/>
            <w:r>
              <w:t xml:space="preserv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xml:space="preserve">: We think it still work well if the skipping duration has no dependence </w:t>
            </w:r>
            <w:proofErr w:type="gramStart"/>
            <w:r>
              <w:t>of  SSSG</w:t>
            </w:r>
            <w:proofErr w:type="gramEnd"/>
            <w:r>
              <w:t>,</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EB3D88">
              <w:rPr>
                <w:rFonts w:ascii="Times New Roman" w:hAnsi="Times New Roman"/>
                <w:b/>
                <w:bCs/>
                <w:color w:val="7030A0"/>
              </w:rPr>
              <w:t>_</w:t>
            </w:r>
            <w:proofErr w:type="gramEnd"/>
            <w:r w:rsidRPr="00EB3D88">
              <w:rPr>
                <w:rFonts w:ascii="Times New Roman" w:hAnsi="Times New Roman"/>
                <w:b/>
                <w:bCs/>
                <w:color w:val="7030A0"/>
              </w:rPr>
              <w:t>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w:t>
            </w:r>
            <w:proofErr w:type="gramStart"/>
            <w:r>
              <w:rPr>
                <w:rStyle w:val="normaltextrun"/>
                <w:sz w:val="20"/>
                <w:szCs w:val="20"/>
                <w:lang w:val="en-GB"/>
              </w:rPr>
              <w:t>Otherwise</w:t>
            </w:r>
            <w:proofErr w:type="gramEnd"/>
            <w:r>
              <w:rPr>
                <w:rStyle w:val="normaltextrun"/>
                <w:sz w:val="20"/>
                <w:szCs w:val="20"/>
                <w:lang w:val="en-GB"/>
              </w:rPr>
              <w:t>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9C0F6F" w14:paraId="64880C34" w14:textId="77777777" w:rsidTr="00676453">
        <w:tc>
          <w:tcPr>
            <w:tcW w:w="2002" w:type="dxa"/>
          </w:tcPr>
          <w:p w14:paraId="25061831" w14:textId="6AE64A7C" w:rsidR="009C0F6F" w:rsidRDefault="009C0F6F"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3C294CE8" w14:textId="77777777" w:rsidR="009C0F6F" w:rsidRDefault="009C0F6F" w:rsidP="00096BF0">
            <w:pPr>
              <w:spacing w:after="0" w:line="240" w:lineRule="auto"/>
              <w:rPr>
                <w:lang w:eastAsia="zh-CN"/>
              </w:rPr>
            </w:pPr>
            <w:r>
              <w:rPr>
                <w:lang w:eastAsia="zh-CN"/>
              </w:rPr>
              <w:t>Support Proposal 4-1</w:t>
            </w:r>
            <w:r w:rsidR="00391AE8">
              <w:rPr>
                <w:lang w:eastAsia="zh-CN"/>
              </w:rPr>
              <w:t xml:space="preserve">, 4-2. We are also OK if </w:t>
            </w:r>
            <w:r w:rsidR="008179F8">
              <w:rPr>
                <w:lang w:eastAsia="zh-CN"/>
              </w:rPr>
              <w:t>X</w:t>
            </w:r>
            <w:r w:rsidR="007C30D5">
              <w:rPr>
                <w:lang w:eastAsia="zh-CN"/>
              </w:rPr>
              <w:t>&gt;0</w:t>
            </w:r>
            <w:r w:rsidR="008179F8">
              <w:rPr>
                <w:lang w:eastAsia="zh-CN"/>
              </w:rPr>
              <w:t xml:space="preserve"> is RRC configured, i.e., DCI can indicate either X = 0 by </w:t>
            </w:r>
            <w:proofErr w:type="spellStart"/>
            <w:r w:rsidR="008179F8">
              <w:rPr>
                <w:lang w:eastAsia="zh-CN"/>
              </w:rPr>
              <w:t>Beh</w:t>
            </w:r>
            <w:proofErr w:type="spellEnd"/>
            <w:r w:rsidR="008179F8">
              <w:rPr>
                <w:lang w:eastAsia="zh-CN"/>
              </w:rPr>
              <w:t xml:space="preserve"> 1 </w:t>
            </w:r>
            <w:r w:rsidR="007C30D5">
              <w:rPr>
                <w:lang w:eastAsia="zh-CN"/>
              </w:rPr>
              <w:t xml:space="preserve">or X &gt; 0 by </w:t>
            </w:r>
            <w:proofErr w:type="spellStart"/>
            <w:r w:rsidR="007C30D5">
              <w:rPr>
                <w:lang w:eastAsia="zh-CN"/>
              </w:rPr>
              <w:t>Beh</w:t>
            </w:r>
            <w:proofErr w:type="spellEnd"/>
            <w:r w:rsidR="007C30D5">
              <w:rPr>
                <w:lang w:eastAsia="zh-CN"/>
              </w:rPr>
              <w:t xml:space="preserve"> 1A. Multiple X &gt; 0 indications by DCI is possible, but not strongly </w:t>
            </w:r>
            <w:r w:rsidR="00B76AC5">
              <w:rPr>
                <w:lang w:eastAsia="zh-CN"/>
              </w:rPr>
              <w:t xml:space="preserve">needed or can be easily accommodated by </w:t>
            </w:r>
            <w:proofErr w:type="gramStart"/>
            <w:r w:rsidR="00B76AC5">
              <w:rPr>
                <w:lang w:eastAsia="zh-CN"/>
              </w:rPr>
              <w:t>2 bit</w:t>
            </w:r>
            <w:proofErr w:type="gramEnd"/>
            <w:r w:rsidR="00B76AC5">
              <w:rPr>
                <w:lang w:eastAsia="zh-CN"/>
              </w:rPr>
              <w:t xml:space="preserve"> field, when SSSG switching also need to be accommodated.</w:t>
            </w:r>
          </w:p>
          <w:p w14:paraId="7B463E53" w14:textId="0FA318B8" w:rsidR="000D4C0F" w:rsidRDefault="000D4C0F" w:rsidP="00096BF0">
            <w:pPr>
              <w:spacing w:after="0" w:line="240" w:lineRule="auto"/>
              <w:rPr>
                <w:lang w:eastAsia="zh-CN"/>
              </w:rPr>
            </w:pPr>
            <w:r>
              <w:rPr>
                <w:lang w:eastAsia="zh-CN"/>
              </w:rPr>
              <w:t xml:space="preserve">We do </w:t>
            </w:r>
            <w:proofErr w:type="spellStart"/>
            <w:r>
              <w:rPr>
                <w:lang w:eastAsia="zh-CN"/>
              </w:rPr>
              <w:t>no</w:t>
            </w:r>
            <w:proofErr w:type="spellEnd"/>
            <w:r>
              <w:rPr>
                <w:lang w:eastAsia="zh-CN"/>
              </w:rPr>
              <w:t xml:space="preserve"> see need to adapt skipping duration based</w:t>
            </w:r>
            <w:r w:rsidR="00C21541">
              <w:rPr>
                <w:lang w:eastAsia="zh-CN"/>
              </w:rPr>
              <w:t xml:space="preserve"> on which SSSG is active. Such optimizations are not essential. </w:t>
            </w:r>
          </w:p>
          <w:p w14:paraId="75DAC36C" w14:textId="17784044" w:rsidR="000D4C0F" w:rsidRDefault="000D4C0F" w:rsidP="00096BF0">
            <w:pPr>
              <w:spacing w:after="0" w:line="240" w:lineRule="auto"/>
              <w:rPr>
                <w:lang w:eastAsia="zh-CN"/>
              </w:rPr>
            </w:pPr>
          </w:p>
        </w:tc>
      </w:tr>
    </w:tbl>
    <w:p w14:paraId="77EB0932" w14:textId="77777777" w:rsidR="007D6630" w:rsidRPr="00676453" w:rsidRDefault="007D6630" w:rsidP="007D6630">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gNB should address potential issues by implementation. </w:t>
            </w:r>
            <w:proofErr w:type="gramStart"/>
            <w:r>
              <w:rPr>
                <w:bCs/>
                <w:lang w:val="en-GB" w:eastAsia="zh-CN"/>
              </w:rPr>
              <w:t>Thus</w:t>
            </w:r>
            <w:proofErr w:type="gramEnd"/>
            <w:r>
              <w:rPr>
                <w:bCs/>
                <w:lang w:val="en-GB" w:eastAsia="zh-CN"/>
              </w:rPr>
              <w:t xml:space="preserve">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BD1C76" w:rsidRPr="00EB3D88" w14:paraId="4E2BCB38" w14:textId="77777777" w:rsidTr="00676453">
        <w:tc>
          <w:tcPr>
            <w:tcW w:w="1998" w:type="dxa"/>
          </w:tcPr>
          <w:p w14:paraId="0D7A3D49" w14:textId="0927A754" w:rsidR="00BD1C76" w:rsidRDefault="00BD1C76"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258DDB89" w14:textId="3EB607E6" w:rsidR="00BD1C76" w:rsidRDefault="00BD1C76" w:rsidP="00676453">
            <w:pPr>
              <w:spacing w:after="0" w:line="240" w:lineRule="auto"/>
              <w:rPr>
                <w:rFonts w:eastAsiaTheme="minorEastAsia"/>
                <w:lang w:val="en-GB" w:eastAsia="zh-CN"/>
              </w:rPr>
            </w:pPr>
            <w:r>
              <w:rPr>
                <w:rFonts w:eastAsiaTheme="minorEastAsia"/>
                <w:lang w:val="en-GB" w:eastAsia="zh-CN"/>
              </w:rPr>
              <w:t xml:space="preserve">We do not support. This is </w:t>
            </w:r>
            <w:r w:rsidR="00DD210B">
              <w:rPr>
                <w:rFonts w:eastAsiaTheme="minorEastAsia"/>
                <w:lang w:val="en-GB" w:eastAsia="zh-CN"/>
              </w:rPr>
              <w:t>an optimization and not essential</w:t>
            </w:r>
          </w:p>
        </w:tc>
      </w:tr>
    </w:tbl>
    <w:p w14:paraId="6378286E" w14:textId="77777777" w:rsidR="007D6630" w:rsidRPr="00676453" w:rsidRDefault="007D6630" w:rsidP="007D6630">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1D07AC10"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7ABB7678"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EB6471"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to discuss/down-select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 xml:space="preserve">We think that for the case that UE stops PDCCH monitoring for a duration (skipping, {empty SSSG}), the application delay is UE implementation issue. </w:t>
            </w:r>
            <w:proofErr w:type="gramStart"/>
            <w:r>
              <w:rPr>
                <w:rFonts w:eastAsiaTheme="minorEastAsia"/>
                <w:lang w:val="en-GB" w:eastAsia="zh-CN"/>
              </w:rPr>
              <w:t>E.g.</w:t>
            </w:r>
            <w:proofErr w:type="gramEnd"/>
            <w:r>
              <w:rPr>
                <w:rFonts w:eastAsiaTheme="minorEastAsia"/>
                <w:lang w:val="en-GB" w:eastAsia="zh-CN"/>
              </w:rPr>
              <w:t xml:space="preserve">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00731D" w:rsidRPr="00D43D03" w14:paraId="3ED8CCE2" w14:textId="77777777" w:rsidTr="00676453">
        <w:tc>
          <w:tcPr>
            <w:tcW w:w="1996" w:type="dxa"/>
          </w:tcPr>
          <w:p w14:paraId="76AA7704" w14:textId="3770E045" w:rsidR="0000731D" w:rsidRDefault="0000731D"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6328D628" w14:textId="7ED00C6E" w:rsidR="0048660E" w:rsidRDefault="009F0470" w:rsidP="00375B49">
            <w:pPr>
              <w:spacing w:after="0" w:line="240" w:lineRule="auto"/>
              <w:rPr>
                <w:rFonts w:eastAsiaTheme="minorEastAsia"/>
                <w:lang w:eastAsia="zh-CN"/>
              </w:rPr>
            </w:pPr>
            <w:r>
              <w:rPr>
                <w:rFonts w:eastAsiaTheme="minorEastAsia"/>
                <w:lang w:eastAsia="zh-CN"/>
              </w:rPr>
              <w:t xml:space="preserve">Focusing on </w:t>
            </w:r>
            <w:r w:rsidR="0048660E">
              <w:rPr>
                <w:rFonts w:eastAsiaTheme="minorEastAsia"/>
                <w:lang w:eastAsia="zh-CN"/>
              </w:rPr>
              <w:t xml:space="preserve">Q1 of </w:t>
            </w:r>
            <w:r>
              <w:rPr>
                <w:rFonts w:eastAsiaTheme="minorEastAsia"/>
                <w:lang w:eastAsia="zh-CN"/>
              </w:rPr>
              <w:t>Proposal 6-1 only</w:t>
            </w:r>
            <w:r w:rsidR="0048660E">
              <w:rPr>
                <w:rFonts w:eastAsiaTheme="minorEastAsia"/>
                <w:lang w:eastAsia="zh-CN"/>
              </w:rPr>
              <w:t xml:space="preserve">. Yes needed. </w:t>
            </w:r>
          </w:p>
          <w:p w14:paraId="04A4BC4F" w14:textId="7F47C00C" w:rsidR="0000731D" w:rsidRDefault="0048660E" w:rsidP="00375B49">
            <w:pPr>
              <w:spacing w:after="0" w:line="240" w:lineRule="auto"/>
              <w:rPr>
                <w:rFonts w:eastAsiaTheme="minorEastAsia"/>
                <w:lang w:eastAsia="zh-CN"/>
              </w:rPr>
            </w:pPr>
            <w:r>
              <w:rPr>
                <w:rFonts w:eastAsiaTheme="minorEastAsia"/>
                <w:lang w:eastAsia="zh-CN"/>
              </w:rPr>
              <w:t xml:space="preserve">For Proposal 6-2, </w:t>
            </w:r>
            <w:r w:rsidR="009F0470">
              <w:rPr>
                <w:rFonts w:eastAsiaTheme="minorEastAsia"/>
                <w:lang w:eastAsia="zh-CN"/>
              </w:rPr>
              <w:t xml:space="preserve">Application delay for PDCCH skipping can be at most the PDCCH processing delay, i.e., can be value of Z assumed </w:t>
            </w:r>
            <w:r w:rsidR="00CA1C44">
              <w:rPr>
                <w:rFonts w:eastAsiaTheme="minorEastAsia"/>
                <w:lang w:eastAsia="zh-CN"/>
              </w:rPr>
              <w:t xml:space="preserve">in minimum application delay in Option </w:t>
            </w:r>
            <w:r w:rsidR="00F32435">
              <w:rPr>
                <w:rFonts w:eastAsiaTheme="minorEastAsia"/>
                <w:lang w:eastAsia="zh-CN"/>
              </w:rPr>
              <w:t xml:space="preserve">b. Option a can be used for SSSG </w:t>
            </w:r>
            <w:proofErr w:type="spellStart"/>
            <w:r w:rsidR="00F32435">
              <w:rPr>
                <w:rFonts w:eastAsiaTheme="minorEastAsia"/>
                <w:lang w:eastAsia="zh-CN"/>
              </w:rPr>
              <w:t>switcing</w:t>
            </w:r>
            <w:proofErr w:type="spellEnd"/>
          </w:p>
        </w:tc>
      </w:tr>
    </w:tbl>
    <w:p w14:paraId="59CF5214" w14:textId="77777777" w:rsidR="007D6630" w:rsidRPr="00676453"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ListParagraph"/>
        <w:widowControl w:val="0"/>
        <w:numPr>
          <w:ilvl w:val="1"/>
          <w:numId w:val="63"/>
        </w:numPr>
        <w:spacing w:after="120"/>
        <w:jc w:val="both"/>
        <w:rPr>
          <w:lang w:val="fr-FR" w:eastAsia="zh-CN"/>
        </w:rPr>
      </w:pPr>
      <w:proofErr w:type="gramStart"/>
      <w:r w:rsidRPr="004B493F">
        <w:rPr>
          <w:rFonts w:eastAsiaTheme="minorEastAsia"/>
          <w:lang w:val="fr-FR" w:eastAsia="zh-CN"/>
        </w:rPr>
        <w:t>Support:</w:t>
      </w:r>
      <w:proofErr w:type="gramEnd"/>
      <w:r w:rsidRPr="004B493F">
        <w:rPr>
          <w:rFonts w:eastAsiaTheme="minorEastAsia"/>
          <w:lang w:val="fr-FR" w:eastAsia="zh-CN"/>
        </w:rPr>
        <w:t xml:space="preserve"> </w:t>
      </w:r>
      <w:r w:rsidRPr="004B493F">
        <w:rPr>
          <w:rFonts w:eastAsiaTheme="minorEastAsia"/>
          <w:color w:val="FF0000"/>
          <w:lang w:val="fr-FR" w:eastAsia="zh-CN"/>
        </w:rPr>
        <w:t>Lenovo/</w:t>
      </w:r>
      <w:proofErr w:type="spellStart"/>
      <w:r w:rsidRPr="004B493F">
        <w:rPr>
          <w:rFonts w:eastAsiaTheme="minorEastAsia"/>
          <w:color w:val="FF0000"/>
          <w:lang w:val="fr-FR" w:eastAsia="zh-CN"/>
        </w:rPr>
        <w:t>MotM</w:t>
      </w:r>
      <w:proofErr w:type="spellEnd"/>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proofErr w:type="spellStart"/>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roofErr w:type="spellEnd"/>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6F4904" w:rsidRPr="003C3582" w14:paraId="505F892E" w14:textId="77777777" w:rsidTr="00676453">
        <w:tc>
          <w:tcPr>
            <w:tcW w:w="1999" w:type="dxa"/>
          </w:tcPr>
          <w:p w14:paraId="2097893A" w14:textId="5A2589A0" w:rsidR="006F4904" w:rsidRDefault="006F4904" w:rsidP="00375B49">
            <w:pPr>
              <w:spacing w:after="0" w:line="240" w:lineRule="auto"/>
              <w:rPr>
                <w:rFonts w:eastAsiaTheme="minorEastAsia" w:hint="eastAsia"/>
                <w:bCs/>
                <w:lang w:eastAsia="zh-CN"/>
              </w:rPr>
            </w:pPr>
            <w:r>
              <w:rPr>
                <w:rFonts w:eastAsiaTheme="minorEastAsia"/>
                <w:bCs/>
                <w:lang w:eastAsia="zh-CN"/>
              </w:rPr>
              <w:t>Intel</w:t>
            </w:r>
          </w:p>
        </w:tc>
        <w:tc>
          <w:tcPr>
            <w:tcW w:w="7061" w:type="dxa"/>
          </w:tcPr>
          <w:p w14:paraId="707840EC" w14:textId="6B673AAC" w:rsidR="006F4904" w:rsidRDefault="006F4904" w:rsidP="00375B49">
            <w:pPr>
              <w:spacing w:after="0" w:line="240" w:lineRule="auto"/>
              <w:rPr>
                <w:rFonts w:eastAsiaTheme="minorEastAsia" w:hint="eastAsia"/>
                <w:bCs/>
                <w:lang w:eastAsia="zh-CN"/>
              </w:rPr>
            </w:pPr>
            <w:r>
              <w:rPr>
                <w:rFonts w:eastAsiaTheme="minorEastAsia"/>
                <w:bCs/>
                <w:lang w:eastAsia="zh-CN"/>
              </w:rPr>
              <w:t xml:space="preserve">We support </w:t>
            </w:r>
            <w:r w:rsidR="003F72B1">
              <w:rPr>
                <w:rFonts w:eastAsiaTheme="minorEastAsia"/>
                <w:bCs/>
                <w:lang w:eastAsia="zh-CN"/>
              </w:rPr>
              <w:t>Proposal 7-1. For 7-2, we support inside active time only.</w:t>
            </w:r>
          </w:p>
        </w:tc>
      </w:tr>
    </w:tbl>
    <w:p w14:paraId="62EFB477" w14:textId="77777777" w:rsidR="007D6630" w:rsidRPr="00676453" w:rsidRDefault="007D6630" w:rsidP="007D6630">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 xml:space="preserve">Huawei, </w:t>
      </w:r>
      <w:proofErr w:type="spellStart"/>
      <w:r w:rsidRPr="00DB00BA">
        <w:rPr>
          <w:color w:val="FF0000"/>
          <w:lang w:eastAsia="zh-CN"/>
        </w:rPr>
        <w:t>HiSilicon</w:t>
      </w:r>
      <w:proofErr w:type="spellEnd"/>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w:t>
      </w:r>
      <w:proofErr w:type="spellStart"/>
      <w:r w:rsidRPr="00C93AEC">
        <w:rPr>
          <w:color w:val="FF0000"/>
          <w:lang w:eastAsia="zh-CN"/>
        </w:rPr>
        <w:t>HiSilicon</w:t>
      </w:r>
      <w:proofErr w:type="spellEnd"/>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xml:space="preserve">, </w:t>
      </w:r>
      <w:proofErr w:type="spellStart"/>
      <w:r>
        <w:rPr>
          <w:lang w:eastAsia="zh-CN"/>
        </w:rPr>
        <w:t>HiSilico</w:t>
      </w:r>
      <w:r>
        <w:rPr>
          <w:rFonts w:hint="eastAsia"/>
          <w:lang w:eastAsia="zh-CN"/>
        </w:rPr>
        <w:t>n</w:t>
      </w:r>
      <w:proofErr w:type="spellEnd"/>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0"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Beh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DengXian"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proofErr w:type="spellStart"/>
      <w:r w:rsidRPr="00E20B09">
        <w:rPr>
          <w:rFonts w:ascii="Times New Roman" w:hAnsi="Times New Roman"/>
          <w:b/>
          <w:lang w:eastAsia="zh-CN"/>
        </w:rPr>
        <w:t>HiSilicon</w:t>
      </w:r>
      <w:bookmarkEnd w:id="11"/>
      <w:proofErr w:type="spellEnd"/>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EB6471"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EB6471"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EB6471"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EB64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Beh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w:t>
      </w:r>
      <w:proofErr w:type="gramStart"/>
      <w:r w:rsidRPr="00E642CE">
        <w:rPr>
          <w:rFonts w:eastAsiaTheme="minorEastAsia"/>
          <w:b/>
          <w:i/>
          <w:sz w:val="22"/>
          <w:lang w:eastAsia="ko-KR"/>
        </w:rPr>
        <w:t>skipping,</w:t>
      </w:r>
      <w:proofErr w:type="gramEnd"/>
      <w:r w:rsidRPr="00E642CE">
        <w:rPr>
          <w:rFonts w:eastAsiaTheme="minorEastAsia"/>
          <w:b/>
          <w:i/>
          <w:sz w:val="22"/>
          <w:lang w:eastAsia="ko-KR"/>
        </w:rPr>
        <w:t xml:space="preserve">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w:t>
      </w:r>
      <w:proofErr w:type="gramStart"/>
      <w:r>
        <w:rPr>
          <w:rFonts w:eastAsiaTheme="minorEastAsia"/>
          <w:b/>
          <w:i/>
          <w:sz w:val="22"/>
          <w:lang w:eastAsia="ko-KR"/>
        </w:rPr>
        <w:t>0, 1, and 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EB6471"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EB6471"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EB6471"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EB6471"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EB6471"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EB6471"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EB6471"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EB6471"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EB6471"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EB6471"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EB6471"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EB6471"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EB6471"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EB6471"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EB6471"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EB6471"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EB6471"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EB6471"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EB6471"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8"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 xml:space="preserve">Huawei, </w:t>
      </w:r>
      <w:proofErr w:type="spellStart"/>
      <w:r w:rsidRPr="00C13AE3">
        <w:rPr>
          <w:rFonts w:ascii="Times New Roman" w:hAnsi="Times New Roman"/>
          <w:lang w:eastAsia="zh-CN"/>
        </w:rPr>
        <w:t>HiSilicon</w:t>
      </w:r>
      <w:proofErr w:type="spellEnd"/>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6D19" w14:textId="77777777" w:rsidR="00EB6471" w:rsidRDefault="00EB6471">
      <w:pPr>
        <w:spacing w:after="0" w:line="240" w:lineRule="auto"/>
      </w:pPr>
      <w:r>
        <w:separator/>
      </w:r>
    </w:p>
  </w:endnote>
  <w:endnote w:type="continuationSeparator" w:id="0">
    <w:p w14:paraId="202C4E41" w14:textId="77777777" w:rsidR="00EB6471" w:rsidRDefault="00EB6471">
      <w:pPr>
        <w:spacing w:after="0" w:line="240" w:lineRule="auto"/>
      </w:pPr>
      <w:r>
        <w:continuationSeparator/>
      </w:r>
    </w:p>
  </w:endnote>
  <w:endnote w:type="continuationNotice" w:id="1">
    <w:p w14:paraId="7608593A" w14:textId="77777777" w:rsidR="00EB6471" w:rsidRDefault="00EB6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375B49" w:rsidRDefault="00375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375B49" w:rsidRDefault="00375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EDD0C1D" w:rsidR="00375B49" w:rsidRDefault="00375B4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8291D" w14:textId="77777777" w:rsidR="00EB6471" w:rsidRDefault="00EB6471">
      <w:pPr>
        <w:spacing w:after="0" w:line="240" w:lineRule="auto"/>
      </w:pPr>
      <w:r>
        <w:separator/>
      </w:r>
    </w:p>
  </w:footnote>
  <w:footnote w:type="continuationSeparator" w:id="0">
    <w:p w14:paraId="4AF4E57A" w14:textId="77777777" w:rsidR="00EB6471" w:rsidRDefault="00EB6471">
      <w:pPr>
        <w:spacing w:after="0" w:line="240" w:lineRule="auto"/>
      </w:pPr>
      <w:r>
        <w:continuationSeparator/>
      </w:r>
    </w:p>
  </w:footnote>
  <w:footnote w:type="continuationNotice" w:id="1">
    <w:p w14:paraId="158AEBCC" w14:textId="77777777" w:rsidR="00EB6471" w:rsidRDefault="00EB6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375B49" w:rsidRDefault="00375B4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37440F"/>
    <w:multiLevelType w:val="hybridMultilevel"/>
    <w:tmpl w:val="46E0789C"/>
    <w:lvl w:ilvl="0" w:tplc="08090003">
      <w:start w:val="1"/>
      <w:numFmt w:val="bullet"/>
      <w:lvlText w:val="o"/>
      <w:lvlJc w:val="left"/>
      <w:pPr>
        <w:ind w:left="420" w:hanging="420"/>
      </w:pPr>
      <w:rPr>
        <w:rFonts w:ascii="Courier New" w:hAnsi="Courier New" w:cs="Courier New" w:hint="default"/>
      </w:rPr>
    </w:lvl>
    <w:lvl w:ilvl="1" w:tplc="7B12F14A">
      <w:numFmt w:val="bullet"/>
      <w:lvlText w:val=""/>
      <w:lvlJc w:val="left"/>
      <w:pPr>
        <w:ind w:left="780" w:hanging="360"/>
      </w:pPr>
      <w:rPr>
        <w:rFonts w:ascii="Wingdings" w:eastAsiaTheme="minorEastAsia"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1"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4"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4"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6"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2"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4"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5"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97526A2"/>
    <w:multiLevelType w:val="hybridMultilevel"/>
    <w:tmpl w:val="99D89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9"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0"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5"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0"/>
  </w:num>
  <w:num w:numId="3">
    <w:abstractNumId w:val="39"/>
  </w:num>
  <w:num w:numId="4">
    <w:abstractNumId w:val="78"/>
  </w:num>
  <w:num w:numId="5">
    <w:abstractNumId w:val="93"/>
  </w:num>
  <w:num w:numId="6">
    <w:abstractNumId w:val="55"/>
  </w:num>
  <w:num w:numId="7">
    <w:abstractNumId w:val="91"/>
  </w:num>
  <w:num w:numId="8">
    <w:abstractNumId w:val="51"/>
  </w:num>
  <w:num w:numId="9">
    <w:abstractNumId w:val="19"/>
  </w:num>
  <w:num w:numId="10">
    <w:abstractNumId w:val="41"/>
  </w:num>
  <w:num w:numId="11">
    <w:abstractNumId w:val="69"/>
  </w:num>
  <w:num w:numId="12">
    <w:abstractNumId w:val="58"/>
  </w:num>
  <w:num w:numId="13">
    <w:abstractNumId w:val="48"/>
  </w:num>
  <w:num w:numId="14">
    <w:abstractNumId w:val="23"/>
  </w:num>
  <w:num w:numId="15">
    <w:abstractNumId w:val="35"/>
  </w:num>
  <w:num w:numId="16">
    <w:abstractNumId w:val="87"/>
  </w:num>
  <w:num w:numId="17">
    <w:abstractNumId w:val="62"/>
  </w:num>
  <w:num w:numId="18">
    <w:abstractNumId w:val="40"/>
  </w:num>
  <w:num w:numId="19">
    <w:abstractNumId w:val="43"/>
  </w:num>
  <w:num w:numId="20">
    <w:abstractNumId w:val="77"/>
  </w:num>
  <w:num w:numId="21">
    <w:abstractNumId w:val="61"/>
  </w:num>
  <w:num w:numId="22">
    <w:abstractNumId w:val="89"/>
  </w:num>
  <w:num w:numId="23">
    <w:abstractNumId w:val="65"/>
  </w:num>
  <w:num w:numId="24">
    <w:abstractNumId w:val="24"/>
  </w:num>
  <w:num w:numId="25">
    <w:abstractNumId w:val="72"/>
  </w:num>
  <w:num w:numId="26">
    <w:abstractNumId w:val="81"/>
  </w:num>
  <w:num w:numId="27">
    <w:abstractNumId w:val="98"/>
  </w:num>
  <w:num w:numId="28">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1"/>
  </w:num>
  <w:num w:numId="31">
    <w:abstractNumId w:val="17"/>
  </w:num>
  <w:num w:numId="32">
    <w:abstractNumId w:val="63"/>
  </w:num>
  <w:num w:numId="33">
    <w:abstractNumId w:val="94"/>
  </w:num>
  <w:num w:numId="34">
    <w:abstractNumId w:val="53"/>
  </w:num>
  <w:num w:numId="35">
    <w:abstractNumId w:val="71"/>
  </w:num>
  <w:num w:numId="36">
    <w:abstractNumId w:val="83"/>
  </w:num>
  <w:num w:numId="37">
    <w:abstractNumId w:val="66"/>
  </w:num>
  <w:num w:numId="38">
    <w:abstractNumId w:val="90"/>
  </w:num>
  <w:num w:numId="39">
    <w:abstractNumId w:val="101"/>
  </w:num>
  <w:num w:numId="40">
    <w:abstractNumId w:val="46"/>
  </w:num>
  <w:num w:numId="41">
    <w:abstractNumId w:val="52"/>
  </w:num>
  <w:num w:numId="42">
    <w:abstractNumId w:val="18"/>
  </w:num>
  <w:num w:numId="43">
    <w:abstractNumId w:val="74"/>
  </w:num>
  <w:num w:numId="44">
    <w:abstractNumId w:val="13"/>
  </w:num>
  <w:num w:numId="45">
    <w:abstractNumId w:val="82"/>
  </w:num>
  <w:num w:numId="46">
    <w:abstractNumId w:val="8"/>
  </w:num>
  <w:num w:numId="47">
    <w:abstractNumId w:val="95"/>
  </w:num>
  <w:num w:numId="48">
    <w:abstractNumId w:val="73"/>
  </w:num>
  <w:num w:numId="49">
    <w:abstractNumId w:val="54"/>
  </w:num>
  <w:num w:numId="50">
    <w:abstractNumId w:val="79"/>
  </w:num>
  <w:num w:numId="51">
    <w:abstractNumId w:val="50"/>
  </w:num>
  <w:num w:numId="52">
    <w:abstractNumId w:val="28"/>
  </w:num>
  <w:num w:numId="53">
    <w:abstractNumId w:val="32"/>
  </w:num>
  <w:num w:numId="54">
    <w:abstractNumId w:val="59"/>
  </w:num>
  <w:num w:numId="55">
    <w:abstractNumId w:val="99"/>
  </w:num>
  <w:num w:numId="56">
    <w:abstractNumId w:val="37"/>
  </w:num>
  <w:num w:numId="57">
    <w:abstractNumId w:val="16"/>
  </w:num>
  <w:num w:numId="58">
    <w:abstractNumId w:val="97"/>
  </w:num>
  <w:num w:numId="59">
    <w:abstractNumId w:val="3"/>
  </w:num>
  <w:num w:numId="60">
    <w:abstractNumId w:val="57"/>
  </w:num>
  <w:num w:numId="61">
    <w:abstractNumId w:val="86"/>
  </w:num>
  <w:num w:numId="62">
    <w:abstractNumId w:val="42"/>
  </w:num>
  <w:num w:numId="63">
    <w:abstractNumId w:val="29"/>
  </w:num>
  <w:num w:numId="64">
    <w:abstractNumId w:val="38"/>
  </w:num>
  <w:num w:numId="65">
    <w:abstractNumId w:val="49"/>
  </w:num>
  <w:num w:numId="66">
    <w:abstractNumId w:val="0"/>
  </w:num>
  <w:num w:numId="67">
    <w:abstractNumId w:val="5"/>
  </w:num>
  <w:num w:numId="68">
    <w:abstractNumId w:val="22"/>
  </w:num>
  <w:num w:numId="69">
    <w:abstractNumId w:val="96"/>
  </w:num>
  <w:num w:numId="70">
    <w:abstractNumId w:val="21"/>
  </w:num>
  <w:num w:numId="71">
    <w:abstractNumId w:val="11"/>
  </w:num>
  <w:num w:numId="72">
    <w:abstractNumId w:val="25"/>
  </w:num>
  <w:num w:numId="73">
    <w:abstractNumId w:val="10"/>
  </w:num>
  <w:num w:numId="74">
    <w:abstractNumId w:val="84"/>
  </w:num>
  <w:num w:numId="75">
    <w:abstractNumId w:val="44"/>
  </w:num>
  <w:num w:numId="76">
    <w:abstractNumId w:val="26"/>
  </w:num>
  <w:num w:numId="77">
    <w:abstractNumId w:val="88"/>
  </w:num>
  <w:num w:numId="78">
    <w:abstractNumId w:val="4"/>
  </w:num>
  <w:num w:numId="79">
    <w:abstractNumId w:val="20"/>
  </w:num>
  <w:num w:numId="80">
    <w:abstractNumId w:val="27"/>
  </w:num>
  <w:num w:numId="81">
    <w:abstractNumId w:val="36"/>
  </w:num>
  <w:num w:numId="82">
    <w:abstractNumId w:val="68"/>
  </w:num>
  <w:num w:numId="83">
    <w:abstractNumId w:val="34"/>
  </w:num>
  <w:num w:numId="84">
    <w:abstractNumId w:val="64"/>
  </w:num>
  <w:num w:numId="85">
    <w:abstractNumId w:val="7"/>
  </w:num>
  <w:num w:numId="86">
    <w:abstractNumId w:val="45"/>
  </w:num>
  <w:num w:numId="87">
    <w:abstractNumId w:val="100"/>
  </w:num>
  <w:num w:numId="88">
    <w:abstractNumId w:val="56"/>
  </w:num>
  <w:num w:numId="89">
    <w:abstractNumId w:val="80"/>
  </w:num>
  <w:num w:numId="90">
    <w:abstractNumId w:val="15"/>
  </w:num>
  <w:num w:numId="91">
    <w:abstractNumId w:val="60"/>
  </w:num>
  <w:num w:numId="92">
    <w:abstractNumId w:val="6"/>
  </w:num>
  <w:num w:numId="93">
    <w:abstractNumId w:val="33"/>
  </w:num>
  <w:num w:numId="94">
    <w:abstractNumId w:val="12"/>
  </w:num>
  <w:num w:numId="95">
    <w:abstractNumId w:val="92"/>
  </w:num>
  <w:num w:numId="96">
    <w:abstractNumId w:val="9"/>
  </w:num>
  <w:num w:numId="97">
    <w:abstractNumId w:val="47"/>
  </w:num>
  <w:num w:numId="98">
    <w:abstractNumId w:val="76"/>
  </w:num>
  <w:num w:numId="99">
    <w:abstractNumId w:val="67"/>
  </w:num>
  <w:num w:numId="100">
    <w:abstractNumId w:val="85"/>
  </w:num>
  <w:num w:numId="101">
    <w:abstractNumId w:val="14"/>
  </w:num>
  <w:num w:numId="102">
    <w:abstractNumId w:val="7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31D"/>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68F"/>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163"/>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0F"/>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629"/>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C31"/>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AE8"/>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2B1"/>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0E"/>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33"/>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998"/>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0B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E0B"/>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904"/>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6F8C"/>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33"/>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0D5"/>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9F8"/>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5C9"/>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8"/>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19E"/>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0F6F"/>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470"/>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D8F"/>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2B7B"/>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AC5"/>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C76"/>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63"/>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541"/>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EF6"/>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C44"/>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B5F"/>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10B"/>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CFE"/>
    <w:rsid w:val="00E03D68"/>
    <w:rsid w:val="00E03FE1"/>
    <w:rsid w:val="00E0401E"/>
    <w:rsid w:val="00E0428B"/>
    <w:rsid w:val="00E042A0"/>
    <w:rsid w:val="00E0434B"/>
    <w:rsid w:val="00E046C1"/>
    <w:rsid w:val="00E049EC"/>
    <w:rsid w:val="00E04D5E"/>
    <w:rsid w:val="00E05046"/>
    <w:rsid w:val="00E056CB"/>
    <w:rsid w:val="00E05A43"/>
    <w:rsid w:val="00E05BD3"/>
    <w:rsid w:val="00E05EC4"/>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D90"/>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3F"/>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471"/>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435"/>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1E0"/>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E2A2C-3CAE-4906-960C-357D31323EB6}">
  <ds:schemaRefs>
    <ds:schemaRef ds:uri="http://schemas.openxmlformats.org/officeDocument/2006/bibliography"/>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55</Pages>
  <Words>18817</Words>
  <Characters>107257</Characters>
  <Application>Microsoft Office Word</Application>
  <DocSecurity>0</DocSecurity>
  <Lines>893</Lines>
  <Paragraphs>251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Islam, Toufiqul</cp:lastModifiedBy>
  <cp:revision>43</cp:revision>
  <cp:lastPrinted>2020-10-27T02:39:00Z</cp:lastPrinted>
  <dcterms:created xsi:type="dcterms:W3CDTF">2021-10-12T14:27:00Z</dcterms:created>
  <dcterms:modified xsi:type="dcterms:W3CDTF">2021-10-12T17:18:00Z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