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31FE5495" w:rsidR="00110EC8" w:rsidRPr="00E74B53" w:rsidRDefault="00110EC8" w:rsidP="005018E4">
      <w:pPr>
        <w:pStyle w:val="Header"/>
        <w:tabs>
          <w:tab w:val="left" w:pos="1800"/>
        </w:tabs>
        <w:spacing w:after="0"/>
        <w:ind w:left="1800" w:hanging="1800"/>
        <w:rPr>
          <w:rFonts w:cs="Arial"/>
          <w:bCs/>
          <w:sz w:val="22"/>
        </w:rPr>
      </w:pPr>
      <w:r w:rsidRPr="00E74B53">
        <w:rPr>
          <w:rFonts w:cs="Arial"/>
          <w:bCs/>
          <w:sz w:val="22"/>
        </w:rPr>
        <w:t>3GPP TSG RAN WG1#10</w:t>
      </w:r>
      <w:r w:rsidR="00583D57" w:rsidRPr="00E74B53">
        <w:rPr>
          <w:rFonts w:cs="Arial"/>
          <w:bCs/>
          <w:sz w:val="22"/>
        </w:rPr>
        <w:t>6</w:t>
      </w:r>
      <w:r w:rsidR="00C13AE3">
        <w:rPr>
          <w:rFonts w:cs="Arial" w:hint="eastAsia"/>
          <w:bCs/>
          <w:sz w:val="22"/>
          <w:lang w:eastAsia="zh-CN"/>
        </w:rPr>
        <w:t>bis</w:t>
      </w:r>
      <w:r w:rsidRPr="00E74B53">
        <w:rPr>
          <w:rFonts w:cs="Arial"/>
          <w:bCs/>
          <w:sz w:val="22"/>
        </w:rPr>
        <w:t>-e</w:t>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008B4B00" w:rsidRPr="008B4B00">
        <w:rPr>
          <w:rFonts w:cs="Arial"/>
          <w:bCs/>
          <w:sz w:val="22"/>
        </w:rPr>
        <w:t>R1-2110406</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ListParagraph"/>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Default="00434E27" w:rsidP="00434E27">
      <w:pPr>
        <w:pStyle w:val="BodyText"/>
        <w:spacing w:before="240" w:after="0"/>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 xml:space="preserve">es: CMCC, </w:t>
      </w:r>
      <w:proofErr w:type="spellStart"/>
      <w:r>
        <w:rPr>
          <w:lang w:val="en-GB" w:eastAsia="zh-CN"/>
        </w:rPr>
        <w:t>InterDigital</w:t>
      </w:r>
      <w:proofErr w:type="spellEnd"/>
      <w:r>
        <w:rPr>
          <w:lang w:val="en-GB" w:eastAsia="zh-CN"/>
        </w:rPr>
        <w:t>,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4 </w:t>
            </w:r>
            <w:r>
              <w:rPr>
                <w:rFonts w:cs="Times" w:hint="eastAsia"/>
                <w:szCs w:val="20"/>
                <w:lang w:eastAsia="zh-CN"/>
              </w:rPr>
              <w:t>(</w:t>
            </w:r>
            <w:r>
              <w:rPr>
                <w:rFonts w:cs="Times"/>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83"/>
        <w:gridCol w:w="7077"/>
      </w:tblGrid>
      <w:tr w:rsidR="007D6630" w14:paraId="54A2299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proofErr w:type="gramStart"/>
            <w:r w:rsidR="006E02F4">
              <w:rPr>
                <w:bCs/>
                <w:lang w:eastAsia="zh-CN"/>
              </w:rPr>
              <w:t>Since,</w:t>
            </w:r>
            <w:proofErr w:type="gramEnd"/>
            <w:r w:rsidR="006E02F4">
              <w:rPr>
                <w:bCs/>
                <w:lang w:eastAsia="zh-CN"/>
              </w:rPr>
              <w:t xml:space="preserv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 xml:space="preserve">we confirm </w:t>
            </w:r>
            <w:r w:rsidR="006B117D">
              <w:rPr>
                <w:bCs/>
                <w:lang w:eastAsia="zh-CN"/>
              </w:rPr>
              <w:t>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641EC5">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w:t>
            </w:r>
            <w:r w:rsidR="00DC38CF" w:rsidRPr="00A4574C">
              <w:rPr>
                <w:rFonts w:cs="Times"/>
                <w:color w:val="FF0000"/>
                <w:szCs w:val="20"/>
                <w:lang w:eastAsia="zh-CN"/>
              </w:rPr>
              <w:t>A</w:t>
            </w:r>
            <w:r w:rsidR="00DC38CF" w:rsidRPr="00A4574C">
              <w:rPr>
                <w:rFonts w:cs="Times"/>
                <w:color w:val="FF0000"/>
                <w:szCs w:val="20"/>
                <w:lang w:eastAsia="zh-CN"/>
              </w:rPr>
              <w:t xml:space="preserve">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20557F">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w:t>
            </w:r>
            <w:r w:rsidR="00DC38CF" w:rsidRPr="00A4574C">
              <w:rPr>
                <w:rFonts w:cs="Times"/>
                <w:color w:val="FF0000"/>
                <w:szCs w:val="20"/>
                <w:lang w:eastAsia="zh-CN"/>
              </w:rPr>
              <w:t>A</w:t>
            </w:r>
            <w:r w:rsidR="00DC38CF" w:rsidRPr="00A4574C">
              <w:rPr>
                <w:rFonts w:cs="Times"/>
                <w:color w:val="FF0000"/>
                <w:szCs w:val="20"/>
                <w:lang w:eastAsia="zh-CN"/>
              </w:rPr>
              <w:t xml:space="preserve">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r w:rsidR="00DC38CF" w:rsidRPr="00A4574C">
              <w:rPr>
                <w:rFonts w:cs="Times"/>
                <w:color w:val="FF0000"/>
                <w:szCs w:val="20"/>
                <w:lang w:eastAsia="zh-CN"/>
              </w:rPr>
              <w:t>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F0006A">
        <w:tc>
          <w:tcPr>
            <w:tcW w:w="2122" w:type="dxa"/>
            <w:vAlign w:val="center"/>
          </w:tcPr>
          <w:p w14:paraId="18537AAC" w14:textId="37D70005"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5595C930" w14:textId="77777777" w:rsidR="007D6630" w:rsidRPr="00AE2703" w:rsidRDefault="007D6630" w:rsidP="00F0006A">
            <w:pPr>
              <w:spacing w:before="0" w:after="0" w:line="240" w:lineRule="auto"/>
              <w:rPr>
                <w:lang w:val="en-GB" w:eastAsia="zh-CN"/>
              </w:rPr>
            </w:pPr>
          </w:p>
        </w:tc>
      </w:tr>
      <w:tr w:rsidR="007D6630" w:rsidRPr="00AE2703" w14:paraId="5930ABE1" w14:textId="77777777" w:rsidTr="00F0006A">
        <w:tc>
          <w:tcPr>
            <w:tcW w:w="2122" w:type="dxa"/>
            <w:vAlign w:val="center"/>
          </w:tcPr>
          <w:p w14:paraId="2A630112"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2CCFE7" w14:textId="77777777" w:rsidR="007D6630" w:rsidRDefault="007D6630" w:rsidP="00F0006A">
            <w:pPr>
              <w:spacing w:before="0" w:after="0" w:line="240" w:lineRule="auto"/>
              <w:rPr>
                <w:rFonts w:eastAsiaTheme="minorEastAsia"/>
                <w:lang w:val="en-GB" w:eastAsia="zh-CN"/>
              </w:rPr>
            </w:pPr>
          </w:p>
        </w:tc>
      </w:tr>
    </w:tbl>
    <w:p w14:paraId="3B3EC436" w14:textId="77777777" w:rsidR="007D6630" w:rsidRPr="003B5119" w:rsidRDefault="007D6630" w:rsidP="007D6630">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0"/>
        <w:gridCol w:w="7070"/>
      </w:tblGrid>
      <w:tr w:rsidR="001B0FE6" w14:paraId="366DB93B" w14:textId="77777777" w:rsidTr="007D6630">
        <w:tc>
          <w:tcPr>
            <w:tcW w:w="2122"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7D6630">
        <w:tc>
          <w:tcPr>
            <w:tcW w:w="2122"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proofErr w:type="gramStart"/>
            <w:r w:rsidR="005248B6">
              <w:rPr>
                <w:color w:val="000000"/>
                <w:kern w:val="24"/>
                <w:sz w:val="18"/>
                <w:szCs w:val="18"/>
                <w:lang w:eastAsia="fi-FI"/>
              </w:rPr>
              <w:t>i.e.</w:t>
            </w:r>
            <w:proofErr w:type="gramEnd"/>
            <w:r w:rsidR="005248B6">
              <w:rPr>
                <w:color w:val="000000"/>
                <w:kern w:val="24"/>
                <w:sz w:val="18"/>
                <w:szCs w:val="18"/>
                <w:lang w:eastAsia="fi-FI"/>
              </w:rPr>
              <w:t xml:space="preserv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7D6630">
        <w:tc>
          <w:tcPr>
            <w:tcW w:w="2122" w:type="dxa"/>
            <w:vAlign w:val="center"/>
          </w:tcPr>
          <w:p w14:paraId="31E75056" w14:textId="77777777" w:rsidR="001B0FE6" w:rsidRPr="00622021" w:rsidRDefault="001B0FE6" w:rsidP="007D6630">
            <w:pPr>
              <w:spacing w:before="0" w:after="0" w:line="240" w:lineRule="auto"/>
              <w:rPr>
                <w:rFonts w:ascii="New York" w:eastAsiaTheme="minorEastAsia" w:hAnsi="New York"/>
                <w:lang w:eastAsia="zh-CN"/>
              </w:rPr>
            </w:pPr>
          </w:p>
        </w:tc>
        <w:tc>
          <w:tcPr>
            <w:tcW w:w="7840" w:type="dxa"/>
            <w:vAlign w:val="center"/>
          </w:tcPr>
          <w:p w14:paraId="1201B4BC" w14:textId="77777777" w:rsidR="001B0FE6" w:rsidRPr="00AE2703" w:rsidRDefault="001B0FE6" w:rsidP="007D6630">
            <w:pPr>
              <w:spacing w:before="0" w:after="0" w:line="240" w:lineRule="auto"/>
              <w:rPr>
                <w:lang w:val="en-GB" w:eastAsia="zh-CN"/>
              </w:rPr>
            </w:pPr>
          </w:p>
        </w:tc>
      </w:tr>
      <w:tr w:rsidR="001B0FE6" w:rsidRPr="00AE2703" w14:paraId="483EC4EB" w14:textId="77777777" w:rsidTr="007D6630">
        <w:tc>
          <w:tcPr>
            <w:tcW w:w="2122" w:type="dxa"/>
            <w:vAlign w:val="center"/>
          </w:tcPr>
          <w:p w14:paraId="39EDA4E6" w14:textId="77777777" w:rsidR="001B0FE6" w:rsidRDefault="001B0FE6" w:rsidP="007D6630">
            <w:pPr>
              <w:spacing w:before="0" w:after="0" w:line="240" w:lineRule="auto"/>
              <w:rPr>
                <w:rFonts w:ascii="New York" w:eastAsiaTheme="minorEastAsia" w:hAnsi="New York"/>
                <w:lang w:val="en-GB" w:eastAsia="zh-CN"/>
              </w:rPr>
            </w:pPr>
          </w:p>
        </w:tc>
        <w:tc>
          <w:tcPr>
            <w:tcW w:w="7840" w:type="dxa"/>
            <w:vAlign w:val="center"/>
          </w:tcPr>
          <w:p w14:paraId="6CDBD31C" w14:textId="77777777" w:rsidR="001B0FE6" w:rsidRDefault="001B0FE6" w:rsidP="007D6630">
            <w:pPr>
              <w:spacing w:before="0" w:after="0" w:line="240" w:lineRule="auto"/>
              <w:rPr>
                <w:rFonts w:eastAsiaTheme="minorEastAsia"/>
                <w:lang w:val="en-GB" w:eastAsia="zh-CN"/>
              </w:rPr>
            </w:pPr>
          </w:p>
        </w:tc>
      </w:tr>
    </w:tbl>
    <w:p w14:paraId="1A04AA75" w14:textId="400BFCA2" w:rsidR="003B5119" w:rsidRPr="003B5119" w:rsidRDefault="003B5119" w:rsidP="003B511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3" w:name="_Toc61540506"/>
      <w:bookmarkStart w:id="4" w:name="_Toc84011133"/>
      <w:bookmarkStart w:id="5"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w:t>
      </w:r>
      <w:bookmarkEnd w:id="3"/>
      <w:r w:rsidRPr="00014D29">
        <w:rPr>
          <w:lang w:eastAsia="zh-CN"/>
        </w:rPr>
        <w:t xml:space="preserve"> can be insufficient for some use cases e.g. for timer-based switching from sparse SSSG to dense SSSG when DRX IAT is running.</w:t>
      </w:r>
      <w:bookmarkEnd w:id="4"/>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5"/>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1821CA75"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Default="003D4240" w:rsidP="003B5119">
      <w:pPr>
        <w:rPr>
          <w:lang w:val="en-GB" w:eastAsia="zh-CN"/>
        </w:rPr>
      </w:pPr>
      <w:r>
        <w:rPr>
          <w:rFonts w:hint="eastAsia"/>
          <w:lang w:val="en-GB" w:eastAsia="zh-CN"/>
        </w:rPr>
        <w:t>Yes:</w:t>
      </w:r>
      <w:r>
        <w:rPr>
          <w:lang w:val="en-GB" w:eastAsia="zh-CN"/>
        </w:rPr>
        <w:t xml:space="preserve"> ASUS</w:t>
      </w:r>
      <w:r w:rsidR="004B6121">
        <w:rPr>
          <w:lang w:val="en-GB" w:eastAsia="zh-CN"/>
        </w:rPr>
        <w:t xml:space="preserve">, </w:t>
      </w:r>
      <w:r w:rsidR="00B24BB8">
        <w:rPr>
          <w:lang w:val="en-GB" w:eastAsia="zh-CN"/>
        </w:rPr>
        <w:t xml:space="preserve">vivo, </w:t>
      </w:r>
      <w:r w:rsidR="004B6121">
        <w:rPr>
          <w:lang w:val="en-GB" w:eastAsia="zh-CN"/>
        </w:rPr>
        <w:t>Nordic</w:t>
      </w:r>
    </w:p>
    <w:p w14:paraId="054C5108" w14:textId="73553307" w:rsidR="008C140E" w:rsidRDefault="008C140E" w:rsidP="003B5119">
      <w:pPr>
        <w:rPr>
          <w:lang w:val="en-GB" w:eastAsia="zh-CN"/>
        </w:rPr>
      </w:pPr>
      <w:r>
        <w:rPr>
          <w:rFonts w:hint="eastAsia"/>
          <w:lang w:val="en-GB" w:eastAsia="zh-CN"/>
        </w:rPr>
        <w:t>N</w:t>
      </w:r>
      <w:r>
        <w:rPr>
          <w:lang w:val="en-GB"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7E3C91" w14:paraId="639A5FC2"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84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F0006A">
        <w:tc>
          <w:tcPr>
            <w:tcW w:w="2122" w:type="dxa"/>
            <w:vAlign w:val="center"/>
          </w:tcPr>
          <w:p w14:paraId="58982425" w14:textId="77777777" w:rsidR="007E3C91" w:rsidRPr="00622021" w:rsidRDefault="007E3C91" w:rsidP="00F0006A">
            <w:pPr>
              <w:spacing w:before="0" w:after="0" w:line="240" w:lineRule="auto"/>
              <w:rPr>
                <w:rFonts w:ascii="New York" w:eastAsiaTheme="minorEastAsia" w:hAnsi="New York"/>
                <w:lang w:eastAsia="zh-CN"/>
              </w:rPr>
            </w:pPr>
          </w:p>
        </w:tc>
        <w:tc>
          <w:tcPr>
            <w:tcW w:w="7840" w:type="dxa"/>
            <w:vAlign w:val="center"/>
          </w:tcPr>
          <w:p w14:paraId="5FAF87BD" w14:textId="11844DAF" w:rsidR="007E3C91" w:rsidRPr="00AE2703" w:rsidRDefault="007E3C91" w:rsidP="00F0006A">
            <w:pPr>
              <w:spacing w:before="0" w:after="0" w:line="240" w:lineRule="auto"/>
              <w:rPr>
                <w:lang w:val="en-GB" w:eastAsia="zh-CN"/>
              </w:rPr>
            </w:pPr>
          </w:p>
        </w:tc>
      </w:tr>
      <w:tr w:rsidR="007E3C91" w:rsidRPr="00AE2703" w14:paraId="64AA686F" w14:textId="77777777" w:rsidTr="00F0006A">
        <w:tc>
          <w:tcPr>
            <w:tcW w:w="2122" w:type="dxa"/>
            <w:vAlign w:val="center"/>
          </w:tcPr>
          <w:p w14:paraId="0AF2C34F" w14:textId="77777777" w:rsidR="007E3C91" w:rsidRDefault="007E3C91" w:rsidP="00F0006A">
            <w:pPr>
              <w:spacing w:before="0" w:after="0" w:line="240" w:lineRule="auto"/>
              <w:rPr>
                <w:rFonts w:ascii="New York" w:eastAsiaTheme="minorEastAsia" w:hAnsi="New York"/>
                <w:lang w:val="en-GB" w:eastAsia="zh-CN"/>
              </w:rPr>
            </w:pPr>
          </w:p>
        </w:tc>
        <w:tc>
          <w:tcPr>
            <w:tcW w:w="7840" w:type="dxa"/>
            <w:vAlign w:val="center"/>
          </w:tcPr>
          <w:p w14:paraId="1E3B514B" w14:textId="77777777" w:rsidR="007E3C91" w:rsidRDefault="007E3C91" w:rsidP="00F0006A">
            <w:pPr>
              <w:spacing w:before="0" w:after="0" w:line="240" w:lineRule="auto"/>
              <w:rPr>
                <w:rFonts w:eastAsiaTheme="minorEastAsia"/>
                <w:lang w:val="en-GB" w:eastAsia="zh-CN"/>
              </w:rPr>
            </w:pPr>
          </w:p>
        </w:tc>
      </w:tr>
    </w:tbl>
    <w:p w14:paraId="78756162" w14:textId="77777777" w:rsidR="007E3C91" w:rsidRPr="003B5119"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proofErr w:type="spellStart"/>
      <w:r w:rsidR="00872243">
        <w:rPr>
          <w:lang w:val="en-GB" w:eastAsia="zh-CN"/>
        </w:rPr>
        <w:t>InterDigital</w:t>
      </w:r>
      <w:proofErr w:type="spellEnd"/>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3F51D194"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4544199C"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spellStart"/>
            <w:proofErr w:type="gramStart"/>
            <w:r w:rsidR="00EA43D2">
              <w:rPr>
                <w:bCs/>
                <w:lang w:eastAsia="zh-CN"/>
              </w:rPr>
              <w:t>ms</w:t>
            </w:r>
            <w:proofErr w:type="spellEnd"/>
            <w:r w:rsidR="00EA43D2">
              <w:rPr>
                <w:bCs/>
                <w:lang w:eastAsia="zh-CN"/>
              </w:rPr>
              <w:t xml:space="preserve">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F0006A">
        <w:tc>
          <w:tcPr>
            <w:tcW w:w="2122" w:type="dxa"/>
            <w:vAlign w:val="center"/>
          </w:tcPr>
          <w:p w14:paraId="20C5E12E"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625C63CC" w14:textId="77777777" w:rsidR="007D6630" w:rsidRPr="00AE2703" w:rsidRDefault="007D6630" w:rsidP="00F0006A">
            <w:pPr>
              <w:spacing w:before="0" w:after="0" w:line="240" w:lineRule="auto"/>
              <w:rPr>
                <w:lang w:val="en-GB" w:eastAsia="zh-CN"/>
              </w:rPr>
            </w:pPr>
          </w:p>
        </w:tc>
      </w:tr>
      <w:tr w:rsidR="007D6630" w:rsidRPr="00AE2703" w14:paraId="5E8037D7" w14:textId="77777777" w:rsidTr="00F0006A">
        <w:tc>
          <w:tcPr>
            <w:tcW w:w="2122" w:type="dxa"/>
            <w:vAlign w:val="center"/>
          </w:tcPr>
          <w:p w14:paraId="39AA883E"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5E397D13" w14:textId="77777777" w:rsidR="007D6630" w:rsidRDefault="007D6630" w:rsidP="00F0006A">
            <w:pPr>
              <w:spacing w:before="0" w:after="0" w:line="240" w:lineRule="auto"/>
              <w:rPr>
                <w:rFonts w:eastAsiaTheme="minorEastAsia"/>
                <w:lang w:val="en-GB" w:eastAsia="zh-CN"/>
              </w:rPr>
            </w:pPr>
          </w:p>
        </w:tc>
      </w:tr>
    </w:tbl>
    <w:p w14:paraId="77EB0932" w14:textId="77777777" w:rsidR="007D6630" w:rsidRPr="003B5119" w:rsidRDefault="007D6630" w:rsidP="007D6630">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E6FE231"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F0006A">
        <w:tc>
          <w:tcPr>
            <w:tcW w:w="2122" w:type="dxa"/>
            <w:vAlign w:val="center"/>
          </w:tcPr>
          <w:p w14:paraId="4B27251A"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37C736BB" w14:textId="77777777" w:rsidR="007D6630" w:rsidRPr="00AE2703" w:rsidRDefault="007D6630" w:rsidP="00F0006A">
            <w:pPr>
              <w:spacing w:before="0" w:after="0" w:line="240" w:lineRule="auto"/>
              <w:rPr>
                <w:lang w:val="en-GB" w:eastAsia="zh-CN"/>
              </w:rPr>
            </w:pPr>
          </w:p>
        </w:tc>
      </w:tr>
      <w:tr w:rsidR="007D6630" w:rsidRPr="00AE2703" w14:paraId="0E0B52E7" w14:textId="77777777" w:rsidTr="00F0006A">
        <w:tc>
          <w:tcPr>
            <w:tcW w:w="2122" w:type="dxa"/>
            <w:vAlign w:val="center"/>
          </w:tcPr>
          <w:p w14:paraId="2EFDEDC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5E98268A" w14:textId="77777777" w:rsidR="007D6630" w:rsidRDefault="007D6630" w:rsidP="00F0006A">
            <w:pPr>
              <w:spacing w:before="0" w:after="0" w:line="240" w:lineRule="auto"/>
              <w:rPr>
                <w:rFonts w:eastAsiaTheme="minorEastAsia"/>
                <w:lang w:val="en-GB" w:eastAsia="zh-CN"/>
              </w:rPr>
            </w:pPr>
          </w:p>
        </w:tc>
      </w:tr>
    </w:tbl>
    <w:p w14:paraId="6378286E" w14:textId="77777777" w:rsidR="007D6630" w:rsidRPr="003B5119" w:rsidRDefault="007D6630" w:rsidP="007D6630">
      <w:pPr>
        <w:rPr>
          <w:lang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 xml:space="preserve">(i.e., Switching between </w:t>
            </w:r>
            <w:proofErr w:type="spellStart"/>
            <w:r w:rsidRPr="001F25DD">
              <w:rPr>
                <w:lang w:eastAsia="zh-CN"/>
              </w:rPr>
              <w:t>Beh</w:t>
            </w:r>
            <w:proofErr w:type="spellEnd"/>
            <w:r w:rsidRPr="001F25DD">
              <w:rPr>
                <w:lang w:eastAsia="zh-CN"/>
              </w:rPr>
              <w:t xml:space="preserve"> 1/1A)</w:t>
            </w:r>
            <w:r>
              <w:rPr>
                <w:lang w:eastAsia="zh-CN"/>
              </w:rPr>
              <w:t xml:space="preserve"> and SSSG switching </w:t>
            </w:r>
            <w:r w:rsidRPr="001F25DD">
              <w:rPr>
                <w:lang w:eastAsia="zh-CN"/>
              </w:rPr>
              <w:t xml:space="preserve">(i.e., Switching between </w:t>
            </w:r>
            <w:proofErr w:type="spellStart"/>
            <w:r w:rsidRPr="001F25DD">
              <w:rPr>
                <w:lang w:eastAsia="zh-CN"/>
              </w:rPr>
              <w:t>Beh</w:t>
            </w:r>
            <w:proofErr w:type="spellEnd"/>
            <w:r w:rsidRPr="001F25DD">
              <w:rPr>
                <w:lang w:eastAsia="zh-CN"/>
              </w:rPr>
              <w:t xml:space="preserve">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2C11B9FA" w:rsidR="002F444C" w:rsidRPr="00546C1F"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proofErr w:type="spellStart"/>
      <w:r w:rsidRPr="00ED3FF7">
        <w:rPr>
          <w:rFonts w:eastAsiaTheme="minorEastAsia"/>
          <w:lang w:eastAsia="zh-CN"/>
        </w:rPr>
        <w:t>MotM</w:t>
      </w:r>
      <w:proofErr w:type="spellEnd"/>
      <w:r w:rsidR="003D4E3C">
        <w:rPr>
          <w:rFonts w:eastAsiaTheme="minorEastAsia"/>
          <w:lang w:eastAsia="zh-CN"/>
        </w:rPr>
        <w:t>, Samsung</w:t>
      </w:r>
    </w:p>
    <w:p w14:paraId="700C512D" w14:textId="51D1DC0D" w:rsidR="00546C1F" w:rsidRPr="001A3E8F" w:rsidRDefault="00546C1F" w:rsidP="009D74C5">
      <w:pPr>
        <w:pStyle w:val="ListParagraph"/>
        <w:widowControl w:val="0"/>
        <w:numPr>
          <w:ilvl w:val="3"/>
          <w:numId w:val="94"/>
        </w:numPr>
        <w:jc w:val="both"/>
        <w:rPr>
          <w:lang w:eastAsia="zh-CN"/>
        </w:rPr>
      </w:pPr>
      <w:r>
        <w:rPr>
          <w:rFonts w:eastAsiaTheme="minorEastAsia"/>
          <w:lang w:eastAsia="zh-CN"/>
        </w:rPr>
        <w:t>Option d: Apple</w:t>
      </w:r>
      <w:r w:rsidR="00A13F77">
        <w:rPr>
          <w:rFonts w:eastAsiaTheme="minorEastAsia"/>
          <w:lang w:eastAsia="zh-CN"/>
        </w:rPr>
        <w:t>, ETRI</w:t>
      </w:r>
      <w:r w:rsidR="00FC0512">
        <w:rPr>
          <w:rFonts w:eastAsiaTheme="minorEastAsia"/>
          <w:lang w:eastAsia="zh-CN"/>
        </w:rPr>
        <w:t>, LGE</w:t>
      </w:r>
      <w:r w:rsidR="000309EF">
        <w:rPr>
          <w:rFonts w:eastAsiaTheme="minorEastAsia"/>
          <w:lang w:eastAsia="zh-CN"/>
        </w:rPr>
        <w:t>, OPPO</w:t>
      </w:r>
      <w:r w:rsidR="003D4E3C">
        <w:rPr>
          <w:rFonts w:eastAsiaTheme="minorEastAsia"/>
          <w:lang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34CB5491" w:rsidR="002F444C" w:rsidRPr="002F444C"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proofErr w:type="spellStart"/>
      <w:r w:rsidRPr="00ED3FF7">
        <w:rPr>
          <w:rFonts w:eastAsiaTheme="minorEastAsia"/>
          <w:lang w:eastAsia="zh-CN"/>
        </w:rPr>
        <w:t>MotM</w:t>
      </w:r>
      <w:proofErr w:type="spellEnd"/>
      <w:r w:rsidR="003D4E3C">
        <w:rPr>
          <w:rFonts w:eastAsiaTheme="minorEastAsia"/>
          <w:lang w:eastAsia="zh-CN"/>
        </w:rPr>
        <w:t>, Samsung</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3D4E3C" w:rsidRDefault="00546C1F" w:rsidP="009D74C5">
      <w:pPr>
        <w:pStyle w:val="ListParagraph"/>
        <w:widowControl w:val="0"/>
        <w:numPr>
          <w:ilvl w:val="3"/>
          <w:numId w:val="94"/>
        </w:numPr>
        <w:jc w:val="both"/>
        <w:rPr>
          <w:lang w:eastAsia="zh-CN"/>
        </w:rPr>
      </w:pPr>
      <w:r>
        <w:rPr>
          <w:rFonts w:eastAsiaTheme="minorEastAsia"/>
          <w:lang w:eastAsia="zh-CN"/>
        </w:rPr>
        <w:t>Option d: Apple</w:t>
      </w:r>
      <w:r w:rsidR="001A3E8F">
        <w:rPr>
          <w:rFonts w:eastAsiaTheme="minorEastAsia"/>
          <w:lang w:eastAsia="zh-CN"/>
        </w:rPr>
        <w:t xml:space="preserve">, </w:t>
      </w:r>
      <w:proofErr w:type="spellStart"/>
      <w:r w:rsidR="001A3E8F">
        <w:rPr>
          <w:rFonts w:eastAsiaTheme="minorEastAsia"/>
          <w:lang w:eastAsia="zh-CN"/>
        </w:rPr>
        <w:t>Ercisson</w:t>
      </w:r>
      <w:proofErr w:type="spellEnd"/>
      <w:r w:rsidR="00A13F77">
        <w:rPr>
          <w:rFonts w:eastAsiaTheme="minorEastAsia"/>
          <w:lang w:eastAsia="zh-CN"/>
        </w:rPr>
        <w:t>, ETRI</w:t>
      </w:r>
      <w:r w:rsidR="00ED2B85">
        <w:rPr>
          <w:rFonts w:eastAsiaTheme="minorEastAsia" w:hint="eastAsia"/>
          <w:lang w:eastAsia="zh-CN"/>
        </w:rPr>
        <w:t>,</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r w:rsidR="003D4E3C">
        <w:rPr>
          <w:rFonts w:eastAsiaTheme="minorEastAsia"/>
          <w:lang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934904"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1"/>
        <w:gridCol w:w="7069"/>
      </w:tblGrid>
      <w:tr w:rsidR="007D6630" w14:paraId="2B0A2FD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F0006A">
        <w:tc>
          <w:tcPr>
            <w:tcW w:w="2122" w:type="dxa"/>
            <w:vAlign w:val="center"/>
          </w:tcPr>
          <w:p w14:paraId="7DFEC0B7"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31341681" w14:textId="77777777" w:rsidR="007D6630" w:rsidRPr="00AE2703" w:rsidRDefault="007D6630" w:rsidP="00F0006A">
            <w:pPr>
              <w:spacing w:before="0" w:after="0" w:line="240" w:lineRule="auto"/>
              <w:rPr>
                <w:lang w:val="en-GB" w:eastAsia="zh-CN"/>
              </w:rPr>
            </w:pPr>
          </w:p>
        </w:tc>
      </w:tr>
      <w:tr w:rsidR="007D6630" w:rsidRPr="00AE2703" w14:paraId="789A7D8C" w14:textId="77777777" w:rsidTr="00F0006A">
        <w:tc>
          <w:tcPr>
            <w:tcW w:w="2122" w:type="dxa"/>
            <w:vAlign w:val="center"/>
          </w:tcPr>
          <w:p w14:paraId="3CF24583"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56180E4" w14:textId="77777777" w:rsidR="007D6630" w:rsidRDefault="007D6630" w:rsidP="00F0006A">
            <w:pPr>
              <w:spacing w:before="0" w:after="0" w:line="240" w:lineRule="auto"/>
              <w:rPr>
                <w:rFonts w:eastAsiaTheme="minorEastAsia"/>
                <w:lang w:val="en-GB" w:eastAsia="zh-CN"/>
              </w:rPr>
            </w:pPr>
          </w:p>
        </w:tc>
      </w:tr>
    </w:tbl>
    <w:p w14:paraId="59CF5214" w14:textId="77777777" w:rsidR="007D6630" w:rsidRPr="003B5119"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DCI Format 1_1 (</w:t>
            </w:r>
            <w:proofErr w:type="spellStart"/>
            <w:r w:rsidRPr="00636A3E">
              <w:rPr>
                <w:szCs w:val="20"/>
                <w:lang w:eastAsia="zh-CN"/>
              </w:rPr>
              <w:t>SCell</w:t>
            </w:r>
            <w:proofErr w:type="spellEnd"/>
            <w:r w:rsidRPr="00636A3E">
              <w:rPr>
                <w:szCs w:val="20"/>
                <w:lang w:eastAsia="zh-CN"/>
              </w:rPr>
              <w:t xml:space="preserve">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6B5E16" w:rsidRDefault="000B74DB" w:rsidP="009D74C5">
      <w:pPr>
        <w:pStyle w:val="ListParagraph"/>
        <w:widowControl w:val="0"/>
        <w:numPr>
          <w:ilvl w:val="1"/>
          <w:numId w:val="63"/>
        </w:numPr>
        <w:spacing w:after="120"/>
        <w:jc w:val="both"/>
        <w:rPr>
          <w:lang w:eastAsia="zh-CN"/>
        </w:rPr>
      </w:pPr>
      <w:r>
        <w:rPr>
          <w:rFonts w:eastAsiaTheme="minorEastAsia"/>
          <w:lang w:eastAsia="zh-CN"/>
        </w:rPr>
        <w:t xml:space="preserve">Support: </w:t>
      </w:r>
      <w:r w:rsidRPr="00ED3FF7">
        <w:rPr>
          <w:rFonts w:eastAsiaTheme="minorEastAsia"/>
          <w:color w:val="FF0000"/>
          <w:lang w:eastAsia="zh-CN"/>
        </w:rPr>
        <w:t>Lenovo/</w:t>
      </w:r>
      <w:proofErr w:type="spellStart"/>
      <w:r w:rsidRPr="00ED3FF7">
        <w:rPr>
          <w:rFonts w:eastAsiaTheme="minorEastAsia"/>
          <w:color w:val="FF0000"/>
          <w:lang w:eastAsia="zh-CN"/>
        </w:rPr>
        <w:t>MotM</w:t>
      </w:r>
      <w:proofErr w:type="spellEnd"/>
      <w:r w:rsidRPr="00CC63B6">
        <w:rPr>
          <w:rFonts w:eastAsiaTheme="minorEastAsia"/>
          <w:lang w:eastAsia="zh-CN"/>
        </w:rPr>
        <w:t xml:space="preserve">, </w:t>
      </w:r>
      <w:r w:rsidRPr="00C40CA7">
        <w:rPr>
          <w:rFonts w:eastAsiaTheme="minorEastAsia"/>
          <w:color w:val="FF0000"/>
          <w:lang w:eastAsia="zh-CN"/>
        </w:rPr>
        <w:t>Qualcomm</w:t>
      </w:r>
      <w:r w:rsidRPr="00CC63B6">
        <w:rPr>
          <w:rFonts w:eastAsiaTheme="minorEastAsia"/>
          <w:lang w:eastAsia="zh-CN"/>
        </w:rPr>
        <w:t xml:space="preserve">, </w:t>
      </w:r>
      <w:r w:rsidRPr="00FC0512">
        <w:rPr>
          <w:rFonts w:eastAsiaTheme="minorEastAsia"/>
          <w:color w:val="FF0000"/>
          <w:lang w:eastAsia="zh-CN"/>
        </w:rPr>
        <w:t>LGE</w:t>
      </w:r>
      <w:r w:rsidRPr="00CC63B6">
        <w:rPr>
          <w:rFonts w:eastAsiaTheme="minorEastAsia"/>
          <w:lang w:eastAsia="zh-CN"/>
        </w:rPr>
        <w:t>,</w:t>
      </w:r>
      <w:r>
        <w:rPr>
          <w:rFonts w:eastAsiaTheme="minorEastAsia"/>
          <w:lang w:eastAsia="zh-CN"/>
        </w:rPr>
        <w:t xml:space="preserve"> </w:t>
      </w:r>
      <w:r w:rsidRPr="00DE1CB9">
        <w:rPr>
          <w:rFonts w:eastAsiaTheme="minorEastAsia"/>
          <w:color w:val="FF0000"/>
          <w:lang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A69E2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0B32B1CB" w14:textId="77777777" w:rsidR="007D6630" w:rsidRPr="00BA3EA3" w:rsidRDefault="007D6630" w:rsidP="00F0006A">
            <w:pPr>
              <w:spacing w:before="0" w:after="0" w:line="240" w:lineRule="auto"/>
              <w:rPr>
                <w:bCs/>
                <w:lang w:eastAsia="zh-CN"/>
              </w:rPr>
            </w:pPr>
          </w:p>
        </w:tc>
      </w:tr>
      <w:tr w:rsidR="007D6630" w:rsidRPr="00AE2703" w14:paraId="39C02A6E" w14:textId="77777777" w:rsidTr="00F0006A">
        <w:tc>
          <w:tcPr>
            <w:tcW w:w="2122" w:type="dxa"/>
            <w:vAlign w:val="center"/>
          </w:tcPr>
          <w:p w14:paraId="267A7C64"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4402C804" w14:textId="77777777" w:rsidR="007D6630" w:rsidRPr="00AE2703" w:rsidRDefault="007D6630" w:rsidP="00F0006A">
            <w:pPr>
              <w:spacing w:before="0" w:after="0" w:line="240" w:lineRule="auto"/>
              <w:rPr>
                <w:lang w:val="en-GB" w:eastAsia="zh-CN"/>
              </w:rPr>
            </w:pPr>
          </w:p>
        </w:tc>
      </w:tr>
      <w:tr w:rsidR="007D6630" w:rsidRPr="00AE2703" w14:paraId="2948A507" w14:textId="77777777" w:rsidTr="00F0006A">
        <w:tc>
          <w:tcPr>
            <w:tcW w:w="2122" w:type="dxa"/>
            <w:vAlign w:val="center"/>
          </w:tcPr>
          <w:p w14:paraId="1C2883CC"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5954E7AC" w14:textId="77777777" w:rsidR="007D6630" w:rsidRDefault="007D6630" w:rsidP="00F0006A">
            <w:pPr>
              <w:spacing w:before="0" w:after="0" w:line="240" w:lineRule="auto"/>
              <w:rPr>
                <w:rFonts w:eastAsiaTheme="minorEastAsia"/>
                <w:lang w:val="en-GB" w:eastAsia="zh-CN"/>
              </w:rPr>
            </w:pPr>
          </w:p>
        </w:tc>
      </w:tr>
    </w:tbl>
    <w:p w14:paraId="62EFB477" w14:textId="77777777" w:rsidR="007D6630" w:rsidRPr="003B5119" w:rsidRDefault="007D6630" w:rsidP="007D6630">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6"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6"/>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Alt2: UE monitors default SSSG.</w:t>
      </w:r>
    </w:p>
    <w:p w14:paraId="61AC7D91" w14:textId="77777777" w:rsidR="00C93AEC" w:rsidRPr="00C93AEC" w:rsidRDefault="00C93AEC" w:rsidP="00B97566">
      <w:pPr>
        <w:rPr>
          <w:lang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77777777" w:rsidR="007D6630" w:rsidRPr="00BA3EA3" w:rsidRDefault="007D6630" w:rsidP="00F0006A">
            <w:pPr>
              <w:spacing w:before="0" w:after="0" w:line="240" w:lineRule="auto"/>
              <w:rPr>
                <w:bCs/>
                <w:lang w:eastAsia="zh-CN"/>
              </w:rPr>
            </w:pP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7"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7"/>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2"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w:t>
      </w:r>
      <w:proofErr w:type="spellStart"/>
      <w:r w:rsidRPr="00E06F86">
        <w:t>SCell</w:t>
      </w:r>
      <w:proofErr w:type="spellEnd"/>
      <w:r w:rsidRPr="00E06F86">
        <w:t xml:space="preserve">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w:t>
      </w:r>
      <w:proofErr w:type="spellStart"/>
      <w:r w:rsidRPr="00E06F86">
        <w:t>SCell</w:t>
      </w:r>
      <w:proofErr w:type="spellEnd"/>
      <w:r w:rsidRPr="00E06F86">
        <w:t xml:space="preserve">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w:t>
      </w:r>
      <w:proofErr w:type="spellStart"/>
      <w:r w:rsidRPr="00E06F86">
        <w:rPr>
          <w:color w:val="FF0000"/>
        </w:rPr>
        <w:t>SCell</w:t>
      </w:r>
      <w:proofErr w:type="spellEnd"/>
      <w:r w:rsidRPr="00E06F86">
        <w:rPr>
          <w:color w:val="FF0000"/>
        </w:rPr>
        <w:t xml:space="preserve">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xml:space="preserve"> By reusing Rel-16 </w:t>
      </w:r>
      <w:proofErr w:type="spellStart"/>
      <w:r w:rsidRPr="00E06F86">
        <w:t>SCell</w:t>
      </w:r>
      <w:proofErr w:type="spellEnd"/>
      <w:r w:rsidRPr="00E06F86">
        <w:t xml:space="preserve">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 xml:space="preserve">Working Assumption: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Working Assumption: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DengXian"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8" w:name="_Hlk72145163"/>
      <w:proofErr w:type="spellStart"/>
      <w:r w:rsidRPr="00E20B09">
        <w:rPr>
          <w:rFonts w:ascii="Times New Roman" w:hAnsi="Times New Roman"/>
          <w:b/>
          <w:lang w:eastAsia="zh-CN"/>
        </w:rPr>
        <w:t>HiSilicon</w:t>
      </w:r>
      <w:bookmarkEnd w:id="8"/>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proofErr w:type="spellStart"/>
      <w:r>
        <w:rPr>
          <w:b/>
          <w:i/>
          <w:lang w:eastAsia="zh-CN"/>
        </w:rPr>
        <w:t>Beh</w:t>
      </w:r>
      <w:proofErr w:type="spellEnd"/>
      <w:r>
        <w:rPr>
          <w:b/>
          <w:i/>
          <w:lang w:eastAsia="zh-CN"/>
        </w:rPr>
        <w:t xml:space="preserve"> </w:t>
      </w:r>
      <w:r w:rsidRPr="004C4F77">
        <w:rPr>
          <w:b/>
          <w:i/>
          <w:lang w:eastAsia="zh-CN"/>
        </w:rPr>
        <w:t>1A</w:t>
      </w:r>
      <w:r>
        <w:rPr>
          <w:b/>
          <w:i/>
          <w:lang w:eastAsia="zh-CN"/>
        </w:rPr>
        <w:t>/</w:t>
      </w:r>
      <w:proofErr w:type="spellStart"/>
      <w:r>
        <w:rPr>
          <w:b/>
          <w:i/>
          <w:lang w:eastAsia="zh-CN"/>
        </w:rPr>
        <w:t>Beh</w:t>
      </w:r>
      <w:proofErr w:type="spellEnd"/>
      <w:r>
        <w:rPr>
          <w:b/>
          <w:i/>
          <w:lang w:eastAsia="zh-CN"/>
        </w:rPr>
        <w:t xml:space="preserve"> 2/</w:t>
      </w:r>
      <w:proofErr w:type="spellStart"/>
      <w:r>
        <w:rPr>
          <w:b/>
          <w:i/>
          <w:lang w:eastAsia="zh-CN"/>
        </w:rPr>
        <w:t>Beh</w:t>
      </w:r>
      <w:proofErr w:type="spellEnd"/>
      <w:r>
        <w:rPr>
          <w:b/>
          <w:i/>
          <w:lang w:eastAsia="zh-CN"/>
        </w:rPr>
        <w:t xml:space="preserve">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w:t>
      </w:r>
      <w:proofErr w:type="spellStart"/>
      <w:r>
        <w:rPr>
          <w:b/>
          <w:i/>
          <w:lang w:eastAsia="zh-CN"/>
        </w:rPr>
        <w:t>Beh</w:t>
      </w:r>
      <w:proofErr w:type="spellEnd"/>
      <w:r>
        <w:rPr>
          <w:b/>
          <w:i/>
          <w:lang w:eastAsia="zh-CN"/>
        </w:rPr>
        <w:t xml:space="preserve">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w:t>
      </w:r>
      <w:proofErr w:type="spellStart"/>
      <w:r>
        <w:rPr>
          <w:b/>
          <w:i/>
          <w:lang w:eastAsia="zh-CN"/>
        </w:rPr>
        <w:t>Beh</w:t>
      </w:r>
      <w:proofErr w:type="spellEnd"/>
      <w:r>
        <w:rPr>
          <w:b/>
          <w:i/>
          <w:lang w:eastAsia="zh-CN"/>
        </w:rPr>
        <w:t xml:space="preserve">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For the combination of Beh1A/</w:t>
      </w:r>
      <w:proofErr w:type="spellStart"/>
      <w:r w:rsidRPr="00C87774">
        <w:rPr>
          <w:b/>
          <w:i/>
          <w:sz w:val="22"/>
          <w:lang w:eastAsia="zh-CN"/>
        </w:rPr>
        <w:t>Beh</w:t>
      </w:r>
      <w:proofErr w:type="spellEnd"/>
      <w:r w:rsidRPr="00C87774">
        <w:rPr>
          <w:b/>
          <w:i/>
          <w:sz w:val="22"/>
          <w:lang w:eastAsia="zh-CN"/>
        </w:rPr>
        <w:t xml:space="preserve"> 2/</w:t>
      </w:r>
      <w:proofErr w:type="spellStart"/>
      <w:r w:rsidRPr="00C87774">
        <w:rPr>
          <w:b/>
          <w:i/>
          <w:sz w:val="22"/>
          <w:lang w:eastAsia="zh-CN"/>
        </w:rPr>
        <w:t>Beh</w:t>
      </w:r>
      <w:proofErr w:type="spellEnd"/>
      <w:r w:rsidRPr="00C87774">
        <w:rPr>
          <w:b/>
          <w:i/>
          <w:sz w:val="22"/>
          <w:lang w:eastAsia="zh-CN"/>
        </w:rPr>
        <w:t xml:space="preserve">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w:t>
      </w:r>
      <w:proofErr w:type="spellStart"/>
      <w:r w:rsidRPr="001C534F">
        <w:rPr>
          <w:b/>
          <w:i/>
          <w:sz w:val="22"/>
          <w:lang w:eastAsia="zh-CN"/>
        </w:rPr>
        <w:t>Beh</w:t>
      </w:r>
      <w:proofErr w:type="spellEnd"/>
      <w:r w:rsidRPr="001C534F">
        <w:rPr>
          <w:b/>
          <w:i/>
          <w:sz w:val="22"/>
          <w:lang w:eastAsia="zh-CN"/>
        </w:rPr>
        <w:t xml:space="preserve"> 1/</w:t>
      </w:r>
      <w:proofErr w:type="spellStart"/>
      <w:r w:rsidRPr="001C534F">
        <w:rPr>
          <w:b/>
          <w:i/>
          <w:sz w:val="22"/>
          <w:lang w:eastAsia="zh-CN"/>
        </w:rPr>
        <w:t>Beh</w:t>
      </w:r>
      <w:proofErr w:type="spellEnd"/>
      <w:r w:rsidRPr="001C534F">
        <w:rPr>
          <w:b/>
          <w:i/>
          <w:sz w:val="22"/>
          <w:lang w:eastAsia="zh-CN"/>
        </w:rPr>
        <w:t xml:space="preserve">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 xml:space="preserve">ed for </w:t>
      </w:r>
      <w:proofErr w:type="spellStart"/>
      <w:r w:rsidRPr="00B77B8A">
        <w:rPr>
          <w:b/>
          <w:i/>
          <w:lang w:eastAsia="zh-CN"/>
        </w:rPr>
        <w:t>SCell</w:t>
      </w:r>
      <w:proofErr w:type="spellEnd"/>
      <w:r w:rsidRPr="00B77B8A">
        <w:rPr>
          <w:b/>
          <w:i/>
          <w:lang w:eastAsia="zh-CN"/>
        </w:rPr>
        <w:t xml:space="preserve">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934904"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934904"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934904"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93490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 xml:space="preserve">Reusing the Rel-16 Indication of </w:t>
      </w:r>
      <w:proofErr w:type="spellStart"/>
      <w:r>
        <w:rPr>
          <w:b/>
          <w:i/>
          <w:lang w:val="en-GB"/>
        </w:rPr>
        <w:t>SCell</w:t>
      </w:r>
      <w:proofErr w:type="spellEnd"/>
      <w:r>
        <w:rPr>
          <w:b/>
          <w:i/>
          <w:lang w:val="en-GB"/>
        </w:rPr>
        <w:t xml:space="preserve">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proofErr w:type="spellStart"/>
      <w:r w:rsidRPr="00AD0F2B">
        <w:rPr>
          <w:rFonts w:ascii="Times New Roman" w:eastAsia="Microsoft YaHei UI" w:hAnsi="Times New Roman"/>
          <w:color w:val="000000"/>
          <w:szCs w:val="20"/>
          <w:lang w:eastAsia="zh-CN"/>
        </w:rPr>
        <w:t>Beh</w:t>
      </w:r>
      <w:proofErr w:type="spellEnd"/>
      <w:r w:rsidRPr="00AD0F2B">
        <w:rPr>
          <w:rFonts w:ascii="Times New Roman" w:eastAsia="Microsoft YaHei UI" w:hAnsi="Times New Roman"/>
          <w:color w:val="000000"/>
          <w:szCs w:val="20"/>
          <w:lang w:eastAsia="zh-CN"/>
        </w:rPr>
        <w:t xml:space="preserve">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proofErr w:type="spellStart"/>
      <w:r w:rsidRPr="007D2E55">
        <w:rPr>
          <w:rFonts w:ascii="Times" w:eastAsia="Microsoft YaHei UI" w:hAnsi="Times" w:cs="Times"/>
          <w:color w:val="000000"/>
          <w:lang w:eastAsia="zh-CN"/>
        </w:rPr>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 xml:space="preserve">0: </w:t>
            </w:r>
            <w:proofErr w:type="spellStart"/>
            <w:r w:rsidRPr="008921AA">
              <w:rPr>
                <w:sz w:val="18"/>
                <w:szCs w:val="18"/>
              </w:rPr>
              <w:t>Beh</w:t>
            </w:r>
            <w:proofErr w:type="spellEnd"/>
            <w:r w:rsidRPr="008921AA">
              <w:rPr>
                <w:sz w:val="18"/>
                <w:szCs w:val="18"/>
              </w:rPr>
              <w:t xml:space="preserve"> 1</w:t>
            </w:r>
          </w:p>
          <w:p w14:paraId="2A0680A8" w14:textId="77777777" w:rsidR="00C13AE3" w:rsidRPr="008921AA" w:rsidRDefault="00C13AE3" w:rsidP="00E20155">
            <w:pPr>
              <w:rPr>
                <w:sz w:val="18"/>
                <w:szCs w:val="18"/>
              </w:rPr>
            </w:pPr>
            <w:r w:rsidRPr="008921AA">
              <w:rPr>
                <w:sz w:val="18"/>
                <w:szCs w:val="18"/>
              </w:rPr>
              <w:t xml:space="preserve">1: </w:t>
            </w:r>
            <w:proofErr w:type="spellStart"/>
            <w:r w:rsidRPr="008921AA">
              <w:rPr>
                <w:sz w:val="18"/>
                <w:szCs w:val="18"/>
              </w:rPr>
              <w:t>Beh</w:t>
            </w:r>
            <w:proofErr w:type="spellEnd"/>
            <w:r w:rsidRPr="008921AA">
              <w:rPr>
                <w:sz w:val="18"/>
                <w:szCs w:val="18"/>
              </w:rPr>
              <w:t xml:space="preserve">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 xml:space="preserve">0: </w:t>
            </w:r>
            <w:proofErr w:type="spellStart"/>
            <w:r w:rsidRPr="008921AA">
              <w:rPr>
                <w:sz w:val="18"/>
                <w:szCs w:val="18"/>
              </w:rPr>
              <w:t>Beh</w:t>
            </w:r>
            <w:proofErr w:type="spellEnd"/>
            <w:r w:rsidRPr="008921AA">
              <w:rPr>
                <w:sz w:val="18"/>
                <w:szCs w:val="18"/>
              </w:rPr>
              <w:t xml:space="preserve"> 2</w:t>
            </w:r>
          </w:p>
          <w:p w14:paraId="2290AA41" w14:textId="77777777" w:rsidR="00C13AE3" w:rsidRPr="008921AA" w:rsidRDefault="00C13AE3" w:rsidP="00E20155">
            <w:pPr>
              <w:rPr>
                <w:sz w:val="18"/>
                <w:szCs w:val="18"/>
              </w:rPr>
            </w:pPr>
            <w:r w:rsidRPr="008921AA">
              <w:rPr>
                <w:sz w:val="18"/>
                <w:szCs w:val="18"/>
              </w:rPr>
              <w:t xml:space="preserve">1: </w:t>
            </w:r>
            <w:proofErr w:type="spellStart"/>
            <w:r w:rsidRPr="008921AA">
              <w:rPr>
                <w:sz w:val="18"/>
                <w:szCs w:val="18"/>
              </w:rPr>
              <w:t>Beh</w:t>
            </w:r>
            <w:proofErr w:type="spellEnd"/>
            <w:r w:rsidRPr="008921AA">
              <w:rPr>
                <w:sz w:val="18"/>
                <w:szCs w:val="18"/>
              </w:rPr>
              <w:t xml:space="preserve">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2</w:t>
            </w:r>
          </w:p>
          <w:p w14:paraId="0A4125D2"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2A</w:t>
            </w:r>
          </w:p>
          <w:p w14:paraId="005497D3"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1</w:t>
            </w:r>
          </w:p>
          <w:p w14:paraId="304203D7"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1</w:t>
            </w:r>
          </w:p>
          <w:p w14:paraId="6F9A2545"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1A</w:t>
            </w:r>
          </w:p>
          <w:p w14:paraId="0794C3ED"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w:t>
            </w:r>
          </w:p>
          <w:p w14:paraId="712D1850" w14:textId="77777777" w:rsidR="00C13AE3" w:rsidRPr="008921AA" w:rsidRDefault="00C13AE3" w:rsidP="00E20155">
            <w:pPr>
              <w:rPr>
                <w:rFonts w:eastAsiaTheme="minorEastAsia"/>
                <w:sz w:val="18"/>
                <w:szCs w:val="18"/>
                <w:lang w:eastAsia="zh-CN"/>
              </w:rPr>
            </w:pPr>
            <w:r w:rsidRPr="008921AA">
              <w:rPr>
                <w:sz w:val="18"/>
                <w:szCs w:val="18"/>
              </w:rPr>
              <w:t xml:space="preserve">11: </w:t>
            </w:r>
            <w:proofErr w:type="spellStart"/>
            <w:r w:rsidRPr="008921AA">
              <w:rPr>
                <w:sz w:val="18"/>
                <w:szCs w:val="18"/>
              </w:rPr>
              <w:t>Beh</w:t>
            </w:r>
            <w:proofErr w:type="spellEnd"/>
            <w:r w:rsidRPr="008921AA">
              <w:rPr>
                <w:sz w:val="18"/>
                <w:szCs w:val="18"/>
              </w:rPr>
              <w:t xml:space="preserve">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1A</w:t>
            </w:r>
          </w:p>
          <w:p w14:paraId="7C978C77"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2</w:t>
            </w:r>
          </w:p>
          <w:p w14:paraId="5CF4A897"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 xml:space="preserve">Alt 2: the bits for indicating PDCCH monitoring adaptation also indicating skipping duration. Details FFS, e.g., </w:t>
      </w:r>
      <w:proofErr w:type="spellStart"/>
      <w:r w:rsidRPr="00401305">
        <w:rPr>
          <w:rFonts w:eastAsiaTheme="minorEastAsia"/>
          <w:szCs w:val="20"/>
        </w:rPr>
        <w:t>Beh</w:t>
      </w:r>
      <w:proofErr w:type="spellEnd"/>
      <w:r w:rsidRPr="00401305">
        <w:rPr>
          <w:rFonts w:eastAsiaTheme="minorEastAsia"/>
          <w:szCs w:val="20"/>
        </w:rPr>
        <w:t xml:space="preserve"> 1A-1 for skipping duration 1 and </w:t>
      </w:r>
      <w:proofErr w:type="spellStart"/>
      <w:r w:rsidRPr="00401305">
        <w:rPr>
          <w:rFonts w:eastAsiaTheme="minorEastAsia"/>
          <w:szCs w:val="20"/>
        </w:rPr>
        <w:t>Beh</w:t>
      </w:r>
      <w:proofErr w:type="spellEnd"/>
      <w:r w:rsidRPr="00401305">
        <w:rPr>
          <w:rFonts w:eastAsiaTheme="minorEastAsia"/>
          <w:szCs w:val="20"/>
        </w:rPr>
        <w:t xml:space="preserve">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 xml:space="preserve">Switching between </w:t>
      </w:r>
      <w:proofErr w:type="spellStart"/>
      <w:r w:rsidRPr="0042593E">
        <w:rPr>
          <w:lang w:eastAsia="zh-CN"/>
        </w:rPr>
        <w:t>Beh</w:t>
      </w:r>
      <w:proofErr w:type="spellEnd"/>
      <w:r w:rsidRPr="0042593E">
        <w:rPr>
          <w:lang w:eastAsia="zh-CN"/>
        </w:rPr>
        <w:t xml:space="preserve">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 xml:space="preserve">(i.e., Switching between </w:t>
      </w:r>
      <w:proofErr w:type="spellStart"/>
      <w:r w:rsidRPr="0042593E">
        <w:rPr>
          <w:lang w:eastAsia="zh-CN"/>
        </w:rPr>
        <w:t>Beh</w:t>
      </w:r>
      <w:proofErr w:type="spellEnd"/>
      <w:r w:rsidRPr="0042593E">
        <w:rPr>
          <w:lang w:eastAsia="zh-CN"/>
        </w:rPr>
        <w:t xml:space="preserve">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Default="00C13AE3" w:rsidP="00C13AE3">
      <w:pPr>
        <w:pStyle w:val="BodyText"/>
        <w:rPr>
          <w:rFonts w:eastAsiaTheme="minorEastAsia"/>
          <w:lang w:val="fr-FR" w:eastAsia="zh-CN"/>
        </w:rPr>
        <w:sectPr w:rsidR="00C13AE3"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 xml:space="preserve">roposal 1. Confirm the working assumption of </w:t>
      </w:r>
      <w:proofErr w:type="spellStart"/>
      <w:r w:rsidRPr="0089745F">
        <w:rPr>
          <w:b/>
          <w:bCs/>
          <w:lang w:eastAsia="zh-CN"/>
        </w:rPr>
        <w:t>Beh</w:t>
      </w:r>
      <w:proofErr w:type="spellEnd"/>
      <w:r w:rsidRPr="0089745F">
        <w:rPr>
          <w:b/>
          <w:bCs/>
          <w:lang w:eastAsia="zh-CN"/>
        </w:rPr>
        <w:t xml:space="preserve"> 1 and </w:t>
      </w:r>
      <w:proofErr w:type="spellStart"/>
      <w:r w:rsidRPr="0089745F">
        <w:rPr>
          <w:b/>
          <w:bCs/>
          <w:lang w:eastAsia="zh-CN"/>
        </w:rPr>
        <w:t>Beh</w:t>
      </w:r>
      <w:proofErr w:type="spellEnd"/>
      <w:r w:rsidRPr="0089745F">
        <w:rPr>
          <w:b/>
          <w:bCs/>
          <w:lang w:eastAsia="zh-CN"/>
        </w:rPr>
        <w:t xml:space="preserve">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Configuration#1: One skipping duration, 1 bit used to indicate </w:t>
      </w:r>
      <w:proofErr w:type="spellStart"/>
      <w:r w:rsidRPr="00786006">
        <w:rPr>
          <w:b/>
          <w:lang w:eastAsia="zh-CN"/>
        </w:rPr>
        <w:t>Beh</w:t>
      </w:r>
      <w:proofErr w:type="spellEnd"/>
      <w:r w:rsidRPr="00786006">
        <w:rPr>
          <w:b/>
          <w:lang w:eastAsia="zh-CN"/>
        </w:rPr>
        <w:t xml:space="preserve"> 1 or </w:t>
      </w:r>
      <w:proofErr w:type="spellStart"/>
      <w:r w:rsidRPr="00786006">
        <w:rPr>
          <w:b/>
          <w:lang w:eastAsia="zh-CN"/>
        </w:rPr>
        <w:t>Beh</w:t>
      </w:r>
      <w:proofErr w:type="spellEnd"/>
      <w:r w:rsidRPr="00786006">
        <w:rPr>
          <w:b/>
          <w:lang w:eastAsia="zh-CN"/>
        </w:rPr>
        <w:t xml:space="preserve">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Configuration#2: More than one skipping durations, 2 bits used to indicate </w:t>
      </w:r>
      <w:proofErr w:type="spellStart"/>
      <w:r w:rsidRPr="00786006">
        <w:rPr>
          <w:b/>
          <w:lang w:eastAsia="zh-CN"/>
        </w:rPr>
        <w:t>Beh</w:t>
      </w:r>
      <w:proofErr w:type="spellEnd"/>
      <w:r w:rsidRPr="00786006">
        <w:rPr>
          <w:b/>
          <w:lang w:eastAsia="zh-CN"/>
        </w:rPr>
        <w:t xml:space="preserve"> 1 or a skipping duration of </w:t>
      </w:r>
      <w:proofErr w:type="spellStart"/>
      <w:r w:rsidRPr="00786006">
        <w:rPr>
          <w:b/>
          <w:lang w:eastAsia="zh-CN"/>
        </w:rPr>
        <w:t>Beh</w:t>
      </w:r>
      <w:proofErr w:type="spellEnd"/>
      <w:r w:rsidRPr="00786006">
        <w:rPr>
          <w:b/>
          <w:lang w:eastAsia="zh-CN"/>
        </w:rPr>
        <w:t xml:space="preserve">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Configuration#3: Two SSSGs, 1 bit used to indicate </w:t>
      </w:r>
      <w:proofErr w:type="spellStart"/>
      <w:r w:rsidRPr="00786006">
        <w:rPr>
          <w:b/>
          <w:lang w:eastAsia="zh-CN"/>
        </w:rPr>
        <w:t>Beh</w:t>
      </w:r>
      <w:proofErr w:type="spellEnd"/>
      <w:r w:rsidRPr="00786006">
        <w:rPr>
          <w:b/>
          <w:lang w:eastAsia="zh-CN"/>
        </w:rPr>
        <w:t xml:space="preserve"> 2 or </w:t>
      </w:r>
      <w:proofErr w:type="spellStart"/>
      <w:r w:rsidRPr="00786006">
        <w:rPr>
          <w:b/>
          <w:lang w:eastAsia="zh-CN"/>
        </w:rPr>
        <w:t>Beh</w:t>
      </w:r>
      <w:proofErr w:type="spellEnd"/>
      <w:r w:rsidRPr="00786006">
        <w:rPr>
          <w:b/>
          <w:lang w:eastAsia="zh-CN"/>
        </w:rPr>
        <w:t xml:space="preserve">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Configuration#4: Three SSSGs, 2 bits used to indicate one of </w:t>
      </w:r>
      <w:proofErr w:type="spellStart"/>
      <w:r w:rsidRPr="00786006">
        <w:rPr>
          <w:b/>
          <w:lang w:eastAsia="zh-CN"/>
        </w:rPr>
        <w:t>Beh</w:t>
      </w:r>
      <w:proofErr w:type="spellEnd"/>
      <w:r w:rsidRPr="00786006">
        <w:rPr>
          <w:b/>
          <w:lang w:eastAsia="zh-CN"/>
        </w:rPr>
        <w:t xml:space="preserve"> 2, </w:t>
      </w:r>
      <w:proofErr w:type="spellStart"/>
      <w:r w:rsidRPr="00786006">
        <w:rPr>
          <w:b/>
          <w:lang w:eastAsia="zh-CN"/>
        </w:rPr>
        <w:t>Beh</w:t>
      </w:r>
      <w:proofErr w:type="spellEnd"/>
      <w:r w:rsidRPr="00786006">
        <w:rPr>
          <w:b/>
          <w:lang w:eastAsia="zh-CN"/>
        </w:rPr>
        <w:t xml:space="preserve"> 2A and </w:t>
      </w:r>
      <w:proofErr w:type="spellStart"/>
      <w:r w:rsidRPr="00786006">
        <w:rPr>
          <w:b/>
          <w:lang w:eastAsia="zh-CN"/>
        </w:rPr>
        <w:t>Beh</w:t>
      </w:r>
      <w:proofErr w:type="spellEnd"/>
      <w:r w:rsidRPr="00786006">
        <w:rPr>
          <w:b/>
          <w:lang w:eastAsia="zh-CN"/>
        </w:rPr>
        <w:t xml:space="preserve">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 xml:space="preserve">Configuration#5: One skipping duration and two SSSGs, 1 bit used to indicate </w:t>
      </w:r>
      <w:proofErr w:type="spellStart"/>
      <w:r w:rsidRPr="00786006">
        <w:rPr>
          <w:b/>
          <w:lang w:eastAsia="zh-CN"/>
        </w:rPr>
        <w:t>Beh</w:t>
      </w:r>
      <w:proofErr w:type="spellEnd"/>
      <w:r w:rsidRPr="00786006">
        <w:rPr>
          <w:b/>
          <w:lang w:eastAsia="zh-CN"/>
        </w:rPr>
        <w:t xml:space="preserve"> 1 or </w:t>
      </w:r>
      <w:proofErr w:type="spellStart"/>
      <w:r w:rsidRPr="00786006">
        <w:rPr>
          <w:b/>
          <w:lang w:eastAsia="zh-CN"/>
        </w:rPr>
        <w:t>Beh</w:t>
      </w:r>
      <w:proofErr w:type="spellEnd"/>
      <w:r w:rsidRPr="00786006">
        <w:rPr>
          <w:b/>
          <w:lang w:eastAsia="zh-CN"/>
        </w:rPr>
        <w:t xml:space="preserve"> 1A and another 1 bit used to indicate </w:t>
      </w:r>
      <w:proofErr w:type="spellStart"/>
      <w:r w:rsidRPr="00786006">
        <w:rPr>
          <w:b/>
          <w:lang w:eastAsia="zh-CN"/>
        </w:rPr>
        <w:t>Beh</w:t>
      </w:r>
      <w:proofErr w:type="spellEnd"/>
      <w:r w:rsidRPr="00786006">
        <w:rPr>
          <w:b/>
          <w:lang w:eastAsia="zh-CN"/>
        </w:rPr>
        <w:t xml:space="preserve"> 2 or </w:t>
      </w:r>
      <w:proofErr w:type="spellStart"/>
      <w:r w:rsidRPr="00786006">
        <w:rPr>
          <w:b/>
          <w:lang w:eastAsia="zh-CN"/>
        </w:rPr>
        <w:t>Beh</w:t>
      </w:r>
      <w:proofErr w:type="spellEnd"/>
      <w:r w:rsidRPr="00786006">
        <w:rPr>
          <w:b/>
          <w:lang w:eastAsia="zh-CN"/>
        </w:rPr>
        <w:t xml:space="preserve">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w:t>
      </w:r>
      <w:proofErr w:type="spellStart"/>
      <w:r w:rsidRPr="00880F5E">
        <w:rPr>
          <w:b/>
        </w:rPr>
        <w:t>SCell</w:t>
      </w:r>
      <w:proofErr w:type="spellEnd"/>
      <w:r w:rsidRPr="00880F5E">
        <w:rPr>
          <w:b/>
        </w:rPr>
        <w:t xml:space="preserve">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proofErr w:type="spellStart"/>
      <w:r w:rsidRPr="00F17C44">
        <w:rPr>
          <w:u w:val="single"/>
          <w:lang w:val="en-GB"/>
        </w:rPr>
        <w:t>Beh</w:t>
      </w:r>
      <w:proofErr w:type="spellEnd"/>
      <w:r w:rsidRPr="00F17C44">
        <w:rPr>
          <w:u w:val="single"/>
          <w:lang w:val="en-GB"/>
        </w:rPr>
        <w:t xml:space="preserve">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Alt2: UE moni</w:t>
      </w:r>
      <w:r>
        <w:rPr>
          <w:b/>
          <w:szCs w:val="20"/>
          <w:u w:val="single"/>
          <w:lang w:val="en-GB"/>
        </w:rPr>
        <w:t>tors default SSSG.</w:t>
      </w:r>
    </w:p>
    <w:p w14:paraId="358F5FEC" w14:textId="77777777" w:rsidR="003D07B8" w:rsidRDefault="003D07B8" w:rsidP="003D07B8">
      <w:pPr>
        <w:spacing w:after="0" w:line="257" w:lineRule="auto"/>
        <w:rPr>
          <w:lang w:val="en-GB"/>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proofErr w:type="spellStart"/>
      <w:r w:rsidRPr="00571A40">
        <w:rPr>
          <w:b/>
          <w:u w:val="single"/>
          <w:lang w:val="en-GB"/>
        </w:rPr>
        <w:t>Beh</w:t>
      </w:r>
      <w:proofErr w:type="spellEnd"/>
      <w:r w:rsidRPr="00571A40">
        <w:rPr>
          <w:b/>
          <w:u w:val="single"/>
          <w:lang w:val="en-GB"/>
        </w:rPr>
        <w:t xml:space="preserve">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w:t>
      </w:r>
      <w:proofErr w:type="spellStart"/>
      <w:r>
        <w:rPr>
          <w:b/>
          <w:u w:val="single"/>
          <w:lang w:val="en-GB"/>
        </w:rPr>
        <w:t>Beh</w:t>
      </w:r>
      <w:proofErr w:type="spellEnd"/>
      <w:r>
        <w:rPr>
          <w:b/>
          <w:u w:val="single"/>
          <w:lang w:val="en-GB"/>
        </w:rPr>
        <w:t xml:space="preserve">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TW"/>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w:t>
      </w:r>
      <w:proofErr w:type="spellStart"/>
      <w:r w:rsidRPr="004C6041">
        <w:rPr>
          <w:b/>
          <w:bCs/>
        </w:rPr>
        <w:t>SCell</w:t>
      </w:r>
      <w:proofErr w:type="spellEnd"/>
      <w:r w:rsidRPr="004C6041">
        <w:rPr>
          <w:b/>
          <w:bCs/>
        </w:rPr>
        <w:t xml:space="preserve">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 xml:space="preserve">roposal 1: Do not support </w:t>
      </w:r>
      <w:proofErr w:type="spellStart"/>
      <w:r w:rsidRPr="00AB5A90">
        <w:rPr>
          <w:b/>
        </w:rPr>
        <w:t>Beh</w:t>
      </w:r>
      <w:proofErr w:type="spellEnd"/>
      <w:r w:rsidRPr="00AB5A90">
        <w:rPr>
          <w:b/>
        </w:rPr>
        <w:t xml:space="preserve">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w:t>
      </w:r>
      <w:proofErr w:type="spellStart"/>
      <w:r>
        <w:rPr>
          <w:b/>
        </w:rPr>
        <w:t>Beh</w:t>
      </w:r>
      <w:proofErr w:type="spellEnd"/>
      <w:r>
        <w:rPr>
          <w:b/>
        </w:rPr>
        <w:t xml:space="preserve">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 xml:space="preserve">Indication of </w:t>
      </w:r>
      <w:proofErr w:type="spellStart"/>
      <w:r w:rsidRPr="00380D71">
        <w:rPr>
          <w:b/>
        </w:rPr>
        <w:t>Beh</w:t>
      </w:r>
      <w:proofErr w:type="spellEnd"/>
      <w:r w:rsidRPr="00380D71">
        <w:rPr>
          <w:b/>
        </w:rPr>
        <w:t xml:space="preserve">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w:t>
      </w:r>
      <w:proofErr w:type="spellStart"/>
      <w:r w:rsidRPr="00130D40">
        <w:rPr>
          <w:b/>
        </w:rPr>
        <w:t>SCell</w:t>
      </w:r>
      <w:proofErr w:type="spellEnd"/>
      <w:r w:rsidRPr="00130D40">
        <w:rPr>
          <w:b/>
        </w:rPr>
        <w:t xml:space="preserve">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 xml:space="preserve">Proposal 1: In the condition that when 3 SSSGs are configured, </w:t>
      </w:r>
      <w:proofErr w:type="spellStart"/>
      <w:r w:rsidRPr="006274B9">
        <w:rPr>
          <w:rFonts w:ascii="Times" w:eastAsia="Batang" w:hAnsi="Times"/>
          <w:b/>
          <w:bCs/>
          <w:lang w:eastAsia="x-none"/>
        </w:rPr>
        <w:t>Beh</w:t>
      </w:r>
      <w:proofErr w:type="spellEnd"/>
      <w:r w:rsidRPr="006274B9">
        <w:rPr>
          <w:rFonts w:ascii="Times" w:eastAsia="Batang" w:hAnsi="Times"/>
          <w:b/>
          <w:bCs/>
          <w:lang w:eastAsia="x-none"/>
        </w:rPr>
        <w:t xml:space="preserve">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 xml:space="preserve">The explicit state of "the working assumption of </w:t>
      </w:r>
      <w:proofErr w:type="spellStart"/>
      <w:r w:rsidRPr="00067BBF">
        <w:rPr>
          <w:rFonts w:eastAsia="Microsoft YaHei UI"/>
          <w:b/>
          <w:bCs/>
          <w:color w:val="000000"/>
        </w:rPr>
        <w:t>Beh</w:t>
      </w:r>
      <w:proofErr w:type="spellEnd"/>
      <w:r w:rsidRPr="00067BBF">
        <w:rPr>
          <w:rFonts w:eastAsia="Microsoft YaHei UI"/>
          <w:b/>
          <w:bCs/>
          <w:color w:val="000000"/>
        </w:rPr>
        <w:t xml:space="preserve">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xml:space="preserve">: Confirm the working assumption that Indication of </w:t>
      </w:r>
      <w:proofErr w:type="spellStart"/>
      <w:r w:rsidRPr="00E25199">
        <w:rPr>
          <w:b/>
          <w:bCs/>
          <w:lang w:eastAsia="x-none"/>
        </w:rPr>
        <w:t>Beh</w:t>
      </w:r>
      <w:proofErr w:type="spellEnd"/>
      <w:r w:rsidRPr="00E25199">
        <w:rPr>
          <w:b/>
          <w:bCs/>
          <w:lang w:eastAsia="x-none"/>
        </w:rPr>
        <w:t xml:space="preserve">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xml:space="preserve">: Indication of </w:t>
      </w:r>
      <w:proofErr w:type="spellStart"/>
      <w:r w:rsidRPr="009A5BE8">
        <w:rPr>
          <w:b/>
          <w:bCs/>
          <w:lang w:eastAsia="zh-CN"/>
        </w:rPr>
        <w:t>Beh</w:t>
      </w:r>
      <w:proofErr w:type="spellEnd"/>
      <w:r w:rsidRPr="009A5BE8">
        <w:rPr>
          <w:b/>
          <w:bCs/>
          <w:lang w:eastAsia="zh-CN"/>
        </w:rPr>
        <w:t xml:space="preserve">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xml:space="preserve">: </w:t>
      </w:r>
      <w:proofErr w:type="spellStart"/>
      <w:r w:rsidRPr="00482F1A">
        <w:rPr>
          <w:b/>
          <w:bCs/>
          <w:lang w:eastAsia="zh-CN"/>
        </w:rPr>
        <w:t>Beh</w:t>
      </w:r>
      <w:proofErr w:type="spellEnd"/>
      <w:r w:rsidRPr="00482F1A">
        <w:rPr>
          <w:b/>
          <w:bCs/>
          <w:lang w:eastAsia="zh-CN"/>
        </w:rPr>
        <w:t xml:space="preserve">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xml:space="preserve">: </w:t>
      </w:r>
      <w:proofErr w:type="spellStart"/>
      <w:r w:rsidRPr="007F2E43">
        <w:rPr>
          <w:b/>
          <w:bCs/>
          <w:lang w:eastAsia="zh-CN"/>
        </w:rPr>
        <w:t>Beh</w:t>
      </w:r>
      <w:proofErr w:type="spellEnd"/>
      <w:r w:rsidRPr="007F2E43">
        <w:rPr>
          <w:b/>
          <w:bCs/>
          <w:lang w:eastAsia="zh-CN"/>
        </w:rPr>
        <w:t xml:space="preserve">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 xml:space="preserve">Supporting SSSG switching to emulate PDCCH skipping functionality, i.e. </w:t>
      </w:r>
      <w:proofErr w:type="spellStart"/>
      <w:r>
        <w:rPr>
          <w:rFonts w:eastAsiaTheme="minorEastAsia"/>
          <w:b/>
          <w:i/>
          <w:sz w:val="22"/>
          <w:lang w:eastAsia="ko-KR"/>
        </w:rPr>
        <w:t>Beh</w:t>
      </w:r>
      <w:proofErr w:type="spellEnd"/>
      <w:r>
        <w:rPr>
          <w:rFonts w:eastAsiaTheme="minorEastAsia"/>
          <w:b/>
          <w:i/>
          <w:sz w:val="22"/>
          <w:lang w:eastAsia="ko-KR"/>
        </w:rPr>
        <w:t xml:space="preserve">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w:t>
      </w:r>
      <w:proofErr w:type="gramStart"/>
      <w:r w:rsidRPr="00E642CE">
        <w:rPr>
          <w:rFonts w:eastAsiaTheme="minorEastAsia"/>
          <w:b/>
          <w:i/>
          <w:sz w:val="22"/>
          <w:lang w:eastAsia="ko-KR"/>
        </w:rPr>
        <w:t>skipping,</w:t>
      </w:r>
      <w:proofErr w:type="gramEnd"/>
      <w:r w:rsidRPr="00E642CE">
        <w:rPr>
          <w:rFonts w:eastAsiaTheme="minorEastAsia"/>
          <w:b/>
          <w:i/>
          <w:sz w:val="22"/>
          <w:lang w:eastAsia="ko-KR"/>
        </w:rPr>
        <w:t xml:space="preserve">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w:t>
      </w:r>
      <w:proofErr w:type="gramStart"/>
      <w:r>
        <w:rPr>
          <w:rFonts w:eastAsiaTheme="minorEastAsia"/>
          <w:b/>
          <w:i/>
          <w:sz w:val="22"/>
          <w:lang w:eastAsia="ko-KR"/>
        </w:rPr>
        <w:t>0, 1, and 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934904"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934904"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934904"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934904"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934904"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934904"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934904"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934904"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934904"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934904"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934904"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934904"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934904"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934904"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934904"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934904"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934904"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934904"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934904"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5E33F8" w:rsidRDefault="005E33F8" w:rsidP="005E33F8">
      <w:pPr>
        <w:pStyle w:val="3GPPText"/>
        <w:spacing w:line="240" w:lineRule="auto"/>
        <w:rPr>
          <w:b/>
          <w:bCs/>
          <w:lang w:val="de-DE"/>
        </w:rPr>
      </w:pPr>
      <w:r w:rsidRPr="005E33F8">
        <w:rPr>
          <w:b/>
          <w:bCs/>
          <w:lang w:val="de-DE"/>
        </w:rPr>
        <w:t>Proposal 1:</w:t>
      </w:r>
      <w:r w:rsidRPr="005E33F8">
        <w:rPr>
          <w:b/>
          <w:bCs/>
          <w:lang w:val="de-DE"/>
        </w:rPr>
        <w:tab/>
        <w:t>The codepoints of the indication in DCI shall be configurable from one of the behaviors sets (1/1A) or (1A/2/2A).</w:t>
      </w:r>
    </w:p>
    <w:p w14:paraId="3B9F2601" w14:textId="77777777" w:rsidR="005E33F8" w:rsidRPr="005E33F8" w:rsidRDefault="005E33F8" w:rsidP="005E33F8">
      <w:pPr>
        <w:pStyle w:val="3GPPText"/>
        <w:spacing w:line="240" w:lineRule="auto"/>
        <w:rPr>
          <w:b/>
          <w:bCs/>
          <w:lang w:val="de-DE"/>
        </w:rPr>
      </w:pPr>
      <w:r w:rsidRPr="005E33F8">
        <w:rPr>
          <w:b/>
          <w:bCs/>
          <w:lang w:val="de-DE"/>
        </w:rPr>
        <w:t>Proposal 2:</w:t>
      </w:r>
      <w:r w:rsidRPr="005E33F8">
        <w:rPr>
          <w:b/>
          <w:bCs/>
          <w:lang w:val="de-DE"/>
        </w:rPr>
        <w:tab/>
        <w:t>The skipping durations shall be configurable per BWP.</w:t>
      </w:r>
    </w:p>
    <w:p w14:paraId="6381C5F5" w14:textId="77777777" w:rsidR="005E33F8" w:rsidRPr="005E33F8" w:rsidRDefault="005E33F8" w:rsidP="005E33F8">
      <w:pPr>
        <w:pStyle w:val="3GPPText"/>
        <w:spacing w:line="240" w:lineRule="auto"/>
        <w:rPr>
          <w:b/>
          <w:bCs/>
          <w:lang w:val="de-DE"/>
        </w:rPr>
      </w:pPr>
      <w:r w:rsidRPr="005E33F8">
        <w:rPr>
          <w:b/>
          <w:bCs/>
          <w:lang w:val="de-DE"/>
        </w:rPr>
        <w:t>Proposal 3:</w:t>
      </w:r>
      <w:r w:rsidRPr="005E33F8">
        <w:rPr>
          <w:b/>
          <w:bCs/>
          <w:lang w:val="de-DE"/>
        </w:rPr>
        <w:tab/>
        <w:t>SSSG Fallback timers shall be configurable per SSSG.</w:t>
      </w:r>
    </w:p>
    <w:p w14:paraId="4927D3E5" w14:textId="049440CB" w:rsidR="00DC620F" w:rsidRPr="005E33F8" w:rsidRDefault="005E33F8" w:rsidP="005E33F8">
      <w:pPr>
        <w:pStyle w:val="3GPPText"/>
        <w:spacing w:line="240" w:lineRule="auto"/>
        <w:rPr>
          <w:b/>
          <w:bCs/>
          <w:lang w:val="de-DE"/>
        </w:rPr>
      </w:pPr>
      <w:r w:rsidRPr="005E33F8">
        <w:rPr>
          <w:b/>
          <w:bCs/>
          <w:lang w:val="de-DE"/>
        </w:rPr>
        <w:t>Proposal 4:</w:t>
      </w:r>
      <w:r w:rsidRPr="005E33F8">
        <w:rPr>
          <w:b/>
          <w:bCs/>
          <w:lang w:val="de-DE"/>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9"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9"/>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4"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0" w:name="_Toc529948048"/>
      <w:r>
        <w:rPr>
          <w:sz w:val="44"/>
        </w:rPr>
        <w:t>Reference</w:t>
      </w:r>
      <w:bookmarkEnd w:id="10"/>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1" w:name="_Ref47770244"/>
      <w:r>
        <w:t>RP-200938, “Revised WID: UE Power Saving Enhancements for NR”, MediaTek Inc., RAN#88</w:t>
      </w:r>
      <w:bookmarkEnd w:id="11"/>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2" w:name="_Toc529948049"/>
      <w:r>
        <w:rPr>
          <w:sz w:val="44"/>
        </w:rPr>
        <w:t>History</w:t>
      </w:r>
      <w:bookmarkEnd w:id="12"/>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5"/>
      <w:footerReference w:type="even" r:id="rId16"/>
      <w:footerReference w:type="default" r:id="rId1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0007" w14:textId="77777777" w:rsidR="00934904" w:rsidRDefault="00934904">
      <w:pPr>
        <w:spacing w:after="0" w:line="240" w:lineRule="auto"/>
      </w:pPr>
      <w:r>
        <w:separator/>
      </w:r>
    </w:p>
  </w:endnote>
  <w:endnote w:type="continuationSeparator" w:id="0">
    <w:p w14:paraId="1D492E50" w14:textId="77777777" w:rsidR="00934904" w:rsidRDefault="00934904">
      <w:pPr>
        <w:spacing w:after="0" w:line="240" w:lineRule="auto"/>
      </w:pPr>
      <w:r>
        <w:continuationSeparator/>
      </w:r>
    </w:p>
  </w:endnote>
  <w:endnote w:type="continuationNotice" w:id="1">
    <w:p w14:paraId="7916DA97" w14:textId="77777777" w:rsidR="00934904" w:rsidRDefault="00934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F0006A" w:rsidRDefault="00F00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F0006A" w:rsidRDefault="00F00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61810423" w:rsidR="00F0006A" w:rsidRDefault="00F0006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FB3D" w14:textId="77777777" w:rsidR="00934904" w:rsidRDefault="00934904">
      <w:pPr>
        <w:spacing w:after="0" w:line="240" w:lineRule="auto"/>
      </w:pPr>
      <w:r>
        <w:separator/>
      </w:r>
    </w:p>
  </w:footnote>
  <w:footnote w:type="continuationSeparator" w:id="0">
    <w:p w14:paraId="12FC1C66" w14:textId="77777777" w:rsidR="00934904" w:rsidRDefault="00934904">
      <w:pPr>
        <w:spacing w:after="0" w:line="240" w:lineRule="auto"/>
      </w:pPr>
      <w:r>
        <w:continuationSeparator/>
      </w:r>
    </w:p>
  </w:footnote>
  <w:footnote w:type="continuationNotice" w:id="1">
    <w:p w14:paraId="0718692E" w14:textId="77777777" w:rsidR="00934904" w:rsidRDefault="00934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F0006A" w:rsidRDefault="00F0006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9"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9"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3"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7"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9"/>
  </w:num>
  <w:num w:numId="3">
    <w:abstractNumId w:val="38"/>
  </w:num>
  <w:num w:numId="4">
    <w:abstractNumId w:val="76"/>
  </w:num>
  <w:num w:numId="5">
    <w:abstractNumId w:val="90"/>
  </w:num>
  <w:num w:numId="6">
    <w:abstractNumId w:val="54"/>
  </w:num>
  <w:num w:numId="7">
    <w:abstractNumId w:val="88"/>
  </w:num>
  <w:num w:numId="8">
    <w:abstractNumId w:val="50"/>
  </w:num>
  <w:num w:numId="9">
    <w:abstractNumId w:val="18"/>
  </w:num>
  <w:num w:numId="10">
    <w:abstractNumId w:val="40"/>
  </w:num>
  <w:num w:numId="11">
    <w:abstractNumId w:val="68"/>
  </w:num>
  <w:num w:numId="12">
    <w:abstractNumId w:val="57"/>
  </w:num>
  <w:num w:numId="13">
    <w:abstractNumId w:val="47"/>
  </w:num>
  <w:num w:numId="14">
    <w:abstractNumId w:val="22"/>
  </w:num>
  <w:num w:numId="15">
    <w:abstractNumId w:val="34"/>
  </w:num>
  <w:num w:numId="16">
    <w:abstractNumId w:val="84"/>
  </w:num>
  <w:num w:numId="17">
    <w:abstractNumId w:val="61"/>
  </w:num>
  <w:num w:numId="18">
    <w:abstractNumId w:val="39"/>
  </w:num>
  <w:num w:numId="19">
    <w:abstractNumId w:val="42"/>
  </w:num>
  <w:num w:numId="20">
    <w:abstractNumId w:val="75"/>
  </w:num>
  <w:num w:numId="21">
    <w:abstractNumId w:val="60"/>
  </w:num>
  <w:num w:numId="22">
    <w:abstractNumId w:val="86"/>
  </w:num>
  <w:num w:numId="23">
    <w:abstractNumId w:val="64"/>
  </w:num>
  <w:num w:numId="24">
    <w:abstractNumId w:val="23"/>
  </w:num>
  <w:num w:numId="25">
    <w:abstractNumId w:val="70"/>
  </w:num>
  <w:num w:numId="26">
    <w:abstractNumId w:val="79"/>
  </w:num>
  <w:num w:numId="27">
    <w:abstractNumId w:val="95"/>
  </w:num>
  <w:num w:numId="2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16"/>
  </w:num>
  <w:num w:numId="32">
    <w:abstractNumId w:val="62"/>
  </w:num>
  <w:num w:numId="33">
    <w:abstractNumId w:val="91"/>
  </w:num>
  <w:num w:numId="34">
    <w:abstractNumId w:val="52"/>
  </w:num>
  <w:num w:numId="35">
    <w:abstractNumId w:val="69"/>
  </w:num>
  <w:num w:numId="36">
    <w:abstractNumId w:val="81"/>
  </w:num>
  <w:num w:numId="37">
    <w:abstractNumId w:val="65"/>
  </w:num>
  <w:num w:numId="38">
    <w:abstractNumId w:val="87"/>
  </w:num>
  <w:num w:numId="39">
    <w:abstractNumId w:val="98"/>
  </w:num>
  <w:num w:numId="40">
    <w:abstractNumId w:val="45"/>
  </w:num>
  <w:num w:numId="41">
    <w:abstractNumId w:val="51"/>
  </w:num>
  <w:num w:numId="42">
    <w:abstractNumId w:val="17"/>
  </w:num>
  <w:num w:numId="43">
    <w:abstractNumId w:val="72"/>
  </w:num>
  <w:num w:numId="44">
    <w:abstractNumId w:val="13"/>
  </w:num>
  <w:num w:numId="45">
    <w:abstractNumId w:val="80"/>
  </w:num>
  <w:num w:numId="46">
    <w:abstractNumId w:val="8"/>
  </w:num>
  <w:num w:numId="47">
    <w:abstractNumId w:val="92"/>
  </w:num>
  <w:num w:numId="48">
    <w:abstractNumId w:val="71"/>
  </w:num>
  <w:num w:numId="49">
    <w:abstractNumId w:val="53"/>
  </w:num>
  <w:num w:numId="50">
    <w:abstractNumId w:val="77"/>
  </w:num>
  <w:num w:numId="51">
    <w:abstractNumId w:val="49"/>
  </w:num>
  <w:num w:numId="52">
    <w:abstractNumId w:val="27"/>
  </w:num>
  <w:num w:numId="53">
    <w:abstractNumId w:val="31"/>
  </w:num>
  <w:num w:numId="54">
    <w:abstractNumId w:val="58"/>
  </w:num>
  <w:num w:numId="55">
    <w:abstractNumId w:val="96"/>
  </w:num>
  <w:num w:numId="56">
    <w:abstractNumId w:val="36"/>
  </w:num>
  <w:num w:numId="57">
    <w:abstractNumId w:val="15"/>
  </w:num>
  <w:num w:numId="58">
    <w:abstractNumId w:val="94"/>
  </w:num>
  <w:num w:numId="59">
    <w:abstractNumId w:val="3"/>
  </w:num>
  <w:num w:numId="60">
    <w:abstractNumId w:val="56"/>
  </w:num>
  <w:num w:numId="61">
    <w:abstractNumId w:val="83"/>
  </w:num>
  <w:num w:numId="62">
    <w:abstractNumId w:val="41"/>
  </w:num>
  <w:num w:numId="63">
    <w:abstractNumId w:val="28"/>
  </w:num>
  <w:num w:numId="64">
    <w:abstractNumId w:val="37"/>
  </w:num>
  <w:num w:numId="65">
    <w:abstractNumId w:val="48"/>
  </w:num>
  <w:num w:numId="66">
    <w:abstractNumId w:val="0"/>
  </w:num>
  <w:num w:numId="67">
    <w:abstractNumId w:val="5"/>
  </w:num>
  <w:num w:numId="68">
    <w:abstractNumId w:val="21"/>
  </w:num>
  <w:num w:numId="69">
    <w:abstractNumId w:val="93"/>
  </w:num>
  <w:num w:numId="70">
    <w:abstractNumId w:val="20"/>
  </w:num>
  <w:num w:numId="71">
    <w:abstractNumId w:val="11"/>
  </w:num>
  <w:num w:numId="72">
    <w:abstractNumId w:val="24"/>
  </w:num>
  <w:num w:numId="73">
    <w:abstractNumId w:val="10"/>
  </w:num>
  <w:num w:numId="74">
    <w:abstractNumId w:val="82"/>
  </w:num>
  <w:num w:numId="75">
    <w:abstractNumId w:val="43"/>
  </w:num>
  <w:num w:numId="76">
    <w:abstractNumId w:val="25"/>
  </w:num>
  <w:num w:numId="77">
    <w:abstractNumId w:val="85"/>
  </w:num>
  <w:num w:numId="78">
    <w:abstractNumId w:val="4"/>
  </w:num>
  <w:num w:numId="79">
    <w:abstractNumId w:val="19"/>
  </w:num>
  <w:num w:numId="80">
    <w:abstractNumId w:val="26"/>
  </w:num>
  <w:num w:numId="81">
    <w:abstractNumId w:val="35"/>
  </w:num>
  <w:num w:numId="82">
    <w:abstractNumId w:val="67"/>
  </w:num>
  <w:num w:numId="83">
    <w:abstractNumId w:val="33"/>
  </w:num>
  <w:num w:numId="84">
    <w:abstractNumId w:val="63"/>
  </w:num>
  <w:num w:numId="85">
    <w:abstractNumId w:val="7"/>
  </w:num>
  <w:num w:numId="86">
    <w:abstractNumId w:val="44"/>
  </w:num>
  <w:num w:numId="87">
    <w:abstractNumId w:val="97"/>
  </w:num>
  <w:num w:numId="88">
    <w:abstractNumId w:val="55"/>
  </w:num>
  <w:num w:numId="89">
    <w:abstractNumId w:val="78"/>
  </w:num>
  <w:num w:numId="90">
    <w:abstractNumId w:val="14"/>
  </w:num>
  <w:num w:numId="91">
    <w:abstractNumId w:val="59"/>
  </w:num>
  <w:num w:numId="92">
    <w:abstractNumId w:val="6"/>
  </w:num>
  <w:num w:numId="93">
    <w:abstractNumId w:val="32"/>
  </w:num>
  <w:num w:numId="94">
    <w:abstractNumId w:val="12"/>
  </w:num>
  <w:num w:numId="95">
    <w:abstractNumId w:val="89"/>
  </w:num>
  <w:num w:numId="96">
    <w:abstractNumId w:val="9"/>
  </w:num>
  <w:num w:numId="97">
    <w:abstractNumId w:val="46"/>
  </w:num>
  <w:num w:numId="98">
    <w:abstractNumId w:val="74"/>
  </w:num>
  <w:num w:numId="99">
    <w:abstractNumId w:val="6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2/Docs/R1-200741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88e/Docs/RP-2009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9DC07-A20A-4BE2-9549-BF98F2000386}">
  <ds:schemaRefs>
    <ds:schemaRef ds:uri="http://schemas.openxmlformats.org/officeDocument/2006/bibliography"/>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43</Pages>
  <Words>10473</Words>
  <Characters>84838</Characters>
  <Application>Microsoft Office Word</Application>
  <DocSecurity>0</DocSecurity>
  <Lines>706</Lines>
  <Paragraphs>190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95121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Schober, Karol</cp:lastModifiedBy>
  <cp:revision>78</cp:revision>
  <cp:lastPrinted>2020-10-27T02:39:00Z</cp:lastPrinted>
  <dcterms:created xsi:type="dcterms:W3CDTF">2021-10-11T10:15:00Z</dcterms:created>
  <dcterms:modified xsi:type="dcterms:W3CDTF">2021-10-11T11:29:00Z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