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77777777" w:rsidR="00045921" w:rsidRDefault="00FA6E73">
      <w:pPr>
        <w:pStyle w:val="3GPPHeader"/>
        <w:spacing w:after="60"/>
        <w:rPr>
          <w:sz w:val="32"/>
          <w:szCs w:val="32"/>
        </w:rPr>
      </w:pPr>
      <w:r>
        <w:t>3GPP TSG-RAN WG1 Meeting #106bis-e</w:t>
      </w:r>
      <w:r>
        <w:tab/>
      </w:r>
      <w:r>
        <w:rPr>
          <w:sz w:val="32"/>
          <w:szCs w:val="32"/>
        </w:rPr>
        <w:t>R1-21xxxxx</w:t>
      </w:r>
    </w:p>
    <w:p w14:paraId="463EF78E" w14:textId="77777777"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 xml:space="preserve">FL summary on RAN1 RRC parameter list for Rel-17 NR </w:t>
      </w:r>
      <w:proofErr w:type="spellStart"/>
      <w:r>
        <w:rPr>
          <w:sz w:val="20"/>
          <w:szCs w:val="20"/>
        </w:rPr>
        <w:t>RedCap</w:t>
      </w:r>
      <w:proofErr w:type="spellEnd"/>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1"/>
      </w:pPr>
      <w:r>
        <w:t>1</w:t>
      </w:r>
      <w:r>
        <w:tab/>
        <w:t>Introduction</w:t>
      </w:r>
    </w:p>
    <w:p w14:paraId="32D723A4" w14:textId="77777777" w:rsidR="00045921" w:rsidRDefault="00FA6E73">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027F0AF2" w14:textId="77777777"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ED39A83"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76DB810F"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527C85F7" w14:textId="77777777"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 xml:space="preserve">. </w:t>
      </w:r>
    </w:p>
    <w:p w14:paraId="0E2C402E" w14:textId="77777777"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2A6EA52" w14:textId="77777777" w:rsidR="00045921" w:rsidRDefault="00FA6E73">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68781BCF" w14:textId="77777777" w:rsidR="00045921" w:rsidRDefault="00FA6E73">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62CFD41A" w14:textId="77777777" w:rsidR="00045921" w:rsidRDefault="00FA6E73">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5A08C59B" w14:textId="77777777" w:rsidR="00045921" w:rsidRDefault="00FA6E73">
      <w:pPr>
        <w:pStyle w:val="aff5"/>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1D91B52F" w14:textId="77777777"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9E098CC" w14:textId="77777777" w:rsidR="00045921" w:rsidRDefault="00FA6E73">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852CA50" w14:textId="77777777" w:rsidR="00045921" w:rsidRDefault="00FA6E73">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5B2830CF" w14:textId="77777777" w:rsidR="00045921" w:rsidRDefault="00FA6E73">
      <w:pPr>
        <w:pStyle w:val="aff5"/>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FE5558F" w14:textId="77777777" w:rsidR="00045921" w:rsidRDefault="00FA6E73">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0C10190F" w14:textId="77777777" w:rsidR="00045921" w:rsidRDefault="00FA6E73">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09DFA36" w14:textId="77777777" w:rsidR="00045921" w:rsidRDefault="00FA6E73">
      <w:pPr>
        <w:pStyle w:val="aff5"/>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794D870" w14:textId="77777777"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2"/>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14400CF8" w14:textId="77777777"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83E361F" w14:textId="77777777"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45921" w14:paraId="4EA459EB"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05AF2DA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C77838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7FFE021F"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45921" w:rsidRPr="002B2942" w14:paraId="621D2EBF" w14:textId="77777777">
        <w:tc>
          <w:tcPr>
            <w:tcW w:w="2830" w:type="dxa"/>
            <w:tcBorders>
              <w:top w:val="single" w:sz="4" w:space="0" w:color="auto"/>
              <w:left w:val="single" w:sz="4" w:space="0" w:color="auto"/>
              <w:bottom w:val="single" w:sz="4" w:space="0" w:color="auto"/>
              <w:right w:val="single" w:sz="4" w:space="0" w:color="auto"/>
            </w:tcBorders>
          </w:tcPr>
          <w:p w14:paraId="121A738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1BCFA046"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07444BD0"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045921" w:rsidRPr="002B2942" w14:paraId="6D8B7625" w14:textId="77777777">
        <w:tc>
          <w:tcPr>
            <w:tcW w:w="2830" w:type="dxa"/>
            <w:tcBorders>
              <w:top w:val="single" w:sz="4" w:space="0" w:color="auto"/>
              <w:left w:val="single" w:sz="4" w:space="0" w:color="auto"/>
              <w:bottom w:val="single" w:sz="4" w:space="0" w:color="auto"/>
              <w:right w:val="single" w:sz="4" w:space="0" w:color="auto"/>
            </w:tcBorders>
          </w:tcPr>
          <w:p w14:paraId="14973A7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08AAC259"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EE7F04"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045921" w:rsidRPr="002B2942" w14:paraId="025FAF86" w14:textId="77777777">
        <w:tc>
          <w:tcPr>
            <w:tcW w:w="2830" w:type="dxa"/>
            <w:tcBorders>
              <w:top w:val="single" w:sz="4" w:space="0" w:color="auto"/>
              <w:left w:val="single" w:sz="4" w:space="0" w:color="auto"/>
              <w:bottom w:val="single" w:sz="4" w:space="0" w:color="auto"/>
              <w:right w:val="single" w:sz="4" w:space="0" w:color="auto"/>
            </w:tcBorders>
          </w:tcPr>
          <w:p w14:paraId="1A406467" w14:textId="77777777" w:rsidR="00045921" w:rsidRDefault="00FA6E73">
            <w:pPr>
              <w:spacing w:after="0" w:line="256" w:lineRule="auto"/>
              <w:rPr>
                <w:rFonts w:ascii="Times New Roman" w:eastAsia="游明朝" w:hAnsi="Times New Roman" w:cs="Times New Roman"/>
                <w:szCs w:val="20"/>
                <w:lang w:eastAsia="ja-JP"/>
              </w:rPr>
            </w:pPr>
            <w:r>
              <w:rPr>
                <w:rFonts w:ascii="Times New Roman" w:eastAsia="游明朝"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335879BE" w14:textId="77777777" w:rsidR="00045921" w:rsidRDefault="00FA6E73">
            <w:pPr>
              <w:spacing w:after="0" w:line="256" w:lineRule="auto"/>
              <w:rPr>
                <w:rFonts w:ascii="Times New Roman" w:eastAsia="游明朝" w:hAnsi="Times New Roman" w:cs="Times New Roman"/>
                <w:szCs w:val="20"/>
                <w:lang w:eastAsia="ja-JP"/>
              </w:rPr>
            </w:pPr>
            <w:r>
              <w:rPr>
                <w:rFonts w:ascii="Times New Roman" w:eastAsia="游明朝"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4433BF2"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045921" w:rsidRPr="002B2942" w14:paraId="1990B2C7" w14:textId="77777777">
        <w:tc>
          <w:tcPr>
            <w:tcW w:w="2830" w:type="dxa"/>
            <w:tcBorders>
              <w:top w:val="single" w:sz="4" w:space="0" w:color="auto"/>
              <w:left w:val="single" w:sz="4" w:space="0" w:color="auto"/>
              <w:bottom w:val="single" w:sz="4" w:space="0" w:color="auto"/>
              <w:right w:val="single" w:sz="4" w:space="0" w:color="auto"/>
            </w:tcBorders>
          </w:tcPr>
          <w:p w14:paraId="2BDD5DC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游明朝" w:hAnsi="Times New Roman" w:cs="Times New Roman"/>
                <w:szCs w:val="20"/>
                <w:lang w:eastAsia="ja-JP"/>
              </w:rPr>
              <w:lastRenderedPageBreak/>
              <w:t>Futurewei</w:t>
            </w:r>
          </w:p>
        </w:tc>
        <w:tc>
          <w:tcPr>
            <w:tcW w:w="2410" w:type="dxa"/>
            <w:tcBorders>
              <w:top w:val="single" w:sz="4" w:space="0" w:color="auto"/>
              <w:left w:val="single" w:sz="4" w:space="0" w:color="auto"/>
              <w:bottom w:val="single" w:sz="4" w:space="0" w:color="auto"/>
              <w:right w:val="single" w:sz="4" w:space="0" w:color="auto"/>
            </w:tcBorders>
          </w:tcPr>
          <w:p w14:paraId="66637AAD"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游明朝"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1663876"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045921" w:rsidRPr="002B2942" w14:paraId="5400E059" w14:textId="77777777">
        <w:tc>
          <w:tcPr>
            <w:tcW w:w="2830" w:type="dxa"/>
            <w:tcBorders>
              <w:top w:val="single" w:sz="4" w:space="0" w:color="auto"/>
              <w:left w:val="single" w:sz="4" w:space="0" w:color="auto"/>
              <w:bottom w:val="single" w:sz="4" w:space="0" w:color="auto"/>
              <w:right w:val="single" w:sz="4" w:space="0" w:color="auto"/>
            </w:tcBorders>
          </w:tcPr>
          <w:p w14:paraId="5F2740B3"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7FEA0D02"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101FAD7"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045921" w:rsidRPr="002B2942" w14:paraId="79DC638E" w14:textId="77777777">
        <w:tc>
          <w:tcPr>
            <w:tcW w:w="2830" w:type="dxa"/>
            <w:tcBorders>
              <w:top w:val="single" w:sz="4" w:space="0" w:color="auto"/>
              <w:left w:val="single" w:sz="4" w:space="0" w:color="auto"/>
              <w:bottom w:val="single" w:sz="4" w:space="0" w:color="auto"/>
              <w:right w:val="single" w:sz="4" w:space="0" w:color="auto"/>
            </w:tcBorders>
          </w:tcPr>
          <w:p w14:paraId="40AB92CB"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游明朝" w:hAnsi="Times New Roman" w:cs="Times New Roman"/>
                <w:szCs w:val="20"/>
                <w:lang w:eastAsia="ja-JP"/>
              </w:rPr>
              <w:t>CAT</w:t>
            </w:r>
            <w:r>
              <w:rPr>
                <w:rFonts w:ascii="Times New Roman" w:eastAsia="DengXian"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112B5522"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66DB59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045921" w:rsidRPr="002B2942" w14:paraId="5B320D1B" w14:textId="77777777">
        <w:tc>
          <w:tcPr>
            <w:tcW w:w="2830" w:type="dxa"/>
            <w:tcBorders>
              <w:top w:val="single" w:sz="4" w:space="0" w:color="auto"/>
              <w:left w:val="single" w:sz="4" w:space="0" w:color="auto"/>
              <w:bottom w:val="single" w:sz="4" w:space="0" w:color="auto"/>
              <w:right w:val="single" w:sz="4" w:space="0" w:color="auto"/>
            </w:tcBorders>
          </w:tcPr>
          <w:p w14:paraId="16E4288A"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49F3E39D"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C6FE1B1"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045921" w:rsidRPr="002B2942" w14:paraId="4A038C20" w14:textId="77777777">
        <w:tc>
          <w:tcPr>
            <w:tcW w:w="2830" w:type="dxa"/>
            <w:tcBorders>
              <w:top w:val="single" w:sz="4" w:space="0" w:color="auto"/>
              <w:left w:val="single" w:sz="4" w:space="0" w:color="auto"/>
              <w:bottom w:val="single" w:sz="4" w:space="0" w:color="auto"/>
              <w:right w:val="single" w:sz="4" w:space="0" w:color="auto"/>
            </w:tcBorders>
          </w:tcPr>
          <w:p w14:paraId="2A2D9B6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32B07D8A"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37CCE1E9"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45921" w:rsidRPr="002B2942" w14:paraId="31015F55" w14:textId="77777777">
        <w:tc>
          <w:tcPr>
            <w:tcW w:w="2830" w:type="dxa"/>
            <w:tcBorders>
              <w:top w:val="single" w:sz="4" w:space="0" w:color="auto"/>
              <w:left w:val="single" w:sz="4" w:space="0" w:color="auto"/>
              <w:bottom w:val="single" w:sz="4" w:space="0" w:color="auto"/>
              <w:right w:val="single" w:sz="4" w:space="0" w:color="auto"/>
            </w:tcBorders>
          </w:tcPr>
          <w:p w14:paraId="0523715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BC07FB5"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2F01FD0" w14:textId="77777777" w:rsidR="00045921" w:rsidRDefault="00045921">
            <w:pPr>
              <w:spacing w:after="0" w:line="256" w:lineRule="auto"/>
              <w:rPr>
                <w:rFonts w:ascii="Times New Roman" w:eastAsia="Batang" w:hAnsi="Times New Roman" w:cs="Times New Roman"/>
                <w:szCs w:val="20"/>
              </w:rPr>
            </w:pPr>
          </w:p>
        </w:tc>
      </w:tr>
      <w:tr w:rsidR="00045921" w:rsidRPr="002B2942" w14:paraId="7B234AB2" w14:textId="77777777">
        <w:tc>
          <w:tcPr>
            <w:tcW w:w="2830" w:type="dxa"/>
            <w:tcBorders>
              <w:top w:val="single" w:sz="4" w:space="0" w:color="auto"/>
              <w:left w:val="single" w:sz="4" w:space="0" w:color="auto"/>
              <w:bottom w:val="single" w:sz="4" w:space="0" w:color="auto"/>
              <w:right w:val="single" w:sz="4" w:space="0" w:color="auto"/>
            </w:tcBorders>
          </w:tcPr>
          <w:p w14:paraId="1CB30185"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A4E034A"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DE0FBA9" w14:textId="77777777" w:rsidR="00045921" w:rsidRDefault="00045921">
            <w:pPr>
              <w:spacing w:after="0" w:line="256" w:lineRule="auto"/>
              <w:rPr>
                <w:rFonts w:ascii="Times New Roman" w:eastAsia="Batang" w:hAnsi="Times New Roman" w:cs="Times New Roman"/>
                <w:szCs w:val="20"/>
              </w:rPr>
            </w:pPr>
          </w:p>
        </w:tc>
      </w:tr>
      <w:tr w:rsidR="00045921" w:rsidRPr="002B2942" w14:paraId="18C9E357" w14:textId="77777777">
        <w:tc>
          <w:tcPr>
            <w:tcW w:w="2830" w:type="dxa"/>
            <w:tcBorders>
              <w:top w:val="single" w:sz="4" w:space="0" w:color="auto"/>
              <w:left w:val="single" w:sz="4" w:space="0" w:color="auto"/>
              <w:bottom w:val="single" w:sz="4" w:space="0" w:color="auto"/>
              <w:right w:val="single" w:sz="4" w:space="0" w:color="auto"/>
            </w:tcBorders>
          </w:tcPr>
          <w:p w14:paraId="13F599B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0177991"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F9F9953" w14:textId="77777777" w:rsidR="00045921" w:rsidRDefault="00045921">
            <w:pPr>
              <w:spacing w:after="0" w:line="256" w:lineRule="auto"/>
              <w:rPr>
                <w:rFonts w:ascii="Times New Roman" w:eastAsia="Batang" w:hAnsi="Times New Roman" w:cs="Times New Roman"/>
                <w:szCs w:val="20"/>
              </w:rPr>
            </w:pPr>
          </w:p>
        </w:tc>
      </w:tr>
    </w:tbl>
    <w:p w14:paraId="14234073" w14:textId="77777777" w:rsidR="00045921" w:rsidRDefault="00045921">
      <w:pPr>
        <w:pStyle w:val="a6"/>
        <w:rPr>
          <w:rFonts w:cs="Arial"/>
          <w:lang w:val="sv-SE"/>
        </w:rPr>
      </w:pPr>
    </w:p>
    <w:p w14:paraId="276C25F7" w14:textId="77777777" w:rsidR="00045921" w:rsidRDefault="00FA6E73">
      <w:pPr>
        <w:pStyle w:val="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2"/>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2"/>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5"/>
      <w:bookmarkEnd w:id="6"/>
    </w:p>
    <w:bookmarkStart w:id="7" w:name="_Ref84445798"/>
    <w:p w14:paraId="05D116CE"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aff2"/>
          <w:rFonts w:ascii="Times New Roman" w:hAnsi="Times New Roman" w:cs="Times New Roman"/>
        </w:rPr>
        <w:t>R1-2108669</w:t>
      </w:r>
      <w:r>
        <w:rPr>
          <w:rStyle w:val="aff2"/>
          <w:rFonts w:ascii="Times New Roman" w:hAnsi="Times New Roman" w:cs="Times New Roman"/>
        </w:rPr>
        <w:fldChar w:fldCharType="end"/>
      </w:r>
      <w:r>
        <w:rPr>
          <w:rFonts w:ascii="Times New Roman" w:hAnsi="Times New Roman" w:cs="Times New Roman"/>
        </w:rPr>
        <w:t xml:space="preserve">, “FL summary on RAN1 RRC parameter list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7"/>
    </w:p>
    <w:bookmarkStart w:id="8" w:name="_Ref84445837"/>
    <w:p w14:paraId="416497E1"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aff2"/>
          <w:rFonts w:ascii="Times New Roman" w:hAnsi="Times New Roman" w:cs="Times New Roman"/>
        </w:rPr>
        <w:t>R1-2108670</w:t>
      </w:r>
      <w:bookmarkEnd w:id="3"/>
      <w:bookmarkEnd w:id="4"/>
      <w:r>
        <w:rPr>
          <w:rStyle w:val="aff2"/>
          <w:rFonts w:ascii="Times New Roman" w:hAnsi="Times New Roman" w:cs="Times New Roman"/>
        </w:rPr>
        <w:fldChar w:fldCharType="end"/>
      </w:r>
      <w:r>
        <w:rPr>
          <w:rFonts w:ascii="Times New Roman" w:hAnsi="Times New Roman" w:cs="Times New Roman"/>
        </w:rPr>
        <w:t xml:space="preserve">, “Initial draft RAN1 RRC parameter list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8"/>
    </w:p>
    <w:bookmarkStart w:id="9" w:name="_Ref84574992"/>
    <w:p w14:paraId="4B2371AC"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aff2"/>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48F34847" w14:textId="77777777" w:rsidR="00045921" w:rsidRDefault="00FA6E73">
      <w:pPr>
        <w:pStyle w:val="1"/>
      </w:pPr>
      <w:r>
        <w:lastRenderedPageBreak/>
        <w:t>2</w:t>
      </w:r>
      <w:r>
        <w:tab/>
        <w:t>PRACH configuration</w:t>
      </w:r>
    </w:p>
    <w:p w14:paraId="3828B49E"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6D4791D" w14:textId="77777777">
        <w:trPr>
          <w:trHeight w:val="450"/>
        </w:trPr>
        <w:tc>
          <w:tcPr>
            <w:tcW w:w="1127" w:type="dxa"/>
          </w:tcPr>
          <w:p w14:paraId="0CA5EFA9" w14:textId="77777777" w:rsidR="00045921" w:rsidRDefault="00FA6E73">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54E7ED33"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6083B05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370FF7C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7AA08944"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7BBEF3F4"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67A1DA63"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474406D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17C66DA0"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3268439B"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64F658CA"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59B92229"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2E606480"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42FC41AA"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626FF55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7C23071A"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045921" w14:paraId="20522F0E" w14:textId="77777777">
        <w:trPr>
          <w:trHeight w:val="2475"/>
        </w:trPr>
        <w:tc>
          <w:tcPr>
            <w:tcW w:w="1127" w:type="dxa"/>
          </w:tcPr>
          <w:p w14:paraId="0037335E"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60BA4ADA"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65D685C1"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38.213</w:t>
            </w:r>
          </w:p>
        </w:tc>
        <w:tc>
          <w:tcPr>
            <w:tcW w:w="900" w:type="dxa"/>
          </w:tcPr>
          <w:p w14:paraId="71D62F4D"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40E19648"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294F24FE"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5C4B0022"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44510CB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7461A5B0"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[RedCap-specific PRACH configuration]</w:t>
            </w:r>
          </w:p>
        </w:tc>
        <w:tc>
          <w:tcPr>
            <w:tcW w:w="2676" w:type="dxa"/>
          </w:tcPr>
          <w:p w14:paraId="611E4FA4"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62E2266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FFS</w:t>
            </w:r>
          </w:p>
        </w:tc>
        <w:tc>
          <w:tcPr>
            <w:tcW w:w="1011" w:type="dxa"/>
          </w:tcPr>
          <w:p w14:paraId="18E8703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28251724"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31F585EA"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331F209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4C317494" w14:textId="77777777" w:rsidR="00045921" w:rsidRDefault="00FA6E73">
            <w:pPr>
              <w:spacing w:afterLines="50" w:after="120" w:line="240" w:lineRule="auto"/>
              <w:rPr>
                <w:rFonts w:eastAsia="ＭＳ 明朝" w:cs="Arial"/>
                <w:sz w:val="18"/>
                <w:szCs w:val="18"/>
                <w:lang w:eastAsia="ja-JP"/>
              </w:rPr>
            </w:pPr>
            <w:bookmarkStart w:id="11" w:name="RANGE!P2"/>
            <w:r>
              <w:rPr>
                <w:rFonts w:eastAsia="ＭＳ 明朝" w:cs="Arial"/>
                <w:sz w:val="18"/>
                <w:szCs w:val="18"/>
                <w:lang w:eastAsia="ja-JP"/>
              </w:rPr>
              <w:t>See agreements listed in R1-2108271 section 6.</w:t>
            </w:r>
            <w:r>
              <w:rPr>
                <w:rFonts w:eastAsia="ＭＳ 明朝" w:cs="Arial"/>
                <w:sz w:val="18"/>
                <w:szCs w:val="18"/>
                <w:lang w:eastAsia="ja-JP"/>
              </w:rPr>
              <w:br/>
            </w:r>
            <w:r>
              <w:rPr>
                <w:rFonts w:eastAsia="ＭＳ 明朝"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0BE3E509"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40D63F8B"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2-1: Companies are invited to comment on the above parameter for PRACH configuration.</w:t>
      </w:r>
    </w:p>
    <w:tbl>
      <w:tblPr>
        <w:tblStyle w:val="af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67BA127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BWP-UplinkCommon</w:t>
            </w:r>
            <w:r>
              <w:rPr>
                <w:rFonts w:ascii="Times New Roman" w:hAnsi="Times New Roman" w:cs="Times New Roman"/>
                <w:sz w:val="20"/>
                <w:szCs w:val="20"/>
                <w:lang w:eastAsia="ko-KR"/>
              </w:rPr>
              <w:t>”.</w:t>
            </w:r>
          </w:p>
        </w:tc>
      </w:tr>
      <w:tr w:rsidR="00045921" w14:paraId="6088CE80" w14:textId="77777777">
        <w:tc>
          <w:tcPr>
            <w:tcW w:w="2122" w:type="dxa"/>
          </w:tcPr>
          <w:p w14:paraId="4F2A3C99"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22638F9A"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Fine in general. </w:t>
            </w:r>
          </w:p>
        </w:tc>
      </w:tr>
      <w:tr w:rsidR="00045921" w14:paraId="35653620" w14:textId="77777777">
        <w:tc>
          <w:tcPr>
            <w:tcW w:w="2122" w:type="dxa"/>
          </w:tcPr>
          <w:p w14:paraId="7B66F03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71B825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proposed version.</w:t>
            </w:r>
          </w:p>
        </w:tc>
      </w:tr>
      <w:tr w:rsidR="00045921" w14:paraId="2E8BB6E3" w14:textId="77777777">
        <w:trPr>
          <w:trHeight w:val="90"/>
        </w:trPr>
        <w:tc>
          <w:tcPr>
            <w:tcW w:w="2122" w:type="dxa"/>
          </w:tcPr>
          <w:p w14:paraId="06DA4BA3"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F944FC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77C6766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 clarification of early indication should be added: “usage of the RedCap-specific PRACH configuration </w:t>
            </w:r>
            <w:r>
              <w:rPr>
                <w:rFonts w:ascii="Times New Roman" w:eastAsia="SimSun" w:hAnsi="Times New Roman" w:cs="Times New Roman"/>
                <w:color w:val="FF0000"/>
                <w:sz w:val="20"/>
                <w:szCs w:val="20"/>
                <w:lang w:eastAsia="zh-CN"/>
              </w:rPr>
              <w:t xml:space="preserve">implicitly </w:t>
            </w:r>
            <w:r>
              <w:rPr>
                <w:rFonts w:ascii="Times New Roman" w:eastAsia="SimSun" w:hAnsi="Times New Roman" w:cs="Times New Roman"/>
                <w:sz w:val="20"/>
                <w:szCs w:val="20"/>
                <w:lang w:eastAsia="zh-CN"/>
              </w:rPr>
              <w:t xml:space="preserve">serves as an early RedCap UE indication </w:t>
            </w:r>
            <w:r>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13B8AB2E"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Furthermore, the relation between PRACH configurations for different features is under discussion in RAN2”</w:t>
            </w:r>
          </w:p>
        </w:tc>
      </w:tr>
      <w:tr w:rsidR="00045921" w14:paraId="15640EBB" w14:textId="77777777">
        <w:tc>
          <w:tcPr>
            <w:tcW w:w="2122" w:type="dxa"/>
          </w:tcPr>
          <w:p w14:paraId="40F3FEA0"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sz w:val="20"/>
                <w:szCs w:val="20"/>
                <w:lang w:eastAsia="zh-CN"/>
              </w:rPr>
              <w:t>ZTE, Sanechips</w:t>
            </w:r>
          </w:p>
        </w:tc>
        <w:tc>
          <w:tcPr>
            <w:tcW w:w="19136" w:type="dxa"/>
          </w:tcPr>
          <w:p w14:paraId="6B7C29F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045921" w14:paraId="64AF50A6" w14:textId="77777777">
        <w:tc>
          <w:tcPr>
            <w:tcW w:w="2122" w:type="dxa"/>
          </w:tcPr>
          <w:p w14:paraId="3A95CF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2042C0D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proposal. </w:t>
            </w:r>
          </w:p>
          <w:p w14:paraId="3BEBEB5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045921" w14:paraId="0A869981" w14:textId="77777777">
        <w:tc>
          <w:tcPr>
            <w:tcW w:w="2122" w:type="dxa"/>
          </w:tcPr>
          <w:p w14:paraId="34B5E26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0BC153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5" w:history="1">
              <w:r>
                <w:rPr>
                  <w:rStyle w:val="aff2"/>
                  <w:rFonts w:ascii="Times New Roman" w:eastAsia="ＭＳ 明朝"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68BB9804"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7FC3CD75"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 xml:space="preserve">FL2 Question 2-2: Companies are invited to comment on the updated parameter for PRACH configuration in </w:t>
      </w:r>
      <w:hyperlink r:id="rId16" w:history="1">
        <w:r>
          <w:rPr>
            <w:rStyle w:val="aff2"/>
            <w:rFonts w:ascii="Times New Roman" w:eastAsia="ＭＳ 明朝" w:hAnsi="Times New Roman" w:cs="Times New Roman"/>
            <w:b/>
            <w:bCs/>
            <w:i/>
            <w:iCs/>
            <w:szCs w:val="20"/>
            <w:lang w:val="en-GB" w:eastAsia="ja-JP"/>
          </w:rPr>
          <w:t>RedCapParamList-v001</w:t>
        </w:r>
      </w:hyperlink>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4597C845" w14:textId="77777777">
        <w:trPr>
          <w:trHeight w:val="268"/>
        </w:trPr>
        <w:tc>
          <w:tcPr>
            <w:tcW w:w="2122" w:type="dxa"/>
            <w:shd w:val="clear" w:color="auto" w:fill="D9D9D9" w:themeFill="background1" w:themeFillShade="D9"/>
          </w:tcPr>
          <w:p w14:paraId="15ADF2F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4E080D"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2D4AA7BE" w14:textId="77777777">
        <w:tc>
          <w:tcPr>
            <w:tcW w:w="2122" w:type="dxa"/>
          </w:tcPr>
          <w:p w14:paraId="6AEAC7F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4C066B2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The updated RRC parameters for PRACH configuration look good to us.</w:t>
            </w:r>
          </w:p>
        </w:tc>
      </w:tr>
      <w:tr w:rsidR="00045921" w14:paraId="3B7A12EE" w14:textId="77777777">
        <w:tc>
          <w:tcPr>
            <w:tcW w:w="2122" w:type="dxa"/>
          </w:tcPr>
          <w:p w14:paraId="2411EA4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5E569AB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following clarification can be considered in the last column: If the separate initial DL BWP is used in initial access or separate initial UL BWP is configured, the RedCap specific PRACH resource also should be configured.</w:t>
            </w:r>
          </w:p>
        </w:tc>
      </w:tr>
      <w:tr w:rsidR="00045921" w14:paraId="51661005" w14:textId="77777777">
        <w:tc>
          <w:tcPr>
            <w:tcW w:w="2122" w:type="dxa"/>
          </w:tcPr>
          <w:p w14:paraId="553513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v</w:t>
            </w:r>
            <w:r>
              <w:rPr>
                <w:rFonts w:ascii="Times New Roman" w:eastAsia="SimSun" w:hAnsi="Times New Roman" w:cs="Times New Roman"/>
                <w:sz w:val="20"/>
                <w:szCs w:val="20"/>
                <w:lang w:eastAsia="zh-CN"/>
              </w:rPr>
              <w:t>ivo</w:t>
            </w:r>
          </w:p>
        </w:tc>
        <w:tc>
          <w:tcPr>
            <w:tcW w:w="19136" w:type="dxa"/>
          </w:tcPr>
          <w:p w14:paraId="704CE7D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are fine with the update. </w:t>
            </w:r>
          </w:p>
        </w:tc>
      </w:tr>
    </w:tbl>
    <w:p w14:paraId="53817A97"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2948C67A" w14:textId="77777777" w:rsidR="00045921" w:rsidRDefault="00FA6E73">
      <w:pPr>
        <w:pStyle w:val="1"/>
      </w:pPr>
      <w:r>
        <w:t>3</w:t>
      </w:r>
      <w:r>
        <w:tab/>
        <w:t>Initial DL BWP configuration</w:t>
      </w:r>
    </w:p>
    <w:p w14:paraId="67F30511"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BED8EA8" w14:textId="77777777">
        <w:trPr>
          <w:trHeight w:val="450"/>
        </w:trPr>
        <w:tc>
          <w:tcPr>
            <w:tcW w:w="1127" w:type="dxa"/>
          </w:tcPr>
          <w:p w14:paraId="711659B4" w14:textId="77777777" w:rsidR="00045921" w:rsidRDefault="00FA6E73">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017C4A40"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18393678"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65EB5C6E"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1145CE34"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3E0461C7"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4927F4A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1CE23B1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2E0265B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2D05987E"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4AB7E048"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0B240114"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7F4A0459"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5595D15A"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6F8D4FD2"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1B3C1B3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045921" w14:paraId="7E78F65B" w14:textId="77777777">
        <w:trPr>
          <w:trHeight w:val="1575"/>
        </w:trPr>
        <w:tc>
          <w:tcPr>
            <w:tcW w:w="1127" w:type="dxa"/>
          </w:tcPr>
          <w:p w14:paraId="1386B646"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320B5CFE"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78FB53A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38.213</w:t>
            </w:r>
          </w:p>
        </w:tc>
        <w:tc>
          <w:tcPr>
            <w:tcW w:w="900" w:type="dxa"/>
          </w:tcPr>
          <w:p w14:paraId="5CC48C7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7B4DEC5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77701B58"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22D5EE1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041BAA3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345DF33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[RedCap-specific initial DL BWP configuration]</w:t>
            </w:r>
          </w:p>
        </w:tc>
        <w:tc>
          <w:tcPr>
            <w:tcW w:w="2676" w:type="dxa"/>
          </w:tcPr>
          <w:p w14:paraId="1348931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6240D5B1"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FFS</w:t>
            </w:r>
          </w:p>
        </w:tc>
        <w:tc>
          <w:tcPr>
            <w:tcW w:w="1011" w:type="dxa"/>
          </w:tcPr>
          <w:p w14:paraId="6C52C170"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3DD3D33C"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025B6DDB"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089221DC"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6929AA5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See agreements and working assumptions listed in R1-2108271 section 1.</w:t>
            </w:r>
          </w:p>
        </w:tc>
      </w:tr>
    </w:tbl>
    <w:p w14:paraId="018FF068"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0A067643"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3-1: Companies are invited to comment on the above parameter for initial DL BWP configuration.</w:t>
      </w:r>
    </w:p>
    <w:tbl>
      <w:tblPr>
        <w:tblStyle w:val="afd"/>
        <w:tblW w:w="21258" w:type="dxa"/>
        <w:tblLook w:val="04A0" w:firstRow="1" w:lastRow="0" w:firstColumn="1" w:lastColumn="0" w:noHBand="0" w:noVBand="1"/>
      </w:tblPr>
      <w:tblGrid>
        <w:gridCol w:w="2122"/>
        <w:gridCol w:w="19136"/>
      </w:tblGrid>
      <w:tr w:rsidR="00045921" w14:paraId="1E3BDDEE" w14:textId="77777777">
        <w:trPr>
          <w:trHeight w:val="268"/>
        </w:trPr>
        <w:tc>
          <w:tcPr>
            <w:tcW w:w="2122" w:type="dxa"/>
            <w:shd w:val="clear" w:color="auto" w:fill="D9D9D9" w:themeFill="background1" w:themeFillShade="D9"/>
          </w:tcPr>
          <w:p w14:paraId="34F3AFD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3ACFB9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3E779CB1" w14:textId="77777777">
        <w:tc>
          <w:tcPr>
            <w:tcW w:w="2122" w:type="dxa"/>
          </w:tcPr>
          <w:p w14:paraId="79BDB3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8A51F8" w14:textId="77777777" w:rsidR="00045921" w:rsidRDefault="00FA6E73">
            <w:pPr>
              <w:rPr>
                <w:rFonts w:ascii="Times New Roman" w:hAnsi="Times New Roman" w:cs="Times New Roman"/>
                <w:i/>
                <w:color w:val="000000"/>
                <w:sz w:val="20"/>
                <w:szCs w:val="20"/>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 xml:space="preserve">In </w:t>
            </w:r>
            <w:r>
              <w:rPr>
                <w:rFonts w:ascii="Times New Roman" w:hAnsi="Times New Roman" w:cs="Times New Roman"/>
                <w:iCs/>
                <w:color w:val="000000"/>
                <w:sz w:val="20"/>
                <w:szCs w:val="20"/>
              </w:rPr>
              <w:t>downlinkConfigCommon</w:t>
            </w:r>
            <w:r>
              <w:rPr>
                <w:rFonts w:ascii="Times New Roman" w:hAnsi="Times New Roman" w:cs="Times New Roman"/>
                <w:sz w:val="20"/>
                <w:szCs w:val="20"/>
                <w:lang w:eastAsia="ko-KR"/>
              </w:rPr>
              <w:t>”.</w:t>
            </w:r>
          </w:p>
        </w:tc>
      </w:tr>
      <w:tr w:rsidR="00045921" w14:paraId="0A3A7F00" w14:textId="77777777">
        <w:tc>
          <w:tcPr>
            <w:tcW w:w="2122" w:type="dxa"/>
          </w:tcPr>
          <w:p w14:paraId="0DC3070C"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0DF21B8C"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Pr>
                <w:rFonts w:ascii="Times New Roman" w:eastAsia="ＭＳ 明朝" w:hAnsi="Times New Roman" w:cs="Times New Roman"/>
                <w:sz w:val="20"/>
                <w:szCs w:val="20"/>
                <w:lang w:eastAsia="ja-JP"/>
              </w:rPr>
              <w:t xml:space="preserve">SIB-configured initial DL BWP for non-RedCap UEs is larger than the RedCap UE BW. </w:t>
            </w:r>
          </w:p>
          <w:p w14:paraId="1C178894" w14:textId="77777777" w:rsidR="00045921" w:rsidRDefault="00FA6E73">
            <w:pPr>
              <w:spacing w:after="180" w:line="252" w:lineRule="auto"/>
              <w:contextualSpacing/>
              <w:rPr>
                <w:rFonts w:ascii="Times New Roman" w:eastAsia="ＭＳ 明朝" w:hAnsi="Times New Roman" w:cs="Times New Roman"/>
                <w:sz w:val="20"/>
                <w:szCs w:val="20"/>
                <w:lang w:eastAsia="ja-JP"/>
              </w:rPr>
            </w:pPr>
            <w:r>
              <w:rPr>
                <w:rFonts w:ascii="Times New Roman" w:eastAsia="DengXian" w:hAnsi="Times New Roman" w:cs="Times New Roman"/>
                <w:sz w:val="20"/>
                <w:szCs w:val="20"/>
                <w:lang w:eastAsia="zh-CN"/>
              </w:rPr>
              <w:t>The behavior mentioned in the description is one possibility, i.e. “</w:t>
            </w:r>
            <w:r>
              <w:rPr>
                <w:rFonts w:ascii="Times New Roman" w:eastAsia="ＭＳ 明朝"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4DDF4A84"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Pr>
                <w:rFonts w:ascii="Times New Roman" w:eastAsia="ＭＳ 明朝" w:hAnsi="Times New Roman" w:cs="Times New Roman"/>
                <w:sz w:val="20"/>
                <w:szCs w:val="20"/>
                <w:lang w:eastAsia="ja-JP"/>
              </w:rPr>
              <w:t>SIB-configured initial DL BWP for non-RedCap UEs is larger than the RedCap UE BW</w:t>
            </w:r>
          </w:p>
        </w:tc>
      </w:tr>
      <w:tr w:rsidR="00045921" w14:paraId="43CAC847" w14:textId="77777777">
        <w:tc>
          <w:tcPr>
            <w:tcW w:w="2122" w:type="dxa"/>
          </w:tcPr>
          <w:p w14:paraId="0126DCB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AED6D4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1185599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14:paraId="5C995600" w14:textId="77777777">
        <w:tc>
          <w:tcPr>
            <w:tcW w:w="2122" w:type="dxa"/>
          </w:tcPr>
          <w:p w14:paraId="55721E23"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5FB1675"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 xml:space="preserve">Ok. Minor edit “RedCap UE </w:t>
            </w:r>
            <w:r>
              <w:rPr>
                <w:rFonts w:ascii="Times New Roman" w:eastAsia="SimSun" w:hAnsi="Times New Roman" w:cs="Times New Roman"/>
                <w:color w:val="FF0000"/>
                <w:sz w:val="20"/>
                <w:szCs w:val="20"/>
                <w:lang w:eastAsia="zh-CN"/>
              </w:rPr>
              <w:t xml:space="preserve">maximum </w:t>
            </w:r>
            <w:r>
              <w:rPr>
                <w:rFonts w:ascii="Times New Roman" w:eastAsia="SimSun" w:hAnsi="Times New Roman" w:cs="Times New Roman"/>
                <w:sz w:val="20"/>
                <w:szCs w:val="20"/>
                <w:lang w:eastAsia="zh-CN"/>
              </w:rPr>
              <w:t>bandwidth”</w:t>
            </w:r>
          </w:p>
        </w:tc>
      </w:tr>
      <w:tr w:rsidR="00045921" w14:paraId="39D5A157" w14:textId="77777777">
        <w:tc>
          <w:tcPr>
            <w:tcW w:w="2122" w:type="dxa"/>
          </w:tcPr>
          <w:p w14:paraId="018533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6E1515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Pr>
                <w:rFonts w:ascii="Times New Roman" w:eastAsia="ＭＳ 明朝" w:hAnsi="Times New Roman" w:cs="Times New Roman"/>
                <w:strike/>
                <w:sz w:val="20"/>
                <w:szCs w:val="20"/>
                <w:lang w:eastAsia="ja-JP"/>
              </w:rPr>
              <w:t>If</w:t>
            </w:r>
            <w:r>
              <w:rPr>
                <w:rFonts w:ascii="Times New Roman" w:eastAsia="SimSun" w:hAnsi="Times New Roman" w:cs="Times New Roman"/>
                <w:strike/>
                <w:sz w:val="20"/>
                <w:szCs w:val="20"/>
                <w:lang w:eastAsia="zh-CN"/>
              </w:rPr>
              <w:t xml:space="preserve"> </w:t>
            </w:r>
            <w:r>
              <w:rPr>
                <w:rFonts w:ascii="Times New Roman" w:eastAsia="SimSun" w:hAnsi="Times New Roman" w:cs="Times New Roman"/>
                <w:color w:val="FF0000"/>
                <w:sz w:val="20"/>
                <w:szCs w:val="20"/>
                <w:lang w:eastAsia="zh-CN"/>
              </w:rPr>
              <w:t>when</w:t>
            </w:r>
            <w:r>
              <w:rPr>
                <w:rFonts w:ascii="Times New Roman" w:eastAsia="ＭＳ 明朝" w:hAnsi="Times New Roman" w:cs="Times New Roman"/>
                <w:sz w:val="20"/>
                <w:szCs w:val="20"/>
                <w:lang w:eastAsia="ja-JP"/>
              </w:rPr>
              <w:t xml:space="preserve"> the parameter is not present,</w:t>
            </w:r>
            <w:r>
              <w:rPr>
                <w:rFonts w:ascii="Times New Roman" w:eastAsia="SimSun" w:hAnsi="Times New Roman" w:cs="Times New Roman"/>
                <w:sz w:val="20"/>
                <w:szCs w:val="20"/>
                <w:lang w:eastAsia="zh-CN"/>
              </w:rPr>
              <w:t>’</w:t>
            </w:r>
          </w:p>
        </w:tc>
      </w:tr>
      <w:tr w:rsidR="00045921" w14:paraId="7FF90EAF" w14:textId="77777777">
        <w:tc>
          <w:tcPr>
            <w:tcW w:w="2122" w:type="dxa"/>
          </w:tcPr>
          <w:p w14:paraId="539B512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0885617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045921" w14:paraId="2D06A5A2" w14:textId="77777777">
        <w:tc>
          <w:tcPr>
            <w:tcW w:w="2122" w:type="dxa"/>
          </w:tcPr>
          <w:p w14:paraId="10B54477"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15104A7F"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045921" w14:paraId="07BD7D5E" w14:textId="77777777">
        <w:tc>
          <w:tcPr>
            <w:tcW w:w="2122" w:type="dxa"/>
          </w:tcPr>
          <w:p w14:paraId="730CF3D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52F4787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7" w:history="1">
              <w:r>
                <w:rPr>
                  <w:rStyle w:val="aff2"/>
                  <w:rFonts w:ascii="Times New Roman" w:eastAsia="ＭＳ 明朝"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 For the Vivo/Intel/Sharp comments, it is suggested to bring up these aspects in the [106bis-e-NR-R17-RedCap-01] email discussion regarding aspects related to reduced maximum UE bandwidth.</w:t>
            </w:r>
          </w:p>
        </w:tc>
      </w:tr>
    </w:tbl>
    <w:p w14:paraId="0B7F2B5C"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28AF2258"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lastRenderedPageBreak/>
        <w:t xml:space="preserve">FL2 Question 3-2: Companies are invited to comment on the updated parameter for initial DL BWP configuration in </w:t>
      </w:r>
      <w:hyperlink r:id="rId18" w:history="1">
        <w:r>
          <w:rPr>
            <w:rStyle w:val="aff2"/>
            <w:rFonts w:ascii="Times New Roman" w:eastAsia="ＭＳ 明朝" w:hAnsi="Times New Roman" w:cs="Times New Roman"/>
            <w:b/>
            <w:bCs/>
            <w:i/>
            <w:iCs/>
            <w:szCs w:val="20"/>
            <w:lang w:val="en-GB" w:eastAsia="ja-JP"/>
          </w:rPr>
          <w:t>RedCapParamList-v001</w:t>
        </w:r>
      </w:hyperlink>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51996888" w14:textId="77777777">
        <w:trPr>
          <w:trHeight w:val="268"/>
        </w:trPr>
        <w:tc>
          <w:tcPr>
            <w:tcW w:w="2122" w:type="dxa"/>
            <w:shd w:val="clear" w:color="auto" w:fill="D9D9D9" w:themeFill="background1" w:themeFillShade="D9"/>
          </w:tcPr>
          <w:p w14:paraId="61C54D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92BD50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9C0F4B3" w14:textId="77777777">
        <w:tc>
          <w:tcPr>
            <w:tcW w:w="2122" w:type="dxa"/>
          </w:tcPr>
          <w:p w14:paraId="054BF935"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4EA42AE3" w14:textId="77777777" w:rsidR="00045921" w:rsidRDefault="00FA6E73">
            <w:pPr>
              <w:pStyle w:val="aff5"/>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configuration is present, there should be an extra flag indicating when the SIB-configured RedCap-specific initial DL BWP will take effect, which include the following cases:</w:t>
            </w:r>
          </w:p>
          <w:p w14:paraId="0B0E2EFE" w14:textId="77777777" w:rsidR="00045921" w:rsidRDefault="00FA6E73">
            <w:pPr>
              <w:pStyle w:val="aff5"/>
              <w:numPr>
                <w:ilvl w:val="0"/>
                <w:numId w:val="18"/>
              </w:numPr>
              <w:rPr>
                <w:rFonts w:ascii="Times New Roman" w:hAnsi="Times New Roman" w:cs="Times New Roman"/>
                <w:szCs w:val="20"/>
                <w:lang w:val="de-DE" w:eastAsia="ko-KR"/>
              </w:rPr>
            </w:pPr>
            <w:r>
              <w:rPr>
                <w:rFonts w:ascii="Times New Roman" w:hAnsi="Times New Roman" w:cs="Times New Roman"/>
                <w:szCs w:val="20"/>
                <w:lang w:val="de-DE" w:eastAsia="ko-KR"/>
              </w:rPr>
              <w:t>it is used during and after initial access</w:t>
            </w:r>
          </w:p>
          <w:p w14:paraId="3A2D88A9" w14:textId="77777777" w:rsidR="00045921" w:rsidRDefault="00FA6E73">
            <w:pPr>
              <w:pStyle w:val="aff5"/>
              <w:numPr>
                <w:ilvl w:val="0"/>
                <w:numId w:val="18"/>
              </w:numPr>
              <w:rPr>
                <w:rFonts w:ascii="Times New Roman" w:hAnsi="Times New Roman" w:cs="Times New Roman"/>
                <w:sz w:val="24"/>
                <w:lang w:val="de-DE" w:eastAsia="ko-KR"/>
              </w:rPr>
            </w:pPr>
            <w:r>
              <w:rPr>
                <w:rFonts w:ascii="Times New Roman" w:hAnsi="Times New Roman" w:cs="Times New Roman"/>
                <w:szCs w:val="20"/>
                <w:lang w:val="de-DE" w:eastAsia="ko-KR"/>
              </w:rPr>
              <w:t>it is used after initial access only</w:t>
            </w:r>
          </w:p>
          <w:p w14:paraId="7FE092AF" w14:textId="77777777" w:rsidR="00045921" w:rsidRDefault="00045921">
            <w:pPr>
              <w:pStyle w:val="aff5"/>
              <w:rPr>
                <w:rFonts w:ascii="Times New Roman" w:hAnsi="Times New Roman" w:cs="Times New Roman"/>
                <w:szCs w:val="20"/>
                <w:lang w:val="de-DE" w:eastAsia="ko-KR"/>
              </w:rPr>
            </w:pPr>
          </w:p>
          <w:p w14:paraId="656834DD" w14:textId="77777777" w:rsidR="00045921" w:rsidRDefault="00FA6E73">
            <w:pPr>
              <w:pStyle w:val="aff5"/>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14:paraId="3B114ABC" w14:textId="77777777">
        <w:tc>
          <w:tcPr>
            <w:tcW w:w="2122" w:type="dxa"/>
          </w:tcPr>
          <w:p w14:paraId="2A785EE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66DCAE2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14:paraId="4836A23D" w14:textId="77777777">
        <w:tc>
          <w:tcPr>
            <w:tcW w:w="2122" w:type="dxa"/>
          </w:tcPr>
          <w:p w14:paraId="216CD5DB"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6754F7F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w:t>
            </w:r>
            <w:r>
              <w:rPr>
                <w:rFonts w:ascii="Times New Roman" w:eastAsia="SimSun" w:hAnsi="Times New Roman" w:cs="Times New Roman"/>
                <w:sz w:val="20"/>
                <w:szCs w:val="20"/>
                <w:lang w:eastAsia="zh-CN"/>
              </w:rPr>
              <w:t>he applicability for during and/or after initial access can be further dsicussed based on the decision in AI 8.6.1.1.</w:t>
            </w:r>
          </w:p>
          <w:p w14:paraId="41B8BA08" w14:textId="77777777" w:rsidR="00FA6E73"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following sentence </w:t>
            </w:r>
            <w:r w:rsidR="00C70A84">
              <w:rPr>
                <w:rFonts w:ascii="Times New Roman" w:eastAsia="SimSun" w:hAnsi="Times New Roman" w:cs="Times New Roman"/>
                <w:sz w:val="20"/>
                <w:szCs w:val="20"/>
                <w:lang w:eastAsia="zh-CN"/>
              </w:rPr>
              <w:t xml:space="preserve">requires explicit agreement in AI 8.6.1.1, we suggest to put it in bracket for now. </w:t>
            </w:r>
          </w:p>
          <w:p w14:paraId="66C5AACF" w14:textId="77777777" w:rsidR="00C70A84" w:rsidRPr="00C70A84" w:rsidRDefault="00C70A84">
            <w:pPr>
              <w:rPr>
                <w:rFonts w:ascii="Times New Roman" w:eastAsia="SimSun" w:hAnsi="Times New Roman" w:cs="Times New Roman"/>
                <w:sz w:val="20"/>
                <w:szCs w:val="20"/>
                <w:lang w:eastAsia="zh-CN"/>
              </w:rPr>
            </w:pPr>
            <w:r w:rsidRPr="00C70A84">
              <w:rPr>
                <w:rFonts w:ascii="Times New Roman" w:hAnsi="Times New Roman"/>
                <w:b/>
                <w:szCs w:val="20"/>
              </w:rPr>
              <w:t>If When the parameter is not present, RedCap UEs use the same SIB-configured initial DL BWP as non-RedCap UEs if it is does not larger than exceed the RedCap UE maximum bandwidth, otherwise the RedCap UEs will continue using the MIB-configured initial DL BWP.</w:t>
            </w:r>
          </w:p>
        </w:tc>
      </w:tr>
      <w:tr w:rsidR="002B2942" w14:paraId="758F50F0" w14:textId="77777777">
        <w:tc>
          <w:tcPr>
            <w:tcW w:w="2122" w:type="dxa"/>
          </w:tcPr>
          <w:p w14:paraId="1D78AD68" w14:textId="512BCF59" w:rsidR="002B2942" w:rsidRPr="002B2942" w:rsidRDefault="002B2942">
            <w:pPr>
              <w:rPr>
                <w:rFonts w:ascii="Times New Roman" w:eastAsiaTheme="minorEastAsia" w:hAnsi="Times New Roman" w:cs="Times New Roman" w:hint="eastAsia"/>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19136" w:type="dxa"/>
          </w:tcPr>
          <w:p w14:paraId="18BE70F6" w14:textId="77777777" w:rsidR="002B2942" w:rsidRDefault="002B2942" w:rsidP="002B2942">
            <w:pP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F</w:t>
            </w:r>
            <w:r>
              <w:rPr>
                <w:rFonts w:ascii="Times New Roman" w:eastAsiaTheme="minorEastAsia" w:hAnsi="Times New Roman" w:cs="Times New Roman"/>
                <w:szCs w:val="20"/>
                <w:lang w:eastAsia="ja-JP"/>
              </w:rPr>
              <w:t>irstly, agree with vivo that bracket should be added on the sentence cited above by vivo.</w:t>
            </w:r>
          </w:p>
          <w:p w14:paraId="5D0048DC" w14:textId="77777777" w:rsidR="002B2942" w:rsidRDefault="002B2942" w:rsidP="002B2942">
            <w:pP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 xml:space="preserve">Secondly, as per Qualcomm and ZTE’s comments, UE behaviour is also not clear to us on the absense </w:t>
            </w:r>
            <w:r>
              <w:rPr>
                <w:rFonts w:ascii="Times New Roman" w:eastAsiaTheme="minorEastAsia" w:hAnsi="Times New Roman" w:cs="Times New Roman" w:hint="eastAsia"/>
                <w:szCs w:val="20"/>
                <w:lang w:eastAsia="ja-JP"/>
              </w:rPr>
              <w:t>o</w:t>
            </w:r>
            <w:r>
              <w:rPr>
                <w:rFonts w:ascii="Times New Roman" w:eastAsiaTheme="minorEastAsia" w:hAnsi="Times New Roman" w:cs="Times New Roman"/>
                <w:szCs w:val="20"/>
                <w:lang w:eastAsia="ja-JP"/>
              </w:rPr>
              <w:t xml:space="preserve">r presense of (part of) the seperate initial DL BWP configuration. </w:t>
            </w:r>
            <w:r>
              <w:rPr>
                <w:rFonts w:ascii="Times New Roman" w:eastAsiaTheme="minorEastAsia" w:hAnsi="Times New Roman" w:cs="Times New Roman" w:hint="eastAsia"/>
                <w:szCs w:val="20"/>
                <w:lang w:eastAsia="ja-JP"/>
              </w:rPr>
              <w:t>G</w:t>
            </w:r>
            <w:r>
              <w:rPr>
                <w:rFonts w:ascii="Times New Roman" w:eastAsiaTheme="minorEastAsia" w:hAnsi="Times New Roman" w:cs="Times New Roman"/>
                <w:szCs w:val="20"/>
                <w:lang w:eastAsia="ja-JP"/>
              </w:rPr>
              <w:t>enerally, seperate intitial DL BWP configuration possibly includes generic parameter BWP, PDCCH_configcommon and PDSCH_configcommon.</w:t>
            </w:r>
            <w:r>
              <w:t xml:space="preserve"> </w:t>
            </w:r>
            <w:r>
              <w:rPr>
                <w:rFonts w:ascii="Times New Roman" w:eastAsiaTheme="minorEastAsia" w:hAnsi="Times New Roman" w:cs="Times New Roman" w:hint="eastAsia"/>
                <w:szCs w:val="20"/>
                <w:lang w:eastAsia="ja-JP"/>
              </w:rPr>
              <w:t>I</w:t>
            </w:r>
            <w:r>
              <w:rPr>
                <w:rFonts w:ascii="Times New Roman" w:eastAsiaTheme="minorEastAsia" w:hAnsi="Times New Roman" w:cs="Times New Roman"/>
                <w:szCs w:val="20"/>
                <w:lang w:eastAsia="ja-JP"/>
              </w:rPr>
              <w:t xml:space="preserve">n our view, generic paramter </w:t>
            </w:r>
            <w:r w:rsidRPr="007C6E90">
              <w:rPr>
                <w:rFonts w:ascii="Times New Roman" w:eastAsiaTheme="minorEastAsia" w:hAnsi="Times New Roman" w:cs="Times New Roman"/>
                <w:i/>
                <w:iCs/>
                <w:szCs w:val="20"/>
                <w:lang w:eastAsia="ja-JP"/>
              </w:rPr>
              <w:t>BWP</w:t>
            </w:r>
            <w:r>
              <w:rPr>
                <w:rFonts w:ascii="Times New Roman" w:eastAsiaTheme="minorEastAsia" w:hAnsi="Times New Roman" w:cs="Times New Roman"/>
                <w:szCs w:val="20"/>
                <w:lang w:eastAsia="ja-JP"/>
              </w:rPr>
              <w:t xml:space="preserve"> should be present in the seperate initial DL BWP configuration. (Part of ) PDCCH configuration may be present or absent. For example, if a CSS configuration is absent in the separate initial DL BWP configuration, which one below should be RedCap UE behaviour? </w:t>
            </w:r>
          </w:p>
          <w:p w14:paraId="6EF8024D" w14:textId="77777777" w:rsidR="002B2942" w:rsidRPr="000733FF" w:rsidRDefault="002B2942" w:rsidP="002B2942">
            <w:pPr>
              <w:pStyle w:val="aff5"/>
              <w:numPr>
                <w:ilvl w:val="0"/>
                <w:numId w:val="21"/>
              </w:numPr>
              <w:rPr>
                <w:rFonts w:ascii="Times New Roman" w:eastAsiaTheme="minorEastAsia" w:hAnsi="Times New Roman" w:cs="Times New Roman"/>
                <w:szCs w:val="20"/>
                <w:lang w:val="de-DE" w:eastAsia="ja-JP"/>
              </w:rPr>
            </w:pPr>
            <w:r w:rsidRPr="000733FF">
              <w:rPr>
                <w:rFonts w:ascii="Times New Roman" w:eastAsiaTheme="minorEastAsia" w:hAnsi="Times New Roman" w:cs="Times New Roman" w:hint="eastAsia"/>
                <w:szCs w:val="20"/>
                <w:lang w:val="de-DE" w:eastAsia="ja-JP"/>
              </w:rPr>
              <w:t>A</w:t>
            </w:r>
            <w:r w:rsidRPr="000733FF">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A</w:t>
            </w:r>
            <w:r w:rsidRPr="000733FF">
              <w:rPr>
                <w:rFonts w:ascii="Times New Roman" w:eastAsiaTheme="minorEastAsia" w:hAnsi="Times New Roman" w:cs="Times New Roman"/>
                <w:szCs w:val="20"/>
                <w:lang w:val="de-DE" w:eastAsia="ja-JP"/>
              </w:rPr>
              <w:t>1:</w:t>
            </w:r>
            <w:r>
              <w:rPr>
                <w:rFonts w:ascii="Times New Roman" w:eastAsiaTheme="minorEastAsia" w:hAnsi="Times New Roman" w:cs="Times New Roman"/>
                <w:szCs w:val="20"/>
                <w:lang w:val="de-DE" w:eastAsia="ja-JP"/>
              </w:rPr>
              <w:t xml:space="preserve"> </w:t>
            </w:r>
            <w:proofErr w:type="spellStart"/>
            <w:r w:rsidRPr="000733FF">
              <w:rPr>
                <w:rFonts w:ascii="Times New Roman" w:eastAsiaTheme="minorEastAsia" w:hAnsi="Times New Roman" w:cs="Times New Roman"/>
                <w:szCs w:val="20"/>
                <w:lang w:val="en-US" w:eastAsia="ja-JP"/>
              </w:rPr>
              <w:t>RedCap</w:t>
            </w:r>
            <w:proofErr w:type="spellEnd"/>
            <w:r w:rsidRPr="000733FF">
              <w:rPr>
                <w:rFonts w:ascii="Times New Roman" w:eastAsiaTheme="minorEastAsia" w:hAnsi="Times New Roman" w:cs="Times New Roman"/>
                <w:szCs w:val="20"/>
                <w:lang w:val="en-US" w:eastAsia="ja-JP"/>
              </w:rPr>
              <w:t xml:space="preserve"> UE monitor</w:t>
            </w:r>
            <w:r>
              <w:rPr>
                <w:rFonts w:ascii="Times New Roman" w:eastAsiaTheme="minorEastAsia" w:hAnsi="Times New Roman" w:cs="Times New Roman"/>
                <w:szCs w:val="20"/>
                <w:lang w:val="en-US" w:eastAsia="ja-JP"/>
              </w:rPr>
              <w:t>s</w:t>
            </w:r>
            <w:r w:rsidRPr="000733FF">
              <w:rPr>
                <w:rFonts w:ascii="Times New Roman" w:eastAsiaTheme="minorEastAsia" w:hAnsi="Times New Roman" w:cs="Times New Roman"/>
                <w:szCs w:val="20"/>
                <w:lang w:val="en-US" w:eastAsia="ja-JP"/>
              </w:rPr>
              <w:t xml:space="preserve"> PDCCH for </w:t>
            </w:r>
            <w:r>
              <w:rPr>
                <w:rFonts w:ascii="Times New Roman" w:eastAsiaTheme="minorEastAsia" w:hAnsi="Times New Roman" w:cs="Times New Roman"/>
                <w:szCs w:val="20"/>
                <w:lang w:val="en-US" w:eastAsia="ja-JP"/>
              </w:rPr>
              <w:t xml:space="preserve">the </w:t>
            </w:r>
            <w:r w:rsidRPr="000733FF">
              <w:rPr>
                <w:rFonts w:ascii="Times New Roman" w:eastAsiaTheme="minorEastAsia" w:hAnsi="Times New Roman" w:cs="Times New Roman"/>
                <w:szCs w:val="20"/>
                <w:lang w:val="en-US" w:eastAsia="ja-JP"/>
              </w:rPr>
              <w:t xml:space="preserve">CSS </w:t>
            </w:r>
            <w:r>
              <w:rPr>
                <w:rFonts w:ascii="Times New Roman" w:eastAsiaTheme="minorEastAsia" w:hAnsi="Times New Roman" w:cs="Times New Roman"/>
                <w:szCs w:val="20"/>
                <w:lang w:val="en-US" w:eastAsia="ja-JP"/>
              </w:rPr>
              <w:t>in the CORESET configured by MIB or legacy initial DL BWP configuration in the IDLE state</w:t>
            </w:r>
            <w:r>
              <w:rPr>
                <w:rFonts w:ascii="Times New Roman" w:eastAsiaTheme="minorEastAsia" w:hAnsi="Times New Roman" w:cs="Times New Roman"/>
                <w:szCs w:val="20"/>
                <w:lang w:val="de-DE" w:eastAsia="ja-JP"/>
              </w:rPr>
              <w:t>/during initial access</w:t>
            </w:r>
            <w:r>
              <w:rPr>
                <w:rFonts w:ascii="Times New Roman" w:eastAsiaTheme="minorEastAsia" w:hAnsi="Times New Roman" w:cs="Times New Roman"/>
                <w:szCs w:val="20"/>
                <w:lang w:val="en-US" w:eastAsia="ja-JP"/>
              </w:rPr>
              <w:t xml:space="preserve"> and</w:t>
            </w:r>
            <w:r w:rsidRPr="0097549C">
              <w:rPr>
                <w:rFonts w:ascii="Times New Roman" w:eastAsiaTheme="minorEastAsia" w:hAnsi="Times New Roman" w:cs="Times New Roman"/>
                <w:szCs w:val="20"/>
                <w:lang w:val="en-US" w:eastAsia="ja-JP"/>
              </w:rPr>
              <w:t xml:space="preserve"> does not monitor</w:t>
            </w:r>
            <w:r w:rsidRPr="00EE7682">
              <w:rPr>
                <w:rFonts w:ascii="Times New Roman" w:eastAsiaTheme="minorEastAsia" w:hAnsi="Times New Roman" w:cs="Times New Roman"/>
                <w:b/>
                <w:bCs/>
                <w:szCs w:val="20"/>
                <w:lang w:val="en-US" w:eastAsia="ja-JP"/>
              </w:rPr>
              <w:t xml:space="preserve"> </w:t>
            </w:r>
            <w:r>
              <w:rPr>
                <w:rFonts w:ascii="Times New Roman" w:eastAsiaTheme="minorEastAsia" w:hAnsi="Times New Roman" w:cs="Times New Roman"/>
                <w:szCs w:val="20"/>
                <w:lang w:val="en-US" w:eastAsia="ja-JP"/>
              </w:rPr>
              <w:t xml:space="preserve">PDCCH for the CSS </w:t>
            </w:r>
            <w:r w:rsidRPr="000733FF">
              <w:rPr>
                <w:rFonts w:ascii="Times New Roman" w:eastAsiaTheme="minorEastAsia" w:hAnsi="Times New Roman" w:cs="Times New Roman"/>
                <w:szCs w:val="20"/>
                <w:lang w:val="en-US" w:eastAsia="ja-JP"/>
              </w:rPr>
              <w:t>after initial access</w:t>
            </w:r>
          </w:p>
          <w:p w14:paraId="3B7D30C5" w14:textId="77777777" w:rsidR="002B2942" w:rsidRDefault="002B2942" w:rsidP="002B2942">
            <w:pPr>
              <w:pStyle w:val="aff5"/>
              <w:numPr>
                <w:ilvl w:val="0"/>
                <w:numId w:val="21"/>
              </w:numPr>
              <w:rPr>
                <w:rFonts w:ascii="Times New Roman" w:eastAsiaTheme="minorEastAsia" w:hAnsi="Times New Roman" w:cs="Times New Roman"/>
                <w:szCs w:val="20"/>
                <w:lang w:val="de-DE" w:eastAsia="ja-JP"/>
              </w:rPr>
            </w:pPr>
            <w:r w:rsidRPr="00EE7682">
              <w:rPr>
                <w:rFonts w:ascii="Times New Roman" w:eastAsiaTheme="minorEastAsia" w:hAnsi="Times New Roman" w:cs="Times New Roman" w:hint="eastAsia"/>
                <w:szCs w:val="20"/>
                <w:lang w:val="de-DE" w:eastAsia="ja-JP"/>
              </w:rPr>
              <w:t>A</w:t>
            </w:r>
            <w:r w:rsidRPr="00EE7682">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A2</w:t>
            </w:r>
            <w:r w:rsidRPr="00EE7682">
              <w:rPr>
                <w:rFonts w:ascii="Times New Roman" w:eastAsiaTheme="minorEastAsia" w:hAnsi="Times New Roman" w:cs="Times New Roman"/>
                <w:szCs w:val="20"/>
                <w:lang w:val="de-DE" w:eastAsia="ja-JP"/>
              </w:rPr>
              <w:t>: RedCap UE monitor</w:t>
            </w:r>
            <w:r>
              <w:rPr>
                <w:rFonts w:ascii="Times New Roman" w:eastAsiaTheme="minorEastAsia" w:hAnsi="Times New Roman" w:cs="Times New Roman"/>
                <w:szCs w:val="20"/>
                <w:lang w:val="de-DE" w:eastAsia="ja-JP"/>
              </w:rPr>
              <w:t>s</w:t>
            </w:r>
            <w:r w:rsidRPr="00EE7682">
              <w:rPr>
                <w:rFonts w:ascii="Times New Roman" w:eastAsiaTheme="minorEastAsia" w:hAnsi="Times New Roman" w:cs="Times New Roman"/>
                <w:szCs w:val="20"/>
                <w:lang w:val="de-DE" w:eastAsia="ja-JP"/>
              </w:rPr>
              <w:t xml:space="preserve"> PDCCH for </w:t>
            </w:r>
            <w:r>
              <w:rPr>
                <w:rFonts w:ascii="Times New Roman" w:eastAsiaTheme="minorEastAsia" w:hAnsi="Times New Roman" w:cs="Times New Roman"/>
                <w:szCs w:val="20"/>
                <w:lang w:val="de-DE" w:eastAsia="ja-JP"/>
              </w:rPr>
              <w:t>the</w:t>
            </w:r>
            <w:r w:rsidRPr="00EE7682">
              <w:rPr>
                <w:rFonts w:ascii="Times New Roman" w:eastAsiaTheme="minorEastAsia" w:hAnsi="Times New Roman" w:cs="Times New Roman"/>
                <w:szCs w:val="20"/>
                <w:lang w:val="de-DE" w:eastAsia="ja-JP"/>
              </w:rPr>
              <w:t xml:space="preserve"> CSS </w:t>
            </w:r>
            <w:r>
              <w:rPr>
                <w:rFonts w:ascii="Times New Roman" w:eastAsiaTheme="minorEastAsia" w:hAnsi="Times New Roman" w:cs="Times New Roman"/>
                <w:szCs w:val="20"/>
                <w:lang w:val="en-US" w:eastAsia="ja-JP"/>
              </w:rPr>
              <w:t>in the CORESET configured by MIB or legacy initial DL BWP configuration</w:t>
            </w:r>
            <w:r w:rsidRPr="00EE7682">
              <w:rPr>
                <w:rFonts w:ascii="Times New Roman" w:eastAsiaTheme="minorEastAsia" w:hAnsi="Times New Roman" w:cs="Times New Roman"/>
                <w:szCs w:val="20"/>
                <w:lang w:val="de-DE" w:eastAsia="ja-JP"/>
              </w:rPr>
              <w:t xml:space="preserve"> in the IDLE state</w:t>
            </w:r>
            <w:r>
              <w:rPr>
                <w:rFonts w:ascii="Times New Roman" w:eastAsiaTheme="minorEastAsia" w:hAnsi="Times New Roman" w:cs="Times New Roman"/>
                <w:szCs w:val="20"/>
                <w:lang w:val="de-DE" w:eastAsia="ja-JP"/>
              </w:rPr>
              <w:t>/during initial access</w:t>
            </w:r>
            <w:r w:rsidRPr="00EE7682">
              <w:rPr>
                <w:rFonts w:ascii="Times New Roman" w:eastAsiaTheme="minorEastAsia" w:hAnsi="Times New Roman" w:cs="Times New Roman"/>
                <w:szCs w:val="20"/>
                <w:lang w:val="de-DE" w:eastAsia="ja-JP"/>
              </w:rPr>
              <w:t xml:space="preserve"> and after initial access.</w:t>
            </w:r>
          </w:p>
          <w:p w14:paraId="4CC4C584" w14:textId="77777777" w:rsidR="002B2942" w:rsidRPr="001B0324" w:rsidRDefault="002B2942" w:rsidP="002B2942">
            <w:pPr>
              <w:pStyle w:val="aff5"/>
              <w:numPr>
                <w:ilvl w:val="0"/>
                <w:numId w:val="21"/>
              </w:numPr>
              <w:rPr>
                <w:rFonts w:ascii="Times New Roman" w:eastAsiaTheme="minorEastAsia" w:hAnsi="Times New Roman" w:cs="Times New Roman"/>
                <w:szCs w:val="20"/>
                <w:lang w:val="de-DE" w:eastAsia="ja-JP"/>
              </w:rPr>
            </w:pPr>
            <w:r w:rsidRPr="0097549C">
              <w:rPr>
                <w:rFonts w:ascii="Times New Roman" w:eastAsiaTheme="minorEastAsia" w:hAnsi="Times New Roman" w:cs="Times New Roman" w:hint="eastAsia"/>
                <w:szCs w:val="20"/>
                <w:lang w:val="de-DE" w:eastAsia="ja-JP"/>
              </w:rPr>
              <w:t>A</w:t>
            </w:r>
            <w:r w:rsidRPr="0097549C">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A</w:t>
            </w:r>
            <w:r w:rsidRPr="0097549C">
              <w:rPr>
                <w:rFonts w:ascii="Times New Roman" w:eastAsiaTheme="minorEastAsia" w:hAnsi="Times New Roman" w:cs="Times New Roman"/>
                <w:szCs w:val="20"/>
                <w:lang w:val="de-DE" w:eastAsia="ja-JP"/>
              </w:rPr>
              <w:t xml:space="preserve">3: </w:t>
            </w:r>
            <w:proofErr w:type="spellStart"/>
            <w:r w:rsidRPr="0097549C">
              <w:rPr>
                <w:rFonts w:ascii="Times New Roman" w:eastAsiaTheme="minorEastAsia" w:hAnsi="Times New Roman" w:cs="Times New Roman"/>
                <w:szCs w:val="20"/>
                <w:lang w:val="en-US" w:eastAsia="ja-JP"/>
              </w:rPr>
              <w:t>RedCap</w:t>
            </w:r>
            <w:proofErr w:type="spellEnd"/>
            <w:r w:rsidRPr="0097549C">
              <w:rPr>
                <w:rFonts w:ascii="Times New Roman" w:eastAsiaTheme="minorEastAsia" w:hAnsi="Times New Roman" w:cs="Times New Roman"/>
                <w:szCs w:val="20"/>
                <w:lang w:val="en-US" w:eastAsia="ja-JP"/>
              </w:rPr>
              <w:t xml:space="preserve"> UE does not monitor PDCCH for the CSS in the IDLE state</w:t>
            </w:r>
            <w:r w:rsidRPr="0097549C">
              <w:rPr>
                <w:rFonts w:ascii="Times New Roman" w:eastAsiaTheme="minorEastAsia" w:hAnsi="Times New Roman" w:cs="Times New Roman"/>
                <w:szCs w:val="20"/>
                <w:lang w:val="de-DE" w:eastAsia="ja-JP"/>
              </w:rPr>
              <w:t>/during initial access</w:t>
            </w:r>
            <w:r w:rsidRPr="0097549C">
              <w:rPr>
                <w:rFonts w:ascii="Times New Roman" w:eastAsiaTheme="minorEastAsia" w:hAnsi="Times New Roman" w:cs="Times New Roman"/>
                <w:szCs w:val="20"/>
                <w:lang w:val="en-US" w:eastAsia="ja-JP"/>
              </w:rPr>
              <w:t xml:space="preserve"> and after initial access</w:t>
            </w:r>
          </w:p>
          <w:p w14:paraId="33DA2B86" w14:textId="77777777" w:rsidR="002B2942" w:rsidRDefault="002B2942" w:rsidP="002B2942">
            <w:pPr>
              <w:rPr>
                <w:rFonts w:ascii="Times New Roman" w:eastAsiaTheme="minorEastAsia" w:hAnsi="Times New Roman" w:cs="Times New Roman"/>
                <w:szCs w:val="20"/>
                <w:lang w:eastAsia="ja-JP"/>
              </w:rPr>
            </w:pPr>
            <w:r w:rsidRPr="0097549C">
              <w:rPr>
                <w:rFonts w:ascii="Times New Roman" w:eastAsiaTheme="minorEastAsia" w:hAnsi="Times New Roman" w:cs="Times New Roman" w:hint="eastAsia"/>
                <w:szCs w:val="20"/>
                <w:lang w:eastAsia="ja-JP"/>
              </w:rPr>
              <w:t>O</w:t>
            </w:r>
            <w:r w:rsidRPr="0097549C">
              <w:rPr>
                <w:rFonts w:ascii="Times New Roman" w:eastAsiaTheme="minorEastAsia" w:hAnsi="Times New Roman" w:cs="Times New Roman"/>
                <w:szCs w:val="20"/>
                <w:lang w:eastAsia="ja-JP"/>
              </w:rPr>
              <w:t>n the other hand, if a</w:t>
            </w:r>
            <w:r>
              <w:rPr>
                <w:rFonts w:ascii="Times New Roman" w:eastAsiaTheme="minorEastAsia" w:hAnsi="Times New Roman" w:cs="Times New Roman"/>
                <w:szCs w:val="20"/>
                <w:lang w:eastAsia="ja-JP"/>
              </w:rPr>
              <w:t xml:space="preserve"> CSS configuration is present in the separate initial DL BWP configuration, then which one below should be the RedCap UE behaviour?</w:t>
            </w:r>
          </w:p>
          <w:p w14:paraId="53C493F6" w14:textId="77777777" w:rsidR="002B2942" w:rsidRPr="00C7623B" w:rsidRDefault="002B2942" w:rsidP="002B2942">
            <w:pPr>
              <w:pStyle w:val="aff5"/>
              <w:numPr>
                <w:ilvl w:val="0"/>
                <w:numId w:val="21"/>
              </w:numPr>
              <w:rPr>
                <w:rFonts w:ascii="Times New Roman" w:eastAsiaTheme="minorEastAsia" w:hAnsi="Times New Roman" w:cs="Times New Roman" w:hint="eastAsia"/>
                <w:szCs w:val="20"/>
                <w:lang w:val="de-DE" w:eastAsia="ja-JP"/>
              </w:rPr>
            </w:pPr>
            <w:r w:rsidRPr="000733FF">
              <w:rPr>
                <w:rFonts w:ascii="Times New Roman" w:eastAsiaTheme="minorEastAsia" w:hAnsi="Times New Roman" w:cs="Times New Roman" w:hint="eastAsia"/>
                <w:szCs w:val="20"/>
                <w:lang w:val="de-DE" w:eastAsia="ja-JP"/>
              </w:rPr>
              <w:t>A</w:t>
            </w:r>
            <w:r w:rsidRPr="000733FF">
              <w:rPr>
                <w:rFonts w:ascii="Times New Roman" w:eastAsiaTheme="minorEastAsia" w:hAnsi="Times New Roman" w:cs="Times New Roman"/>
                <w:szCs w:val="20"/>
                <w:lang w:val="de-DE" w:eastAsia="ja-JP"/>
              </w:rPr>
              <w:t>lt.</w:t>
            </w:r>
            <w:r>
              <w:rPr>
                <w:rFonts w:ascii="Times New Roman" w:eastAsiaTheme="minorEastAsia" w:hAnsi="Times New Roman" w:cs="Times New Roman"/>
                <w:szCs w:val="20"/>
                <w:lang w:val="de-DE" w:eastAsia="ja-JP"/>
              </w:rPr>
              <w:t>B</w:t>
            </w:r>
            <w:r w:rsidRPr="000733FF">
              <w:rPr>
                <w:rFonts w:ascii="Times New Roman" w:eastAsiaTheme="minorEastAsia" w:hAnsi="Times New Roman" w:cs="Times New Roman"/>
                <w:szCs w:val="20"/>
                <w:lang w:val="de-DE" w:eastAsia="ja-JP"/>
              </w:rPr>
              <w:t>1:</w:t>
            </w:r>
            <w:r>
              <w:rPr>
                <w:rFonts w:ascii="Times New Roman" w:eastAsiaTheme="minorEastAsia" w:hAnsi="Times New Roman" w:cs="Times New Roman"/>
                <w:szCs w:val="20"/>
                <w:lang w:val="de-DE" w:eastAsia="ja-JP"/>
              </w:rPr>
              <w:t xml:space="preserve"> </w:t>
            </w:r>
            <w:proofErr w:type="spellStart"/>
            <w:r w:rsidRPr="000733FF">
              <w:rPr>
                <w:rFonts w:ascii="Times New Roman" w:eastAsiaTheme="minorEastAsia" w:hAnsi="Times New Roman" w:cs="Times New Roman"/>
                <w:szCs w:val="20"/>
                <w:lang w:val="en-US" w:eastAsia="ja-JP"/>
              </w:rPr>
              <w:t>RedCap</w:t>
            </w:r>
            <w:proofErr w:type="spellEnd"/>
            <w:r w:rsidRPr="000733FF">
              <w:rPr>
                <w:rFonts w:ascii="Times New Roman" w:eastAsiaTheme="minorEastAsia" w:hAnsi="Times New Roman" w:cs="Times New Roman"/>
                <w:szCs w:val="20"/>
                <w:lang w:val="en-US" w:eastAsia="ja-JP"/>
              </w:rPr>
              <w:t xml:space="preserve"> UE </w:t>
            </w:r>
            <w:r>
              <w:rPr>
                <w:rFonts w:ascii="Times New Roman" w:eastAsiaTheme="minorEastAsia" w:hAnsi="Times New Roman" w:cs="Times New Roman"/>
                <w:szCs w:val="20"/>
                <w:lang w:val="en-US" w:eastAsia="ja-JP"/>
              </w:rPr>
              <w:t>monitors</w:t>
            </w:r>
            <w:r w:rsidRPr="000733FF">
              <w:rPr>
                <w:rFonts w:ascii="Times New Roman" w:eastAsiaTheme="minorEastAsia" w:hAnsi="Times New Roman" w:cs="Times New Roman"/>
                <w:szCs w:val="20"/>
                <w:lang w:val="en-US" w:eastAsia="ja-JP"/>
              </w:rPr>
              <w:t xml:space="preserve"> PDCCH for </w:t>
            </w:r>
            <w:r>
              <w:rPr>
                <w:rFonts w:ascii="Times New Roman" w:eastAsiaTheme="minorEastAsia" w:hAnsi="Times New Roman" w:cs="Times New Roman"/>
                <w:szCs w:val="20"/>
                <w:lang w:val="en-US" w:eastAsia="ja-JP"/>
              </w:rPr>
              <w:t xml:space="preserve">the </w:t>
            </w:r>
            <w:r w:rsidRPr="000733FF">
              <w:rPr>
                <w:rFonts w:ascii="Times New Roman" w:eastAsiaTheme="minorEastAsia" w:hAnsi="Times New Roman" w:cs="Times New Roman"/>
                <w:szCs w:val="20"/>
                <w:lang w:val="en-US" w:eastAsia="ja-JP"/>
              </w:rPr>
              <w:t xml:space="preserve">CSS </w:t>
            </w:r>
            <w:r>
              <w:rPr>
                <w:rFonts w:ascii="Times New Roman" w:eastAsiaTheme="minorEastAsia" w:hAnsi="Times New Roman" w:cs="Times New Roman"/>
                <w:szCs w:val="20"/>
                <w:lang w:val="en-US" w:eastAsia="ja-JP"/>
              </w:rPr>
              <w:t>in the CORESET configured by MIB or legacy initial DL BWP in the IDLE state</w:t>
            </w:r>
            <w:r>
              <w:rPr>
                <w:rFonts w:ascii="Times New Roman" w:eastAsiaTheme="minorEastAsia" w:hAnsi="Times New Roman" w:cs="Times New Roman"/>
                <w:szCs w:val="20"/>
                <w:lang w:val="de-DE" w:eastAsia="ja-JP"/>
              </w:rPr>
              <w:t>/during initial access</w:t>
            </w:r>
            <w:r>
              <w:rPr>
                <w:rFonts w:ascii="Times New Roman" w:eastAsiaTheme="minorEastAsia" w:hAnsi="Times New Roman" w:cs="Times New Roman"/>
                <w:szCs w:val="20"/>
                <w:lang w:val="en-US" w:eastAsia="ja-JP"/>
              </w:rPr>
              <w:t xml:space="preserve"> and</w:t>
            </w:r>
            <w:r w:rsidRPr="00EE7682">
              <w:rPr>
                <w:rFonts w:ascii="Times New Roman" w:eastAsiaTheme="minorEastAsia" w:hAnsi="Times New Roman" w:cs="Times New Roman"/>
                <w:b/>
                <w:bCs/>
                <w:szCs w:val="20"/>
                <w:lang w:val="en-US" w:eastAsia="ja-JP"/>
              </w:rPr>
              <w:t xml:space="preserve"> </w:t>
            </w:r>
            <w:r w:rsidRPr="0097549C">
              <w:rPr>
                <w:rFonts w:ascii="Times New Roman" w:eastAsiaTheme="minorEastAsia" w:hAnsi="Times New Roman" w:cs="Times New Roman"/>
                <w:szCs w:val="20"/>
                <w:lang w:val="en-US" w:eastAsia="ja-JP"/>
              </w:rPr>
              <w:t>monitors</w:t>
            </w:r>
            <w:r w:rsidRPr="00EE7682">
              <w:rPr>
                <w:rFonts w:ascii="Times New Roman" w:eastAsiaTheme="minorEastAsia" w:hAnsi="Times New Roman" w:cs="Times New Roman"/>
                <w:b/>
                <w:bCs/>
                <w:szCs w:val="20"/>
                <w:lang w:val="en-US" w:eastAsia="ja-JP"/>
              </w:rPr>
              <w:t xml:space="preserve"> </w:t>
            </w:r>
            <w:r>
              <w:rPr>
                <w:rFonts w:ascii="Times New Roman" w:eastAsiaTheme="minorEastAsia" w:hAnsi="Times New Roman" w:cs="Times New Roman"/>
                <w:szCs w:val="20"/>
                <w:lang w:val="en-US" w:eastAsia="ja-JP"/>
              </w:rPr>
              <w:t xml:space="preserve">PDCCH for the CSS in the CORESET configured by the separate initial DL BWP </w:t>
            </w:r>
            <w:r w:rsidRPr="000733FF">
              <w:rPr>
                <w:rFonts w:ascii="Times New Roman" w:eastAsiaTheme="minorEastAsia" w:hAnsi="Times New Roman" w:cs="Times New Roman"/>
                <w:szCs w:val="20"/>
                <w:lang w:val="en-US" w:eastAsia="ja-JP"/>
              </w:rPr>
              <w:t>after initial access</w:t>
            </w:r>
          </w:p>
          <w:p w14:paraId="376D2DDE" w14:textId="77777777" w:rsidR="002B2942" w:rsidRPr="00C7623B" w:rsidRDefault="002B2942" w:rsidP="002B2942">
            <w:pPr>
              <w:pStyle w:val="aff5"/>
              <w:numPr>
                <w:ilvl w:val="0"/>
                <w:numId w:val="21"/>
              </w:numPr>
              <w:rPr>
                <w:rFonts w:ascii="Times New Roman" w:eastAsiaTheme="minorEastAsia" w:hAnsi="Times New Roman" w:cs="Times New Roman"/>
                <w:szCs w:val="20"/>
                <w:lang w:val="de-DE" w:eastAsia="ja-JP"/>
              </w:rPr>
            </w:pPr>
            <w:r w:rsidRPr="00C7623B">
              <w:rPr>
                <w:rFonts w:ascii="Times New Roman" w:eastAsiaTheme="minorEastAsia" w:hAnsi="Times New Roman" w:cs="Times New Roman"/>
                <w:szCs w:val="20"/>
                <w:lang w:val="en-US" w:eastAsia="ja-JP"/>
              </w:rPr>
              <w:t xml:space="preserve">Alt.B2: </w:t>
            </w:r>
            <w:proofErr w:type="spellStart"/>
            <w:r w:rsidRPr="0097549C">
              <w:rPr>
                <w:rFonts w:ascii="Times New Roman" w:eastAsiaTheme="minorEastAsia" w:hAnsi="Times New Roman" w:cs="Times New Roman"/>
                <w:szCs w:val="20"/>
                <w:lang w:val="en-US" w:eastAsia="ja-JP"/>
              </w:rPr>
              <w:t>RedCap</w:t>
            </w:r>
            <w:proofErr w:type="spellEnd"/>
            <w:r w:rsidRPr="0097549C">
              <w:rPr>
                <w:rFonts w:ascii="Times New Roman" w:eastAsiaTheme="minorEastAsia" w:hAnsi="Times New Roman" w:cs="Times New Roman"/>
                <w:szCs w:val="20"/>
                <w:lang w:val="en-US" w:eastAsia="ja-JP"/>
              </w:rPr>
              <w:t xml:space="preserve"> UE monitors PDCCH for the CSS </w:t>
            </w:r>
            <w:r>
              <w:rPr>
                <w:rFonts w:ascii="Times New Roman" w:eastAsiaTheme="minorEastAsia" w:hAnsi="Times New Roman" w:cs="Times New Roman"/>
                <w:szCs w:val="20"/>
                <w:lang w:val="en-US" w:eastAsia="ja-JP"/>
              </w:rPr>
              <w:t>in the</w:t>
            </w:r>
            <w:r w:rsidRPr="0097549C">
              <w:rPr>
                <w:rFonts w:ascii="Times New Roman" w:eastAsiaTheme="minorEastAsia" w:hAnsi="Times New Roman" w:cs="Times New Roman"/>
                <w:szCs w:val="20"/>
                <w:lang w:val="en-US" w:eastAsia="ja-JP"/>
              </w:rPr>
              <w:t xml:space="preserve"> CORESET configured in the separate initial DL BWP </w:t>
            </w:r>
            <w:r>
              <w:rPr>
                <w:rFonts w:ascii="Times New Roman" w:eastAsiaTheme="minorEastAsia" w:hAnsi="Times New Roman" w:cs="Times New Roman"/>
                <w:szCs w:val="20"/>
                <w:lang w:val="en-US" w:eastAsia="ja-JP"/>
              </w:rPr>
              <w:t xml:space="preserve">configuration </w:t>
            </w:r>
            <w:r w:rsidRPr="0097549C">
              <w:rPr>
                <w:rFonts w:ascii="Times New Roman" w:eastAsiaTheme="minorEastAsia" w:hAnsi="Times New Roman" w:cs="Times New Roman"/>
                <w:szCs w:val="20"/>
                <w:lang w:val="en-US" w:eastAsia="ja-JP"/>
              </w:rPr>
              <w:t>in the IDLE state</w:t>
            </w:r>
            <w:r w:rsidRPr="0097549C">
              <w:rPr>
                <w:rFonts w:ascii="Times New Roman" w:eastAsiaTheme="minorEastAsia" w:hAnsi="Times New Roman" w:cs="Times New Roman"/>
                <w:szCs w:val="20"/>
                <w:lang w:val="de-DE" w:eastAsia="ja-JP"/>
              </w:rPr>
              <w:t>/during initial access</w:t>
            </w:r>
            <w:r w:rsidRPr="0097549C">
              <w:rPr>
                <w:rFonts w:ascii="Times New Roman" w:eastAsiaTheme="minorEastAsia" w:hAnsi="Times New Roman" w:cs="Times New Roman"/>
                <w:szCs w:val="20"/>
                <w:lang w:val="en-US" w:eastAsia="ja-JP"/>
              </w:rPr>
              <w:t xml:space="preserve"> and after initial access</w:t>
            </w:r>
          </w:p>
          <w:p w14:paraId="72856DE5" w14:textId="77777777" w:rsidR="002B2942" w:rsidRPr="00C7623B" w:rsidRDefault="002B2942" w:rsidP="002B2942">
            <w:pPr>
              <w:pStyle w:val="aff5"/>
              <w:ind w:left="420"/>
              <w:rPr>
                <w:rFonts w:ascii="Times New Roman" w:eastAsiaTheme="minorEastAsia" w:hAnsi="Times New Roman" w:cs="Times New Roman" w:hint="eastAsia"/>
                <w:szCs w:val="20"/>
                <w:lang w:val="de-DE" w:eastAsia="ja-JP"/>
              </w:rPr>
            </w:pPr>
          </w:p>
          <w:p w14:paraId="03D5D8A4" w14:textId="77777777" w:rsidR="002B2942" w:rsidRPr="00553A70" w:rsidRDefault="002B2942" w:rsidP="002B2942">
            <w:pPr>
              <w:rPr>
                <w:rFonts w:ascii="Times New Roman" w:eastAsiaTheme="minorEastAsia" w:hAnsi="Times New Roman" w:cs="Times New Roman"/>
                <w:szCs w:val="20"/>
                <w:lang w:eastAsia="ja-JP"/>
              </w:rPr>
            </w:pPr>
            <w:r w:rsidRPr="001B0324">
              <w:rPr>
                <w:rFonts w:ascii="Times New Roman" w:eastAsiaTheme="minorEastAsia" w:hAnsi="Times New Roman" w:cs="Times New Roman"/>
                <w:szCs w:val="20"/>
                <w:lang w:eastAsia="ja-JP"/>
              </w:rPr>
              <w:t>When RedCap UE is configured with the separate initial DL BWP configuration, solutions mentioned by Qualcomm/ZTE need to be considered to stipulate what the behavor of RedCap UE should be.</w:t>
            </w:r>
          </w:p>
          <w:p w14:paraId="39A12182" w14:textId="77777777" w:rsidR="002B2942" w:rsidRPr="002B2942" w:rsidRDefault="002B2942">
            <w:pPr>
              <w:rPr>
                <w:rFonts w:ascii="Times New Roman" w:eastAsia="SimSun" w:hAnsi="Times New Roman" w:cs="Times New Roman" w:hint="eastAsia"/>
                <w:szCs w:val="20"/>
                <w:lang w:eastAsia="zh-CN"/>
              </w:rPr>
            </w:pPr>
          </w:p>
        </w:tc>
      </w:tr>
    </w:tbl>
    <w:p w14:paraId="72FACC3C"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1A79FDFB" w14:textId="77777777" w:rsidR="00045921" w:rsidRDefault="00FA6E73">
      <w:pPr>
        <w:pStyle w:val="1"/>
      </w:pPr>
      <w:r>
        <w:t>4</w:t>
      </w:r>
      <w:r>
        <w:tab/>
        <w:t>Initial UL BWP configuration</w:t>
      </w:r>
    </w:p>
    <w:p w14:paraId="5511341D"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7511C2BE" w14:textId="77777777">
        <w:trPr>
          <w:trHeight w:val="450"/>
        </w:trPr>
        <w:tc>
          <w:tcPr>
            <w:tcW w:w="1127" w:type="dxa"/>
          </w:tcPr>
          <w:p w14:paraId="100923A4" w14:textId="77777777" w:rsidR="00045921" w:rsidRDefault="00FA6E73">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49A8FBA8"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72CB34E5"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78B91F5D"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70F51B75"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062B4E45"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46665CC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6002CCA2"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66714A7A"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23430C2E"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5E36FCBA"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7E8A585D"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1C6CDE19"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179137BB"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3913C1D2"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45FF7AAB"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045921" w14:paraId="784EE657" w14:textId="77777777">
        <w:trPr>
          <w:trHeight w:val="2025"/>
        </w:trPr>
        <w:tc>
          <w:tcPr>
            <w:tcW w:w="1127" w:type="dxa"/>
          </w:tcPr>
          <w:p w14:paraId="4568DDF2"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lastRenderedPageBreak/>
              <w:t>NR_redcap</w:t>
            </w:r>
          </w:p>
        </w:tc>
        <w:tc>
          <w:tcPr>
            <w:tcW w:w="1043" w:type="dxa"/>
          </w:tcPr>
          <w:p w14:paraId="63176E8B"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14F8BE5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38.213</w:t>
            </w:r>
          </w:p>
        </w:tc>
        <w:tc>
          <w:tcPr>
            <w:tcW w:w="900" w:type="dxa"/>
          </w:tcPr>
          <w:p w14:paraId="25AABC0A"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21FC9A76"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72BE57A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0B34FFF4"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0B4BF14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7B7529FB"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[RedCap-specific initial UL BWP configuration]</w:t>
            </w:r>
          </w:p>
        </w:tc>
        <w:tc>
          <w:tcPr>
            <w:tcW w:w="2676" w:type="dxa"/>
          </w:tcPr>
          <w:p w14:paraId="58D86A8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017CCAD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FFS</w:t>
            </w:r>
          </w:p>
        </w:tc>
        <w:tc>
          <w:tcPr>
            <w:tcW w:w="1011" w:type="dxa"/>
          </w:tcPr>
          <w:p w14:paraId="2B7E5A3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2958E8F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52ED6AE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792A55EC"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682F43F4"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See agreements and working assumptions listed in R1-2108271 section 1.</w:t>
            </w:r>
            <w:r>
              <w:rPr>
                <w:rFonts w:eastAsia="ＭＳ 明朝" w:cs="Arial"/>
                <w:sz w:val="18"/>
                <w:szCs w:val="18"/>
                <w:lang w:eastAsia="ja-JP"/>
              </w:rPr>
              <w:br/>
            </w:r>
            <w:r>
              <w:rPr>
                <w:rFonts w:eastAsia="ＭＳ 明朝" w:cs="Arial"/>
                <w:sz w:val="18"/>
                <w:szCs w:val="18"/>
                <w:lang w:eastAsia="ja-JP"/>
              </w:rPr>
              <w:br/>
              <w:t>Note: The relation between [RedCap-specific PRACH configuration] and [RedCap-specific initial UL BWP configuration] may need further discussion.</w:t>
            </w:r>
          </w:p>
        </w:tc>
      </w:tr>
    </w:tbl>
    <w:p w14:paraId="05E79DBB"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219AC7CE"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4-1: Companies are invited to comment on the above parameter for initial UL BWP configuration.</w:t>
      </w:r>
    </w:p>
    <w:tbl>
      <w:tblPr>
        <w:tblStyle w:val="afd"/>
        <w:tblW w:w="21258" w:type="dxa"/>
        <w:tblLook w:val="04A0" w:firstRow="1" w:lastRow="0" w:firstColumn="1" w:lastColumn="0" w:noHBand="0" w:noVBand="1"/>
      </w:tblPr>
      <w:tblGrid>
        <w:gridCol w:w="2122"/>
        <w:gridCol w:w="19136"/>
      </w:tblGrid>
      <w:tr w:rsidR="00045921" w14:paraId="7C169E3F" w14:textId="77777777">
        <w:trPr>
          <w:trHeight w:val="268"/>
        </w:trPr>
        <w:tc>
          <w:tcPr>
            <w:tcW w:w="2122" w:type="dxa"/>
            <w:shd w:val="clear" w:color="auto" w:fill="D9D9D9" w:themeFill="background1" w:themeFillShade="D9"/>
          </w:tcPr>
          <w:p w14:paraId="49EFFE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37E7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C4B3F7D" w14:textId="77777777">
        <w:tc>
          <w:tcPr>
            <w:tcW w:w="2122" w:type="dxa"/>
          </w:tcPr>
          <w:p w14:paraId="0AC1D7F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987DD8D"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UplinkConfigCommon</w:t>
            </w:r>
            <w:r>
              <w:rPr>
                <w:rFonts w:ascii="Times New Roman" w:hAnsi="Times New Roman" w:cs="Times New Roman"/>
                <w:sz w:val="20"/>
                <w:szCs w:val="20"/>
                <w:lang w:eastAsia="ko-KR"/>
              </w:rPr>
              <w:t>”.</w:t>
            </w:r>
          </w:p>
        </w:tc>
      </w:tr>
      <w:tr w:rsidR="00045921" w14:paraId="461F4803" w14:textId="77777777">
        <w:tc>
          <w:tcPr>
            <w:tcW w:w="2122" w:type="dxa"/>
          </w:tcPr>
          <w:p w14:paraId="6DCF935F"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4F55922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20D5D37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ＭＳ 明朝" w:hAnsi="Times New Roman" w:cs="Times New Roman"/>
                <w:sz w:val="20"/>
                <w:szCs w:val="20"/>
                <w:lang w:eastAsia="ja-JP"/>
              </w:rPr>
              <w:t>If the parameter is not present, RedCap UEs use the same initial UL BWP as non-RedCap UEs.</w:t>
            </w:r>
            <w:r>
              <w:rPr>
                <w:rFonts w:ascii="Times New Roman" w:eastAsia="ＭＳ 明朝" w:hAnsi="Times New Roman" w:cs="Times New Roman"/>
                <w:color w:val="FF0000"/>
                <w:sz w:val="20"/>
                <w:szCs w:val="20"/>
                <w:u w:val="single"/>
                <w:lang w:eastAsia="ja-JP"/>
              </w:rPr>
              <w:t xml:space="preserve">if the initial UL BWP does not exceed the RedCap UE BW, otherwise, RedCap UEs are not supported in the cell. </w:t>
            </w:r>
          </w:p>
        </w:tc>
      </w:tr>
      <w:tr w:rsidR="00045921" w14:paraId="4A6898AF" w14:textId="77777777">
        <w:tc>
          <w:tcPr>
            <w:tcW w:w="2122" w:type="dxa"/>
          </w:tcPr>
          <w:p w14:paraId="391A809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8C50BF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14:paraId="26B4EB96" w14:textId="77777777">
        <w:tc>
          <w:tcPr>
            <w:tcW w:w="2122" w:type="dxa"/>
          </w:tcPr>
          <w:p w14:paraId="29B653E2"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52BCC49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2ECDC2B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does not exceed the RedCap UE maximum BW</w:t>
            </w:r>
            <w:r>
              <w:rPr>
                <w:rFonts w:ascii="Times New Roman" w:eastAsia="SimSun" w:hAnsi="Times New Roman" w:cs="Times New Roman"/>
                <w:sz w:val="20"/>
                <w:szCs w:val="20"/>
                <w:lang w:eastAsia="zh-CN"/>
              </w:rPr>
              <w:t>.”</w:t>
            </w:r>
          </w:p>
        </w:tc>
      </w:tr>
      <w:tr w:rsidR="00045921" w14:paraId="5815678F" w14:textId="77777777">
        <w:tc>
          <w:tcPr>
            <w:tcW w:w="2122" w:type="dxa"/>
          </w:tcPr>
          <w:p w14:paraId="05BE96F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7BB1269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Pr>
                <w:rFonts w:ascii="Times New Roman" w:eastAsia="SimSun" w:hAnsi="Times New Roman" w:cs="Times New Roman"/>
                <w:sz w:val="20"/>
                <w:szCs w:val="20"/>
                <w:lang w:eastAsia="ja-JP"/>
              </w:rPr>
              <w:t xml:space="preserve">initial UL BWP </w:t>
            </w:r>
            <w:r>
              <w:rPr>
                <w:rFonts w:ascii="Times New Roman" w:eastAsia="SimSun" w:hAnsi="Times New Roman" w:cs="Times New Roman"/>
                <w:sz w:val="20"/>
                <w:szCs w:val="20"/>
                <w:lang w:eastAsia="zh-CN"/>
              </w:rPr>
              <w:t xml:space="preserve">is </w:t>
            </w:r>
            <w:r>
              <w:rPr>
                <w:rFonts w:ascii="Times New Roman" w:eastAsia="SimSun" w:hAnsi="Times New Roman" w:cs="Times New Roman"/>
                <w:sz w:val="20"/>
                <w:szCs w:val="20"/>
                <w:lang w:eastAsia="ja-JP"/>
              </w:rPr>
              <w:t>larger than the RedCap UE bandwidth</w:t>
            </w:r>
            <w:r>
              <w:rPr>
                <w:rFonts w:ascii="Times New Roman" w:eastAsia="SimSun" w:hAnsi="Times New Roman" w:cs="Times New Roman"/>
                <w:sz w:val="20"/>
                <w:szCs w:val="20"/>
                <w:lang w:eastAsia="zh-CN"/>
              </w:rPr>
              <w:t>, need to be addressed. Therefore, it is suggested to add the following wording in the description column:</w:t>
            </w:r>
          </w:p>
          <w:p w14:paraId="5621570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exceed the RedCap UE maximum BW, the parameter should be present</w:t>
            </w:r>
            <w:r>
              <w:rPr>
                <w:rFonts w:ascii="Times New Roman" w:eastAsia="SimSun" w:hAnsi="Times New Roman" w:cs="Times New Roman"/>
                <w:sz w:val="20"/>
                <w:szCs w:val="20"/>
                <w:lang w:eastAsia="zh-CN"/>
              </w:rPr>
              <w:t>.”</w:t>
            </w:r>
          </w:p>
        </w:tc>
      </w:tr>
      <w:tr w:rsidR="00045921" w14:paraId="6078CB42" w14:textId="77777777">
        <w:tc>
          <w:tcPr>
            <w:tcW w:w="2122" w:type="dxa"/>
          </w:tcPr>
          <w:p w14:paraId="4832D0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60882CE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 workable initial UL BWP is needed in any case. Suggest the following modification:</w:t>
            </w:r>
          </w:p>
          <w:p w14:paraId="6330C1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Pr>
                <w:rFonts w:ascii="Times New Roman" w:eastAsia="SimSun" w:hAnsi="Times New Roman" w:cs="Times New Roman"/>
                <w:sz w:val="20"/>
                <w:szCs w:val="20"/>
                <w:lang w:eastAsia="zh-CN"/>
              </w:rPr>
              <w:t>.”</w:t>
            </w:r>
          </w:p>
        </w:tc>
      </w:tr>
      <w:tr w:rsidR="00045921" w14:paraId="06A71C39" w14:textId="77777777">
        <w:tc>
          <w:tcPr>
            <w:tcW w:w="2122" w:type="dxa"/>
          </w:tcPr>
          <w:p w14:paraId="151A955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37DF254F"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suggest the following modification:</w:t>
            </w:r>
            <w:r>
              <w:rPr>
                <w:rFonts w:ascii="Times New Roman" w:eastAsiaTheme="minorEastAsia" w:hAnsi="Times New Roman" w:cs="Times New Roman"/>
                <w:sz w:val="20"/>
                <w:szCs w:val="20"/>
                <w:lang w:eastAsia="ja-JP"/>
              </w:rPr>
              <w:br/>
              <w:t>“If the parameter is not present, RedCap UEs use the same initial UL BWP as non-RedCap UEs. </w:t>
            </w:r>
            <w:r>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Pr>
                <w:rFonts w:ascii="Times New Roman" w:eastAsia="SimSun" w:hAnsi="Times New Roman" w:cs="Times New Roman"/>
                <w:sz w:val="20"/>
                <w:szCs w:val="20"/>
                <w:lang w:eastAsia="zh-CN"/>
              </w:rPr>
              <w:t>”</w:t>
            </w:r>
          </w:p>
        </w:tc>
      </w:tr>
      <w:tr w:rsidR="00045921" w14:paraId="3C3874E6" w14:textId="77777777">
        <w:tc>
          <w:tcPr>
            <w:tcW w:w="2122" w:type="dxa"/>
          </w:tcPr>
          <w:p w14:paraId="53F265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153F65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9" w:history="1">
              <w:r>
                <w:rPr>
                  <w:rStyle w:val="aff2"/>
                  <w:rFonts w:ascii="Times New Roman" w:eastAsia="ＭＳ 明朝"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r w:rsidR="00045921" w14:paraId="5F5623C1" w14:textId="77777777">
        <w:tc>
          <w:tcPr>
            <w:tcW w:w="2122" w:type="dxa"/>
          </w:tcPr>
          <w:p w14:paraId="5CE97B29" w14:textId="77777777" w:rsidR="00045921" w:rsidRDefault="00045921">
            <w:pPr>
              <w:rPr>
                <w:rFonts w:ascii="Times New Roman" w:eastAsia="SimSun" w:hAnsi="Times New Roman" w:cs="Times New Roman"/>
                <w:szCs w:val="20"/>
                <w:lang w:eastAsia="zh-CN"/>
              </w:rPr>
            </w:pPr>
          </w:p>
        </w:tc>
        <w:tc>
          <w:tcPr>
            <w:tcW w:w="19136" w:type="dxa"/>
          </w:tcPr>
          <w:p w14:paraId="0426CB69" w14:textId="77777777" w:rsidR="00045921" w:rsidRDefault="00045921">
            <w:pPr>
              <w:rPr>
                <w:rFonts w:ascii="Times New Roman" w:eastAsia="SimSun" w:hAnsi="Times New Roman" w:cs="Times New Roman"/>
                <w:szCs w:val="20"/>
                <w:lang w:eastAsia="zh-CN"/>
              </w:rPr>
            </w:pPr>
          </w:p>
        </w:tc>
      </w:tr>
    </w:tbl>
    <w:p w14:paraId="06A68E31"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3EA99091"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 xml:space="preserve">FL2 Question 4-2: Companies are invited to comment on the updated parameter for initial UL BWP configuration in </w:t>
      </w:r>
      <w:hyperlink r:id="rId20" w:history="1">
        <w:r>
          <w:rPr>
            <w:rStyle w:val="aff2"/>
            <w:rFonts w:ascii="Times New Roman" w:eastAsia="ＭＳ 明朝" w:hAnsi="Times New Roman" w:cs="Times New Roman"/>
            <w:b/>
            <w:bCs/>
            <w:i/>
            <w:iCs/>
            <w:szCs w:val="20"/>
            <w:lang w:val="en-GB" w:eastAsia="ja-JP"/>
          </w:rPr>
          <w:t>RedCapParamList-v001</w:t>
        </w:r>
      </w:hyperlink>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7787FCC4" w14:textId="77777777">
        <w:trPr>
          <w:trHeight w:val="268"/>
        </w:trPr>
        <w:tc>
          <w:tcPr>
            <w:tcW w:w="2122" w:type="dxa"/>
            <w:shd w:val="clear" w:color="auto" w:fill="D9D9D9" w:themeFill="background1" w:themeFillShade="D9"/>
          </w:tcPr>
          <w:p w14:paraId="0A1BEF4F"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B85B00"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4391389A" w14:textId="77777777">
        <w:tc>
          <w:tcPr>
            <w:tcW w:w="2122" w:type="dxa"/>
          </w:tcPr>
          <w:p w14:paraId="36F8EF74"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706FF8C" w14:textId="77777777" w:rsidR="00045921" w:rsidRDefault="00FA6E73">
            <w:pPr>
              <w:pStyle w:val="aff5"/>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14:paraId="32865F7F" w14:textId="77777777" w:rsidR="00045921" w:rsidRDefault="00FA6E73">
            <w:pPr>
              <w:pStyle w:val="aff5"/>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14:paraId="680A6978" w14:textId="77777777" w:rsidR="00045921" w:rsidRDefault="00045921">
            <w:pPr>
              <w:pStyle w:val="aff5"/>
              <w:ind w:left="360"/>
              <w:rPr>
                <w:rFonts w:ascii="Times New Roman" w:hAnsi="Times New Roman" w:cs="Times New Roman"/>
                <w:sz w:val="20"/>
                <w:szCs w:val="18"/>
                <w:lang w:val="de-DE" w:eastAsia="ko-KR"/>
              </w:rPr>
            </w:pPr>
          </w:p>
          <w:p w14:paraId="727D14BB" w14:textId="77777777" w:rsidR="00045921" w:rsidRDefault="00FA6E73">
            <w:pPr>
              <w:rPr>
                <w:rFonts w:ascii="Times New Roman" w:hAnsi="Times New Roman" w:cs="Times New Roman"/>
                <w:szCs w:val="20"/>
                <w:lang w:eastAsia="ko-KR"/>
              </w:rPr>
            </w:pPr>
            <w:r>
              <w:rPr>
                <w:rFonts w:ascii="Times New Roman" w:hAnsi="Times New Roman" w:cs="Times New Roman"/>
                <w:sz w:val="20"/>
                <w:szCs w:val="18"/>
                <w:lang w:eastAsia="ko-KR"/>
              </w:rPr>
              <w:t>If early indication based on msg1 is not enabled in SI for the two cases above, the initial UL BWP configuration is invalid for RedCap UE.</w:t>
            </w:r>
          </w:p>
        </w:tc>
      </w:tr>
      <w:tr w:rsidR="00045921" w14:paraId="534D20BA" w14:textId="77777777">
        <w:tc>
          <w:tcPr>
            <w:tcW w:w="2122" w:type="dxa"/>
          </w:tcPr>
          <w:p w14:paraId="353550B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 Sanechips</w:t>
            </w:r>
          </w:p>
        </w:tc>
        <w:tc>
          <w:tcPr>
            <w:tcW w:w="19136" w:type="dxa"/>
          </w:tcPr>
          <w:p w14:paraId="5966AECF"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it. Regarding the concern from Qualcomm, see comment in FL2 Question 2-2.</w:t>
            </w:r>
          </w:p>
        </w:tc>
      </w:tr>
      <w:tr w:rsidR="00045921" w14:paraId="00DD546E" w14:textId="77777777">
        <w:tc>
          <w:tcPr>
            <w:tcW w:w="2122" w:type="dxa"/>
          </w:tcPr>
          <w:p w14:paraId="50ED5E21" w14:textId="77777777" w:rsidR="00045921" w:rsidRDefault="00A7237F">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3D40FAAB" w14:textId="77777777" w:rsidR="00045921" w:rsidRDefault="00A7237F">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w:t>
            </w:r>
            <w:r>
              <w:rPr>
                <w:rFonts w:ascii="Times New Roman" w:eastAsia="SimSun" w:hAnsi="Times New Roman" w:cs="Times New Roman"/>
                <w:sz w:val="20"/>
                <w:szCs w:val="20"/>
                <w:lang w:eastAsia="zh-CN"/>
              </w:rPr>
              <w:t>e are fine with the update. Regarding the two points made by Qualcomm, we think they are gNB implementation issue</w:t>
            </w:r>
            <w:r w:rsidR="00C911F5">
              <w:rPr>
                <w:rFonts w:ascii="Times New Roman" w:eastAsia="SimSun" w:hAnsi="Times New Roman" w:cs="Times New Roman"/>
                <w:sz w:val="20"/>
                <w:szCs w:val="20"/>
                <w:lang w:eastAsia="zh-CN"/>
              </w:rPr>
              <w:t xml:space="preserve">. Strictly speaking, although not optimal, gNB can do conservative scheduling before the UE type is known. </w:t>
            </w:r>
          </w:p>
        </w:tc>
      </w:tr>
    </w:tbl>
    <w:p w14:paraId="45FCBF6D"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0C488CAC" w14:textId="77777777" w:rsidR="00045921" w:rsidRDefault="00FA6E73">
      <w:pPr>
        <w:pStyle w:val="1"/>
      </w:pPr>
      <w:r>
        <w:lastRenderedPageBreak/>
        <w:t>5</w:t>
      </w:r>
      <w:r>
        <w:tab/>
        <w:t>PUCCH configuration</w:t>
      </w:r>
    </w:p>
    <w:p w14:paraId="564959C8"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06C63FAB" w14:textId="77777777">
        <w:trPr>
          <w:trHeight w:val="450"/>
        </w:trPr>
        <w:tc>
          <w:tcPr>
            <w:tcW w:w="1127" w:type="dxa"/>
          </w:tcPr>
          <w:p w14:paraId="57062971" w14:textId="77777777" w:rsidR="00045921" w:rsidRDefault="00FA6E73">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2270C173"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5ABA13BF"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2F945E5B"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69F485F9"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64C49525"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649A97A9"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19B92BD4"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6FD31A09"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109ACA0D"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1D461517"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24A3C7F5"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3A3AC91D"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7C421F78"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0FBE38CE"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0F95F435"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045921" w14:paraId="0B39FDF3" w14:textId="77777777">
        <w:trPr>
          <w:trHeight w:val="1800"/>
        </w:trPr>
        <w:tc>
          <w:tcPr>
            <w:tcW w:w="1127" w:type="dxa"/>
          </w:tcPr>
          <w:p w14:paraId="7E852F40"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5672A9ED"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07EDD6B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38.211, 38.213</w:t>
            </w:r>
          </w:p>
        </w:tc>
        <w:tc>
          <w:tcPr>
            <w:tcW w:w="900" w:type="dxa"/>
          </w:tcPr>
          <w:p w14:paraId="4A5320B8"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721AFE72"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10" w:type="dxa"/>
          </w:tcPr>
          <w:p w14:paraId="10A03FD2"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56" w:type="dxa"/>
          </w:tcPr>
          <w:p w14:paraId="6EBD1E0C"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6836AC7E"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New</w:t>
            </w:r>
          </w:p>
        </w:tc>
        <w:tc>
          <w:tcPr>
            <w:tcW w:w="1675" w:type="dxa"/>
          </w:tcPr>
          <w:p w14:paraId="14843A9D"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[Intra-slot PUCCH frequency hopping within RedCap-specific initial UL BWP enabled/disabled]</w:t>
            </w:r>
          </w:p>
        </w:tc>
        <w:tc>
          <w:tcPr>
            <w:tcW w:w="2676" w:type="dxa"/>
          </w:tcPr>
          <w:p w14:paraId="2FC94E8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58D6ABC5"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{Enabled, Disabled}</w:t>
            </w:r>
          </w:p>
        </w:tc>
        <w:tc>
          <w:tcPr>
            <w:tcW w:w="1011" w:type="dxa"/>
          </w:tcPr>
          <w:p w14:paraId="3E8881C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15E787A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[Per cell]</w:t>
            </w:r>
          </w:p>
        </w:tc>
        <w:tc>
          <w:tcPr>
            <w:tcW w:w="1199" w:type="dxa"/>
          </w:tcPr>
          <w:p w14:paraId="6E4B319B"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[Cell-specific]</w:t>
            </w:r>
          </w:p>
        </w:tc>
        <w:tc>
          <w:tcPr>
            <w:tcW w:w="1338" w:type="dxa"/>
          </w:tcPr>
          <w:p w14:paraId="55BB0CC1"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38.331</w:t>
            </w:r>
          </w:p>
        </w:tc>
        <w:tc>
          <w:tcPr>
            <w:tcW w:w="2119" w:type="dxa"/>
          </w:tcPr>
          <w:p w14:paraId="03E5354A"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See the last agreement and working assumption listed in R1-2108271 section 1.</w:t>
            </w:r>
            <w:r>
              <w:rPr>
                <w:rFonts w:eastAsia="ＭＳ 明朝" w:cs="Arial"/>
                <w:sz w:val="18"/>
                <w:szCs w:val="18"/>
                <w:lang w:eastAsia="ja-JP"/>
              </w:rPr>
              <w:br/>
            </w:r>
            <w:r>
              <w:rPr>
                <w:rFonts w:eastAsia="ＭＳ 明朝" w:cs="Arial"/>
                <w:sz w:val="18"/>
                <w:szCs w:val="18"/>
                <w:lang w:eastAsia="ja-JP"/>
              </w:rPr>
              <w:br/>
              <w:t>Note: This parameter may be provided as part of the [pucch-ConfigCommon] configuration for the separate initial UL BWP.</w:t>
            </w:r>
          </w:p>
        </w:tc>
      </w:tr>
    </w:tbl>
    <w:p w14:paraId="4AD0113E"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2B3259AE"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5-1: Companies are invited to comment on the above parameter for PUCCH configuration.</w:t>
      </w:r>
    </w:p>
    <w:tbl>
      <w:tblPr>
        <w:tblStyle w:val="afd"/>
        <w:tblW w:w="21258" w:type="dxa"/>
        <w:tblLook w:val="04A0" w:firstRow="1" w:lastRow="0" w:firstColumn="1" w:lastColumn="0" w:noHBand="0" w:noVBand="1"/>
      </w:tblPr>
      <w:tblGrid>
        <w:gridCol w:w="2122"/>
        <w:gridCol w:w="19136"/>
      </w:tblGrid>
      <w:tr w:rsidR="00045921" w14:paraId="577740EC" w14:textId="77777777">
        <w:trPr>
          <w:trHeight w:val="268"/>
        </w:trPr>
        <w:tc>
          <w:tcPr>
            <w:tcW w:w="2122" w:type="dxa"/>
            <w:shd w:val="clear" w:color="auto" w:fill="D9D9D9" w:themeFill="background1" w:themeFillShade="D9"/>
          </w:tcPr>
          <w:p w14:paraId="45A740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C530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528DB7A" w14:textId="77777777">
        <w:tc>
          <w:tcPr>
            <w:tcW w:w="2122" w:type="dxa"/>
          </w:tcPr>
          <w:p w14:paraId="15028896"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D3E96B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045921" w14:paraId="6C0BEFDB" w14:textId="77777777">
        <w:tc>
          <w:tcPr>
            <w:tcW w:w="2122" w:type="dxa"/>
          </w:tcPr>
          <w:p w14:paraId="0B788781"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9F30B79"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045921" w14:paraId="32F6C3FB" w14:textId="77777777">
        <w:tc>
          <w:tcPr>
            <w:tcW w:w="2122" w:type="dxa"/>
          </w:tcPr>
          <w:p w14:paraId="20FD88A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970AF0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045921" w14:paraId="1EEAAF9E" w14:textId="77777777">
        <w:tc>
          <w:tcPr>
            <w:tcW w:w="2122" w:type="dxa"/>
          </w:tcPr>
          <w:p w14:paraId="3FC94F5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8F6CB87"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that captures the behavior</w:t>
            </w:r>
          </w:p>
        </w:tc>
      </w:tr>
      <w:tr w:rsidR="00045921" w14:paraId="654A4CE0" w14:textId="77777777">
        <w:tc>
          <w:tcPr>
            <w:tcW w:w="2122" w:type="dxa"/>
          </w:tcPr>
          <w:p w14:paraId="2C60155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7D20903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OK with this parameter. </w:t>
            </w:r>
          </w:p>
        </w:tc>
      </w:tr>
      <w:tr w:rsidR="00045921" w14:paraId="76180EB5" w14:textId="77777777">
        <w:tc>
          <w:tcPr>
            <w:tcW w:w="2122" w:type="dxa"/>
          </w:tcPr>
          <w:p w14:paraId="6E74099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74A1968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this part.</w:t>
            </w:r>
          </w:p>
        </w:tc>
      </w:tr>
      <w:tr w:rsidR="00045921" w14:paraId="3003DA64" w14:textId="77777777">
        <w:tc>
          <w:tcPr>
            <w:tcW w:w="2122" w:type="dxa"/>
          </w:tcPr>
          <w:p w14:paraId="13F91DFB"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56FFF32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341F4E19"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t>R</w:t>
            </w:r>
            <w:r>
              <w:rPr>
                <w:rFonts w:ascii="Times New Roman" w:eastAsiaTheme="minorEastAsia" w:hAnsi="Times New Roman" w:cs="Times New Roman"/>
                <w:sz w:val="20"/>
                <w:szCs w:val="20"/>
                <w:lang w:eastAsia="ja-JP"/>
              </w:rPr>
              <w:t>egarding FUTUREWEI’s comment, we think a</w:t>
            </w:r>
            <w:r>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is used to indicate whether intra-slot FH for one dedicated PUCCH resource is enabled.</w:t>
            </w:r>
          </w:p>
        </w:tc>
      </w:tr>
      <w:tr w:rsidR="00045921" w14:paraId="4DBF6EA7" w14:textId="77777777">
        <w:tc>
          <w:tcPr>
            <w:tcW w:w="2122" w:type="dxa"/>
          </w:tcPr>
          <w:p w14:paraId="1EDE08D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7060A21"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See also comment from ZTE under Question 7-1 further down in this document. </w:t>
            </w:r>
            <w:r>
              <w:rPr>
                <w:rFonts w:ascii="Times New Roman" w:eastAsia="SimSun" w:hAnsi="Times New Roman" w:cs="Times New Roman"/>
                <w:sz w:val="20"/>
                <w:szCs w:val="20"/>
                <w:lang w:eastAsia="zh-CN"/>
              </w:rPr>
              <w:t xml:space="preserve">The corresponding row has been updated in </w:t>
            </w:r>
            <w:hyperlink r:id="rId21" w:history="1">
              <w:r>
                <w:rPr>
                  <w:rStyle w:val="aff2"/>
                  <w:rFonts w:ascii="Times New Roman" w:eastAsia="ＭＳ 明朝"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4404CE44"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0769D921"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 xml:space="preserve">FL2 Question 5-2: Companies are invited to comment on the parameter for PUCCH configuration in </w:t>
      </w:r>
      <w:hyperlink r:id="rId22" w:history="1">
        <w:r>
          <w:rPr>
            <w:rStyle w:val="aff2"/>
            <w:rFonts w:ascii="Times New Roman" w:eastAsia="ＭＳ 明朝" w:hAnsi="Times New Roman" w:cs="Times New Roman"/>
            <w:b/>
            <w:bCs/>
            <w:i/>
            <w:iCs/>
            <w:szCs w:val="20"/>
            <w:lang w:val="en-GB" w:eastAsia="ja-JP"/>
          </w:rPr>
          <w:t>RedCapParamList-v001</w:t>
        </w:r>
      </w:hyperlink>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02B9323F" w14:textId="77777777">
        <w:trPr>
          <w:trHeight w:val="268"/>
        </w:trPr>
        <w:tc>
          <w:tcPr>
            <w:tcW w:w="2122" w:type="dxa"/>
            <w:shd w:val="clear" w:color="auto" w:fill="D9D9D9" w:themeFill="background1" w:themeFillShade="D9"/>
          </w:tcPr>
          <w:p w14:paraId="02BB72F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3685D5"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D3CA9F6" w14:textId="77777777">
        <w:tc>
          <w:tcPr>
            <w:tcW w:w="2122" w:type="dxa"/>
          </w:tcPr>
          <w:p w14:paraId="15C95AA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68A7823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421BA1E7" w14:textId="77777777">
        <w:tc>
          <w:tcPr>
            <w:tcW w:w="2122" w:type="dxa"/>
          </w:tcPr>
          <w:p w14:paraId="1B5144F8" w14:textId="77777777" w:rsidR="00045921" w:rsidRDefault="00614B1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17CFA8A6" w14:textId="77777777" w:rsidR="00614B17" w:rsidRDefault="00614B17">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t is not clear to us why the following revision is made. What is the use case to introduce the parameter to enable/disable PUCCH hopping in the legacy inital UL BWP?</w:t>
            </w:r>
          </w:p>
          <w:p w14:paraId="1485B7E2" w14:textId="77777777" w:rsidR="00614B17" w:rsidRDefault="00614B17">
            <w:pPr>
              <w:spacing w:after="180" w:line="252" w:lineRule="auto"/>
              <w:contextualSpacing/>
              <w:rPr>
                <w:rFonts w:ascii="Times New Roman" w:eastAsia="DengXian" w:hAnsi="Times New Roman" w:cs="Times New Roman"/>
                <w:sz w:val="20"/>
                <w:szCs w:val="20"/>
                <w:lang w:eastAsia="zh-CN"/>
              </w:rPr>
            </w:pPr>
          </w:p>
          <w:p w14:paraId="68EC08D4" w14:textId="77777777" w:rsidR="00614B17" w:rsidRDefault="00614B17">
            <w:pPr>
              <w:spacing w:after="180" w:line="252" w:lineRule="auto"/>
              <w:contextualSpacing/>
              <w:rPr>
                <w:rFonts w:ascii="Times New Roman" w:eastAsia="DengXian" w:hAnsi="Times New Roman" w:cs="Times New Roman"/>
                <w:sz w:val="20"/>
                <w:szCs w:val="20"/>
                <w:lang w:eastAsia="zh-CN"/>
              </w:rPr>
            </w:pPr>
            <w:r w:rsidRPr="00614B17">
              <w:rPr>
                <w:rFonts w:ascii="Times New Roman" w:eastAsia="DengXian" w:hAnsi="Times New Roman" w:cs="Times New Roman"/>
                <w:sz w:val="20"/>
                <w:szCs w:val="20"/>
                <w:lang w:eastAsia="zh-CN"/>
              </w:rPr>
              <w:t xml:space="preserve">Note: This parameter may be provided as part of the [pucch-ConfigCommon] configuration for the separate initial UL BWP </w:t>
            </w:r>
            <w:r w:rsidRPr="00614B17">
              <w:rPr>
                <w:rFonts w:ascii="Times New Roman" w:eastAsia="DengXian" w:hAnsi="Times New Roman" w:cs="Times New Roman"/>
                <w:color w:val="FF0000"/>
                <w:sz w:val="20"/>
                <w:szCs w:val="20"/>
                <w:lang w:eastAsia="zh-CN"/>
              </w:rPr>
              <w:t>(or possibly as part of the configuration for the normal initial UL BWP).</w:t>
            </w:r>
          </w:p>
        </w:tc>
      </w:tr>
      <w:tr w:rsidR="00045921" w14:paraId="33300F14" w14:textId="77777777">
        <w:tc>
          <w:tcPr>
            <w:tcW w:w="2122" w:type="dxa"/>
          </w:tcPr>
          <w:p w14:paraId="391F028B" w14:textId="05F7FC61" w:rsidR="00045921" w:rsidRPr="002B2942" w:rsidRDefault="002B2942">
            <w:pPr>
              <w:rPr>
                <w:rFonts w:ascii="Times New Roman" w:eastAsiaTheme="minorEastAsia" w:hAnsi="Times New Roman" w:cs="Times New Roman" w:hint="eastAsia"/>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75B17059" w14:textId="469F12B2" w:rsidR="00045921" w:rsidRDefault="002B2942">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t>W</w:t>
            </w:r>
            <w:r>
              <w:rPr>
                <w:rFonts w:ascii="Times New Roman" w:eastAsiaTheme="minorEastAsia" w:hAnsi="Times New Roman" w:cs="Times New Roman"/>
                <w:sz w:val="20"/>
                <w:szCs w:val="20"/>
                <w:lang w:eastAsia="ja-JP"/>
              </w:rPr>
              <w:t>e have same view as vivo on the red addition in colum of comment. Per agreement, the prerequisite for supporting to enable/disable PUCCH hopping is that, in case a seperate initial UL BWP is configurd. The new parameter should be specific to seperate initial UL BWP configuration.</w:t>
            </w:r>
          </w:p>
        </w:tc>
      </w:tr>
    </w:tbl>
    <w:p w14:paraId="55BF38C6"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23F1DAD9" w14:textId="77777777" w:rsidR="00045921" w:rsidRDefault="00FA6E73">
      <w:pPr>
        <w:pStyle w:val="1"/>
      </w:pPr>
      <w:r>
        <w:lastRenderedPageBreak/>
        <w:t>6</w:t>
      </w:r>
      <w:r>
        <w:tab/>
        <w:t>CQI/MCS table configuration</w:t>
      </w:r>
    </w:p>
    <w:p w14:paraId="10658549"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4DCAE90C" w14:textId="77777777">
        <w:trPr>
          <w:trHeight w:val="450"/>
        </w:trPr>
        <w:tc>
          <w:tcPr>
            <w:tcW w:w="1127" w:type="dxa"/>
          </w:tcPr>
          <w:p w14:paraId="21B6FBD1" w14:textId="77777777" w:rsidR="00045921" w:rsidRDefault="00FA6E73">
            <w:pPr>
              <w:spacing w:afterLines="50" w:after="120" w:line="240" w:lineRule="auto"/>
              <w:rPr>
                <w:rFonts w:eastAsia="ＭＳ 明朝" w:cs="Arial"/>
                <w:b/>
                <w:bCs/>
                <w:sz w:val="18"/>
                <w:szCs w:val="18"/>
                <w:lang w:val="sv-SE" w:eastAsia="ja-JP"/>
              </w:rPr>
            </w:pPr>
            <w:r>
              <w:rPr>
                <w:rFonts w:eastAsia="ＭＳ 明朝" w:cs="Arial"/>
                <w:b/>
                <w:bCs/>
                <w:sz w:val="18"/>
                <w:szCs w:val="18"/>
                <w:lang w:eastAsia="ja-JP"/>
              </w:rPr>
              <w:t>WI code</w:t>
            </w:r>
          </w:p>
        </w:tc>
        <w:tc>
          <w:tcPr>
            <w:tcW w:w="1043" w:type="dxa"/>
          </w:tcPr>
          <w:p w14:paraId="03E7408B"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Sub-feature group</w:t>
            </w:r>
          </w:p>
        </w:tc>
        <w:tc>
          <w:tcPr>
            <w:tcW w:w="1325" w:type="dxa"/>
          </w:tcPr>
          <w:p w14:paraId="59A3D023"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RAN1 specification</w:t>
            </w:r>
          </w:p>
        </w:tc>
        <w:tc>
          <w:tcPr>
            <w:tcW w:w="900" w:type="dxa"/>
          </w:tcPr>
          <w:p w14:paraId="7C74BF07"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Section</w:t>
            </w:r>
          </w:p>
        </w:tc>
        <w:tc>
          <w:tcPr>
            <w:tcW w:w="1277" w:type="dxa"/>
          </w:tcPr>
          <w:p w14:paraId="25D17A76"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Parent IE</w:t>
            </w:r>
          </w:p>
        </w:tc>
        <w:tc>
          <w:tcPr>
            <w:tcW w:w="1110" w:type="dxa"/>
          </w:tcPr>
          <w:p w14:paraId="7053D1B6"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RAN2 ASN.1 name</w:t>
            </w:r>
          </w:p>
        </w:tc>
        <w:tc>
          <w:tcPr>
            <w:tcW w:w="1256" w:type="dxa"/>
          </w:tcPr>
          <w:p w14:paraId="5AA132F2"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spec</w:t>
            </w:r>
          </w:p>
        </w:tc>
        <w:tc>
          <w:tcPr>
            <w:tcW w:w="1047" w:type="dxa"/>
          </w:tcPr>
          <w:p w14:paraId="752C434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New or existing?</w:t>
            </w:r>
          </w:p>
        </w:tc>
        <w:tc>
          <w:tcPr>
            <w:tcW w:w="1675" w:type="dxa"/>
          </w:tcPr>
          <w:p w14:paraId="3E1D108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Parameter name in the text</w:t>
            </w:r>
          </w:p>
        </w:tc>
        <w:tc>
          <w:tcPr>
            <w:tcW w:w="2676" w:type="dxa"/>
          </w:tcPr>
          <w:p w14:paraId="7C108F1E"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Description</w:t>
            </w:r>
          </w:p>
        </w:tc>
        <w:tc>
          <w:tcPr>
            <w:tcW w:w="1264" w:type="dxa"/>
          </w:tcPr>
          <w:p w14:paraId="224F5DF2"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Value range</w:t>
            </w:r>
          </w:p>
        </w:tc>
        <w:tc>
          <w:tcPr>
            <w:tcW w:w="1011" w:type="dxa"/>
          </w:tcPr>
          <w:p w14:paraId="59D3E40E"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Default value aspect</w:t>
            </w:r>
          </w:p>
        </w:tc>
        <w:tc>
          <w:tcPr>
            <w:tcW w:w="882" w:type="dxa"/>
          </w:tcPr>
          <w:p w14:paraId="30E0D07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Per (UE, cell, TRP, …)</w:t>
            </w:r>
          </w:p>
        </w:tc>
        <w:tc>
          <w:tcPr>
            <w:tcW w:w="1199" w:type="dxa"/>
          </w:tcPr>
          <w:p w14:paraId="3BA95358"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UE-specific or Cell-specific</w:t>
            </w:r>
          </w:p>
        </w:tc>
        <w:tc>
          <w:tcPr>
            <w:tcW w:w="1338" w:type="dxa"/>
          </w:tcPr>
          <w:p w14:paraId="69EF3E11"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Specification</w:t>
            </w:r>
          </w:p>
        </w:tc>
        <w:tc>
          <w:tcPr>
            <w:tcW w:w="2119" w:type="dxa"/>
          </w:tcPr>
          <w:p w14:paraId="1A2D0FFC" w14:textId="77777777" w:rsidR="00045921" w:rsidRDefault="00FA6E73">
            <w:pPr>
              <w:spacing w:afterLines="50" w:after="120" w:line="240" w:lineRule="auto"/>
              <w:rPr>
                <w:rFonts w:eastAsia="ＭＳ 明朝" w:cs="Arial"/>
                <w:b/>
                <w:bCs/>
                <w:sz w:val="18"/>
                <w:szCs w:val="18"/>
                <w:lang w:eastAsia="ja-JP"/>
              </w:rPr>
            </w:pPr>
            <w:r>
              <w:rPr>
                <w:rFonts w:eastAsia="ＭＳ 明朝" w:cs="Arial"/>
                <w:b/>
                <w:bCs/>
                <w:sz w:val="18"/>
                <w:szCs w:val="18"/>
                <w:lang w:eastAsia="ja-JP"/>
              </w:rPr>
              <w:t>Comment</w:t>
            </w:r>
          </w:p>
        </w:tc>
      </w:tr>
      <w:tr w:rsidR="00045921" w14:paraId="2493175F" w14:textId="77777777">
        <w:trPr>
          <w:trHeight w:val="450"/>
        </w:trPr>
        <w:tc>
          <w:tcPr>
            <w:tcW w:w="1127" w:type="dxa"/>
          </w:tcPr>
          <w:p w14:paraId="7C5B5B88"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57D35901"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620A6B14"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38.214</w:t>
            </w:r>
          </w:p>
        </w:tc>
        <w:tc>
          <w:tcPr>
            <w:tcW w:w="900" w:type="dxa"/>
          </w:tcPr>
          <w:p w14:paraId="44BAD7CD"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4EF59EC6"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CSI-ReportConfig</w:t>
            </w:r>
          </w:p>
        </w:tc>
        <w:tc>
          <w:tcPr>
            <w:tcW w:w="1110" w:type="dxa"/>
          </w:tcPr>
          <w:p w14:paraId="3FD900D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cqi-Table</w:t>
            </w:r>
          </w:p>
        </w:tc>
        <w:tc>
          <w:tcPr>
            <w:tcW w:w="1256" w:type="dxa"/>
          </w:tcPr>
          <w:p w14:paraId="030171E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697B56D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Existing</w:t>
            </w:r>
          </w:p>
        </w:tc>
        <w:tc>
          <w:tcPr>
            <w:tcW w:w="1675" w:type="dxa"/>
          </w:tcPr>
          <w:p w14:paraId="3BBEC76E"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2676" w:type="dxa"/>
          </w:tcPr>
          <w:p w14:paraId="20F58B39"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For a RedCap UE, CQI table 2 is only supported if the UE indicates support of 256QAM for PDSCH.</w:t>
            </w:r>
          </w:p>
        </w:tc>
        <w:tc>
          <w:tcPr>
            <w:tcW w:w="1264" w:type="dxa"/>
          </w:tcPr>
          <w:p w14:paraId="06EACF65"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11" w:type="dxa"/>
          </w:tcPr>
          <w:p w14:paraId="79230651"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4FB64D35"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99" w:type="dxa"/>
          </w:tcPr>
          <w:p w14:paraId="1FBCC6CB"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338" w:type="dxa"/>
          </w:tcPr>
          <w:p w14:paraId="282319BD" w14:textId="77777777" w:rsidR="00045921" w:rsidRDefault="00FA6E73">
            <w:pPr>
              <w:spacing w:afterLines="50" w:after="120" w:line="240" w:lineRule="auto"/>
              <w:rPr>
                <w:rFonts w:eastAsia="ＭＳ 明朝" w:cs="Arial"/>
                <w:color w:val="C00000"/>
                <w:sz w:val="18"/>
                <w:szCs w:val="18"/>
                <w:u w:val="single"/>
                <w:lang w:eastAsia="ja-JP"/>
              </w:rPr>
            </w:pPr>
            <w:r>
              <w:rPr>
                <w:rFonts w:eastAsia="ＭＳ 明朝" w:cs="Arial"/>
                <w:color w:val="C00000"/>
                <w:sz w:val="18"/>
                <w:szCs w:val="18"/>
                <w:u w:val="single"/>
                <w:lang w:eastAsia="ja-JP"/>
              </w:rPr>
              <w:t>38.331</w:t>
            </w:r>
          </w:p>
        </w:tc>
        <w:tc>
          <w:tcPr>
            <w:tcW w:w="2119" w:type="dxa"/>
          </w:tcPr>
          <w:p w14:paraId="659F1FC8"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r>
      <w:tr w:rsidR="00045921" w14:paraId="6B27745B" w14:textId="77777777">
        <w:trPr>
          <w:trHeight w:val="450"/>
        </w:trPr>
        <w:tc>
          <w:tcPr>
            <w:tcW w:w="1127" w:type="dxa"/>
          </w:tcPr>
          <w:p w14:paraId="39F45793"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NR_redcap</w:t>
            </w:r>
          </w:p>
        </w:tc>
        <w:tc>
          <w:tcPr>
            <w:tcW w:w="1043" w:type="dxa"/>
          </w:tcPr>
          <w:p w14:paraId="6DD087DA"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RedCap UE</w:t>
            </w:r>
          </w:p>
        </w:tc>
        <w:tc>
          <w:tcPr>
            <w:tcW w:w="1325" w:type="dxa"/>
          </w:tcPr>
          <w:p w14:paraId="73F8B426"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38.214</w:t>
            </w:r>
          </w:p>
        </w:tc>
        <w:tc>
          <w:tcPr>
            <w:tcW w:w="900" w:type="dxa"/>
          </w:tcPr>
          <w:p w14:paraId="2723FCA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277" w:type="dxa"/>
          </w:tcPr>
          <w:p w14:paraId="2AA18830"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[Several, TBD]</w:t>
            </w:r>
          </w:p>
        </w:tc>
        <w:tc>
          <w:tcPr>
            <w:tcW w:w="1110" w:type="dxa"/>
          </w:tcPr>
          <w:p w14:paraId="11F25F46"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mcs-Table</w:t>
            </w:r>
          </w:p>
        </w:tc>
        <w:tc>
          <w:tcPr>
            <w:tcW w:w="1256" w:type="dxa"/>
          </w:tcPr>
          <w:p w14:paraId="1A3DBEF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47" w:type="dxa"/>
          </w:tcPr>
          <w:p w14:paraId="4DD509D0"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Existing</w:t>
            </w:r>
          </w:p>
        </w:tc>
        <w:tc>
          <w:tcPr>
            <w:tcW w:w="1675" w:type="dxa"/>
          </w:tcPr>
          <w:p w14:paraId="00E64DDA"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2676" w:type="dxa"/>
          </w:tcPr>
          <w:p w14:paraId="1E455D25"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For a RedCap UE, the 256QAM MCS table for PDSCH is only supported if the UE indicates support of 256QAM for PDSCH.</w:t>
            </w:r>
          </w:p>
        </w:tc>
        <w:tc>
          <w:tcPr>
            <w:tcW w:w="1264" w:type="dxa"/>
          </w:tcPr>
          <w:p w14:paraId="661309B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011" w:type="dxa"/>
          </w:tcPr>
          <w:p w14:paraId="03689C72"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882" w:type="dxa"/>
          </w:tcPr>
          <w:p w14:paraId="5F466CDF"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199" w:type="dxa"/>
          </w:tcPr>
          <w:p w14:paraId="2BCB8E57"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c>
          <w:tcPr>
            <w:tcW w:w="1338" w:type="dxa"/>
          </w:tcPr>
          <w:p w14:paraId="3B206597" w14:textId="77777777" w:rsidR="00045921" w:rsidRDefault="00FA6E73">
            <w:pPr>
              <w:spacing w:afterLines="50" w:after="120" w:line="240" w:lineRule="auto"/>
              <w:rPr>
                <w:rFonts w:eastAsia="ＭＳ 明朝" w:cs="Arial"/>
                <w:color w:val="C00000"/>
                <w:sz w:val="18"/>
                <w:szCs w:val="18"/>
                <w:u w:val="single"/>
                <w:lang w:eastAsia="ja-JP"/>
              </w:rPr>
            </w:pPr>
            <w:r>
              <w:rPr>
                <w:rFonts w:eastAsia="ＭＳ 明朝" w:cs="Arial"/>
                <w:color w:val="C00000"/>
                <w:sz w:val="18"/>
                <w:szCs w:val="18"/>
                <w:u w:val="single"/>
                <w:lang w:eastAsia="ja-JP"/>
              </w:rPr>
              <w:t>38.331</w:t>
            </w:r>
          </w:p>
        </w:tc>
        <w:tc>
          <w:tcPr>
            <w:tcW w:w="2119" w:type="dxa"/>
          </w:tcPr>
          <w:p w14:paraId="64E61E5B" w14:textId="77777777" w:rsidR="00045921" w:rsidRDefault="00FA6E73">
            <w:pPr>
              <w:spacing w:afterLines="50" w:after="120" w:line="240" w:lineRule="auto"/>
              <w:rPr>
                <w:rFonts w:eastAsia="ＭＳ 明朝" w:cs="Arial"/>
                <w:sz w:val="18"/>
                <w:szCs w:val="18"/>
                <w:lang w:eastAsia="ja-JP"/>
              </w:rPr>
            </w:pPr>
            <w:r>
              <w:rPr>
                <w:rFonts w:eastAsia="ＭＳ 明朝" w:cs="Arial"/>
                <w:sz w:val="18"/>
                <w:szCs w:val="18"/>
                <w:lang w:eastAsia="ja-JP"/>
              </w:rPr>
              <w:t> </w:t>
            </w:r>
          </w:p>
        </w:tc>
      </w:tr>
    </w:tbl>
    <w:p w14:paraId="63A7A517"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3175620F"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FL1 Question 6-1: Companies are invited to comment on the above parameters for CQI/MCS table configuration.</w:t>
      </w:r>
    </w:p>
    <w:tbl>
      <w:tblPr>
        <w:tblStyle w:val="afd"/>
        <w:tblW w:w="21258" w:type="dxa"/>
        <w:tblLook w:val="04A0" w:firstRow="1" w:lastRow="0" w:firstColumn="1" w:lastColumn="0" w:noHBand="0" w:noVBand="1"/>
      </w:tblPr>
      <w:tblGrid>
        <w:gridCol w:w="2122"/>
        <w:gridCol w:w="19136"/>
      </w:tblGrid>
      <w:tr w:rsidR="00045921" w14:paraId="0426A16B" w14:textId="77777777">
        <w:trPr>
          <w:trHeight w:val="268"/>
        </w:trPr>
        <w:tc>
          <w:tcPr>
            <w:tcW w:w="2122" w:type="dxa"/>
            <w:shd w:val="clear" w:color="auto" w:fill="D9D9D9" w:themeFill="background1" w:themeFillShade="D9"/>
          </w:tcPr>
          <w:p w14:paraId="7F3FB93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AB10556"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4263E52" w14:textId="77777777">
        <w:tc>
          <w:tcPr>
            <w:tcW w:w="2122" w:type="dxa"/>
          </w:tcPr>
          <w:p w14:paraId="590B2BE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CA1542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045921" w14:paraId="7EDD8017" w14:textId="77777777">
        <w:tc>
          <w:tcPr>
            <w:tcW w:w="2122" w:type="dxa"/>
          </w:tcPr>
          <w:p w14:paraId="7A31CE0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3BA5861"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045921" w14:paraId="1E666729" w14:textId="77777777">
        <w:trPr>
          <w:trHeight w:val="70"/>
        </w:trPr>
        <w:tc>
          <w:tcPr>
            <w:tcW w:w="2122" w:type="dxa"/>
          </w:tcPr>
          <w:p w14:paraId="1287E0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01AB299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045921" w14:paraId="305271CC" w14:textId="77777777">
        <w:tc>
          <w:tcPr>
            <w:tcW w:w="2122" w:type="dxa"/>
          </w:tcPr>
          <w:p w14:paraId="59904E5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1019294F" w14:textId="77777777" w:rsidR="00045921" w:rsidRDefault="00FA6E73">
            <w:pPr>
              <w:pStyle w:val="aff5"/>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Suggest to reuse the existing parameters.</w:t>
            </w:r>
          </w:p>
        </w:tc>
      </w:tr>
      <w:tr w:rsidR="00045921" w14:paraId="602A8693" w14:textId="77777777">
        <w:tc>
          <w:tcPr>
            <w:tcW w:w="2122" w:type="dxa"/>
          </w:tcPr>
          <w:p w14:paraId="65E47E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09D58A62" w14:textId="77777777" w:rsidR="00045921" w:rsidRDefault="00FA6E73">
            <w:pPr>
              <w:pStyle w:val="aff5"/>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Prefer to reuse the existing parameters as much as possible.</w:t>
            </w:r>
          </w:p>
        </w:tc>
      </w:tr>
      <w:tr w:rsidR="00045921" w14:paraId="506BB90C" w14:textId="77777777">
        <w:tc>
          <w:tcPr>
            <w:tcW w:w="2122" w:type="dxa"/>
          </w:tcPr>
          <w:p w14:paraId="5A799F5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06E3136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 rows are not intended to introduce new parameters, only modify descriptions of existing parameters.</w:t>
            </w:r>
          </w:p>
        </w:tc>
      </w:tr>
    </w:tbl>
    <w:p w14:paraId="4FA6D368"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4E0912A6"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 xml:space="preserve">FL2 Question 6-2: Companies are invited to comment on the (unchanged) parameters for CQI/MCS table configuration in </w:t>
      </w:r>
      <w:hyperlink r:id="rId23" w:history="1">
        <w:r>
          <w:rPr>
            <w:rStyle w:val="aff2"/>
            <w:rFonts w:ascii="Times New Roman" w:eastAsia="ＭＳ 明朝" w:hAnsi="Times New Roman" w:cs="Times New Roman"/>
            <w:b/>
            <w:bCs/>
            <w:i/>
            <w:iCs/>
            <w:szCs w:val="20"/>
            <w:lang w:val="en-GB" w:eastAsia="ja-JP"/>
          </w:rPr>
          <w:t>RedCapParamList-v001</w:t>
        </w:r>
      </w:hyperlink>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604749F5" w14:textId="77777777">
        <w:trPr>
          <w:trHeight w:val="268"/>
        </w:trPr>
        <w:tc>
          <w:tcPr>
            <w:tcW w:w="2122" w:type="dxa"/>
            <w:shd w:val="clear" w:color="auto" w:fill="D9D9D9" w:themeFill="background1" w:themeFillShade="D9"/>
          </w:tcPr>
          <w:p w14:paraId="4D1D4A4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7B7C6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4AD0F7B" w14:textId="77777777">
        <w:tc>
          <w:tcPr>
            <w:tcW w:w="2122" w:type="dxa"/>
          </w:tcPr>
          <w:p w14:paraId="29ED290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A4BB0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60F6B605" w14:textId="77777777">
        <w:tc>
          <w:tcPr>
            <w:tcW w:w="2122" w:type="dxa"/>
          </w:tcPr>
          <w:p w14:paraId="4E379CB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46846A8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Fine with the update. Additionally, when the separate initial UL BWP is configured, pucch-ResourceCommon in </w:t>
            </w:r>
            <w:r>
              <w:rPr>
                <w:rFonts w:ascii="Times New Roman" w:eastAsia="SimSun" w:hAnsi="Times New Roman" w:cs="Times New Roman"/>
                <w:sz w:val="20"/>
                <w:szCs w:val="20"/>
                <w:lang w:eastAsia="zh-CN"/>
              </w:rPr>
              <w:t>PUCCH-ConfigCommon</w:t>
            </w:r>
            <w:r>
              <w:rPr>
                <w:rFonts w:ascii="Times New Roman" w:eastAsia="SimSun" w:hAnsi="Times New Roman" w:cs="Times New Roman" w:hint="eastAsia"/>
                <w:sz w:val="20"/>
                <w:szCs w:val="20"/>
                <w:lang w:eastAsia="zh-CN"/>
              </w:rPr>
              <w:t xml:space="preserve"> need to be newly defined for RedCap UE, if the PUCCH resource allocation is different with the legacy.</w:t>
            </w:r>
          </w:p>
        </w:tc>
      </w:tr>
      <w:tr w:rsidR="00045921" w14:paraId="73918D82" w14:textId="77777777">
        <w:tc>
          <w:tcPr>
            <w:tcW w:w="2122" w:type="dxa"/>
          </w:tcPr>
          <w:p w14:paraId="73B1D1E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07CD8C7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r>
              <w:rPr>
                <w:rFonts w:ascii="Times New Roman" w:eastAsia="SimSun" w:hAnsi="Times New Roman" w:cs="Times New Roman"/>
                <w:sz w:val="20"/>
                <w:szCs w:val="20"/>
                <w:lang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SimSun" w:hAnsi="Times New Roman" w:cs="Times New Roman"/>
                <w:sz w:val="20"/>
                <w:szCs w:val="20"/>
                <w:lang w:eastAsia="zh-CN"/>
              </w:rPr>
              <w:t xml:space="preserve">network is expected to configure the UE consistently with its capability signaling report. </w:t>
            </w:r>
          </w:p>
        </w:tc>
      </w:tr>
    </w:tbl>
    <w:p w14:paraId="31EEB8DA"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2E364A27" w14:textId="77777777" w:rsidR="00045921" w:rsidRDefault="00FA6E73">
      <w:pPr>
        <w:pStyle w:val="1"/>
      </w:pPr>
      <w:r>
        <w:t>7</w:t>
      </w:r>
      <w:r>
        <w:tab/>
        <w:t>Other comments</w:t>
      </w:r>
    </w:p>
    <w:p w14:paraId="73C79487"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t xml:space="preserve">FL1 Question 7-1: Companies are invited to provide any other comments they might have on RRC parameters for </w:t>
      </w:r>
      <w:proofErr w:type="spellStart"/>
      <w:r>
        <w:rPr>
          <w:rFonts w:ascii="Times New Roman" w:eastAsia="ＭＳ 明朝" w:hAnsi="Times New Roman" w:cs="Times New Roman"/>
          <w:b/>
          <w:bCs/>
          <w:szCs w:val="20"/>
          <w:lang w:val="en-GB" w:eastAsia="ja-JP"/>
        </w:rPr>
        <w:t>RedCap</w:t>
      </w:r>
      <w:proofErr w:type="spellEnd"/>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3173C0EE" w14:textId="77777777">
        <w:trPr>
          <w:trHeight w:val="268"/>
        </w:trPr>
        <w:tc>
          <w:tcPr>
            <w:tcW w:w="2122" w:type="dxa"/>
            <w:shd w:val="clear" w:color="auto" w:fill="D9D9D9" w:themeFill="background1" w:themeFillShade="D9"/>
          </w:tcPr>
          <w:p w14:paraId="4A9A017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1382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3CE34E5" w14:textId="77777777">
        <w:tc>
          <w:tcPr>
            <w:tcW w:w="2122" w:type="dxa"/>
          </w:tcPr>
          <w:p w14:paraId="40BD3FCE"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ZTE, Sanechips</w:t>
            </w:r>
          </w:p>
        </w:tc>
        <w:tc>
          <w:tcPr>
            <w:tcW w:w="19136" w:type="dxa"/>
          </w:tcPr>
          <w:p w14:paraId="37459768"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045921" w14:paraId="4C1B0DE7" w14:textId="77777777">
        <w:tc>
          <w:tcPr>
            <w:tcW w:w="2122" w:type="dxa"/>
          </w:tcPr>
          <w:p w14:paraId="18CFECF1"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7BC1926B" w14:textId="77777777" w:rsidR="00045921" w:rsidRDefault="00FA6E7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44F13AA6" w14:textId="77777777" w:rsidR="00045921" w:rsidRDefault="00045921">
      <w:pPr>
        <w:spacing w:afterLines="50" w:after="120" w:line="240" w:lineRule="auto"/>
        <w:jc w:val="both"/>
        <w:rPr>
          <w:rFonts w:ascii="Times New Roman" w:eastAsia="ＭＳ 明朝" w:hAnsi="Times New Roman" w:cs="Times New Roman"/>
          <w:szCs w:val="20"/>
          <w:lang w:val="en-GB" w:eastAsia="ja-JP"/>
        </w:rPr>
      </w:pPr>
    </w:p>
    <w:p w14:paraId="7563C313" w14:textId="77777777" w:rsidR="00045921" w:rsidRDefault="00FA6E73">
      <w:pPr>
        <w:spacing w:afterLines="50" w:after="120" w:line="240" w:lineRule="auto"/>
        <w:jc w:val="both"/>
        <w:rPr>
          <w:rFonts w:ascii="Times New Roman" w:eastAsia="ＭＳ 明朝" w:hAnsi="Times New Roman" w:cs="Times New Roman"/>
          <w:b/>
          <w:bCs/>
          <w:szCs w:val="20"/>
          <w:lang w:val="en-GB" w:eastAsia="ja-JP"/>
        </w:rPr>
      </w:pPr>
      <w:r>
        <w:rPr>
          <w:rFonts w:ascii="Times New Roman" w:eastAsia="ＭＳ 明朝" w:hAnsi="Times New Roman" w:cs="Times New Roman"/>
          <w:b/>
          <w:bCs/>
          <w:szCs w:val="20"/>
          <w:lang w:val="en-GB" w:eastAsia="ja-JP"/>
        </w:rPr>
        <w:lastRenderedPageBreak/>
        <w:t xml:space="preserve">FL2 Question 7-2: Companies are invited to provide any other comments they might have on the updated RRC parameters for </w:t>
      </w:r>
      <w:proofErr w:type="spellStart"/>
      <w:r>
        <w:rPr>
          <w:rFonts w:ascii="Times New Roman" w:eastAsia="ＭＳ 明朝" w:hAnsi="Times New Roman" w:cs="Times New Roman"/>
          <w:b/>
          <w:bCs/>
          <w:szCs w:val="20"/>
          <w:lang w:val="en-GB" w:eastAsia="ja-JP"/>
        </w:rPr>
        <w:t>RedCap</w:t>
      </w:r>
      <w:proofErr w:type="spellEnd"/>
      <w:r>
        <w:rPr>
          <w:rFonts w:ascii="Times New Roman" w:eastAsia="ＭＳ 明朝" w:hAnsi="Times New Roman" w:cs="Times New Roman"/>
          <w:b/>
          <w:bCs/>
          <w:szCs w:val="20"/>
          <w:lang w:val="en-GB" w:eastAsia="ja-JP"/>
        </w:rPr>
        <w:t xml:space="preserve"> in </w:t>
      </w:r>
      <w:hyperlink r:id="rId24" w:history="1">
        <w:r>
          <w:rPr>
            <w:rStyle w:val="aff2"/>
            <w:rFonts w:ascii="Times New Roman" w:eastAsia="ＭＳ 明朝" w:hAnsi="Times New Roman" w:cs="Times New Roman"/>
            <w:b/>
            <w:bCs/>
            <w:i/>
            <w:iCs/>
            <w:szCs w:val="20"/>
            <w:lang w:val="en-GB" w:eastAsia="ja-JP"/>
          </w:rPr>
          <w:t>RedCapParamList-v001</w:t>
        </w:r>
      </w:hyperlink>
      <w:r>
        <w:rPr>
          <w:rFonts w:ascii="Times New Roman" w:eastAsia="ＭＳ 明朝" w:hAnsi="Times New Roman" w:cs="Times New Roman"/>
          <w:b/>
          <w:bCs/>
          <w:szCs w:val="20"/>
          <w:lang w:val="en-GB" w:eastAsia="ja-JP"/>
        </w:rPr>
        <w:t>.</w:t>
      </w:r>
    </w:p>
    <w:tbl>
      <w:tblPr>
        <w:tblStyle w:val="afd"/>
        <w:tblW w:w="21258" w:type="dxa"/>
        <w:tblLook w:val="04A0" w:firstRow="1" w:lastRow="0" w:firstColumn="1" w:lastColumn="0" w:noHBand="0" w:noVBand="1"/>
      </w:tblPr>
      <w:tblGrid>
        <w:gridCol w:w="2122"/>
        <w:gridCol w:w="19136"/>
      </w:tblGrid>
      <w:tr w:rsidR="00045921" w14:paraId="080D17AA" w14:textId="77777777">
        <w:trPr>
          <w:trHeight w:val="268"/>
        </w:trPr>
        <w:tc>
          <w:tcPr>
            <w:tcW w:w="2122" w:type="dxa"/>
            <w:shd w:val="clear" w:color="auto" w:fill="D9D9D9" w:themeFill="background1" w:themeFillShade="D9"/>
          </w:tcPr>
          <w:p w14:paraId="0F3FA8C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83A1A3B"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D7B0CB1" w14:textId="77777777">
        <w:tc>
          <w:tcPr>
            <w:tcW w:w="2122" w:type="dxa"/>
          </w:tcPr>
          <w:p w14:paraId="79517A25" w14:textId="77777777" w:rsidR="00045921" w:rsidRDefault="00045921">
            <w:pPr>
              <w:rPr>
                <w:rFonts w:ascii="Times New Roman" w:hAnsi="Times New Roman" w:cs="Times New Roman"/>
                <w:sz w:val="20"/>
                <w:szCs w:val="20"/>
                <w:lang w:eastAsia="ko-KR"/>
              </w:rPr>
            </w:pPr>
          </w:p>
        </w:tc>
        <w:tc>
          <w:tcPr>
            <w:tcW w:w="19136" w:type="dxa"/>
          </w:tcPr>
          <w:p w14:paraId="45C7CFC8" w14:textId="77777777" w:rsidR="00045921" w:rsidRDefault="00045921">
            <w:pPr>
              <w:rPr>
                <w:rFonts w:ascii="Times New Roman" w:hAnsi="Times New Roman" w:cs="Times New Roman"/>
                <w:sz w:val="20"/>
                <w:szCs w:val="20"/>
                <w:lang w:eastAsia="ko-KR"/>
              </w:rPr>
            </w:pPr>
          </w:p>
        </w:tc>
      </w:tr>
      <w:tr w:rsidR="00045921" w14:paraId="3E2AA28C" w14:textId="77777777">
        <w:tc>
          <w:tcPr>
            <w:tcW w:w="2122" w:type="dxa"/>
          </w:tcPr>
          <w:p w14:paraId="14A29E65" w14:textId="77777777" w:rsidR="00045921" w:rsidRDefault="00045921">
            <w:pPr>
              <w:rPr>
                <w:rFonts w:ascii="Times New Roman" w:eastAsia="DengXian" w:hAnsi="Times New Roman" w:cs="Times New Roman"/>
                <w:sz w:val="20"/>
                <w:szCs w:val="20"/>
                <w:lang w:eastAsia="zh-CN"/>
              </w:rPr>
            </w:pPr>
          </w:p>
        </w:tc>
        <w:tc>
          <w:tcPr>
            <w:tcW w:w="19136" w:type="dxa"/>
          </w:tcPr>
          <w:p w14:paraId="3DA35618" w14:textId="77777777" w:rsidR="00045921" w:rsidRDefault="00045921">
            <w:pPr>
              <w:spacing w:after="180" w:line="252" w:lineRule="auto"/>
              <w:contextualSpacing/>
              <w:rPr>
                <w:rFonts w:ascii="Times New Roman" w:eastAsia="DengXian" w:hAnsi="Times New Roman" w:cs="Times New Roman"/>
                <w:sz w:val="20"/>
                <w:szCs w:val="20"/>
                <w:lang w:eastAsia="zh-CN"/>
              </w:rPr>
            </w:pPr>
          </w:p>
        </w:tc>
      </w:tr>
      <w:tr w:rsidR="00045921" w14:paraId="3810D07A" w14:textId="77777777">
        <w:tc>
          <w:tcPr>
            <w:tcW w:w="2122" w:type="dxa"/>
          </w:tcPr>
          <w:p w14:paraId="04AAA7CF" w14:textId="77777777" w:rsidR="00045921" w:rsidRDefault="00045921">
            <w:pPr>
              <w:rPr>
                <w:rFonts w:ascii="Times New Roman" w:eastAsia="SimSun" w:hAnsi="Times New Roman" w:cs="Times New Roman"/>
                <w:sz w:val="20"/>
                <w:szCs w:val="20"/>
                <w:lang w:eastAsia="zh-CN"/>
              </w:rPr>
            </w:pPr>
          </w:p>
        </w:tc>
        <w:tc>
          <w:tcPr>
            <w:tcW w:w="19136" w:type="dxa"/>
          </w:tcPr>
          <w:p w14:paraId="21F46699" w14:textId="77777777" w:rsidR="00045921" w:rsidRDefault="00045921">
            <w:pPr>
              <w:rPr>
                <w:rFonts w:ascii="Times New Roman" w:eastAsia="SimSun" w:hAnsi="Times New Roman" w:cs="Times New Roman"/>
                <w:sz w:val="20"/>
                <w:szCs w:val="20"/>
                <w:lang w:eastAsia="zh-CN"/>
              </w:rPr>
            </w:pPr>
          </w:p>
        </w:tc>
      </w:tr>
    </w:tbl>
    <w:p w14:paraId="781AAA70" w14:textId="77777777" w:rsidR="00045921" w:rsidRDefault="00045921">
      <w:pPr>
        <w:spacing w:afterLines="50" w:after="120" w:line="240" w:lineRule="auto"/>
        <w:jc w:val="both"/>
        <w:rPr>
          <w:rFonts w:ascii="Times New Roman" w:eastAsia="ＭＳ 明朝" w:hAnsi="Times New Roman" w:cs="Times New Roman"/>
          <w:sz w:val="22"/>
          <w:szCs w:val="20"/>
          <w:lang w:val="en-GB" w:eastAsia="ja-JP"/>
        </w:rPr>
      </w:pPr>
    </w:p>
    <w:sectPr w:rsidR="00045921">
      <w:headerReference w:type="even" r:id="rId25"/>
      <w:footerReference w:type="default" r:id="rId2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3C9B9" w14:textId="77777777" w:rsidR="00875B35" w:rsidRDefault="00875B35">
      <w:pPr>
        <w:spacing w:after="0" w:line="240" w:lineRule="auto"/>
      </w:pPr>
      <w:r>
        <w:separator/>
      </w:r>
    </w:p>
  </w:endnote>
  <w:endnote w:type="continuationSeparator" w:id="0">
    <w:p w14:paraId="7667B6EF" w14:textId="77777777" w:rsidR="00875B35" w:rsidRDefault="0087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FA6E73" w:rsidRDefault="00FA6E73">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7</w:t>
    </w:r>
    <w:r>
      <w:rPr>
        <w:rStyle w:val="aff"/>
      </w:rPr>
      <w:fldChar w:fldCharType="end"/>
    </w:r>
    <w:r>
      <w:rPr>
        <w:rStyle w:val="a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FA6E73" w:rsidRDefault="00FA6E73">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7</w:t>
    </w:r>
    <w:r>
      <w:rPr>
        <w:rStyle w:val="aff"/>
      </w:rPr>
      <w:fldChar w:fldCharType="end"/>
    </w:r>
    <w:r>
      <w:rPr>
        <w:rStyle w:val="aff"/>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F9960" w14:textId="77777777" w:rsidR="00875B35" w:rsidRDefault="00875B35">
      <w:pPr>
        <w:spacing w:after="0" w:line="240" w:lineRule="auto"/>
      </w:pPr>
      <w:r>
        <w:separator/>
      </w:r>
    </w:p>
  </w:footnote>
  <w:footnote w:type="continuationSeparator" w:id="0">
    <w:p w14:paraId="1D8396EC" w14:textId="77777777" w:rsidR="00875B35" w:rsidRDefault="0087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FA6E73" w:rsidRDefault="00FA6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FA6E73" w:rsidRDefault="00FA6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1"/>
  </w:num>
  <w:num w:numId="4">
    <w:abstractNumId w:val="6"/>
  </w:num>
  <w:num w:numId="5">
    <w:abstractNumId w:val="4"/>
  </w:num>
  <w:num w:numId="6">
    <w:abstractNumId w:val="16"/>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19"/>
  </w:num>
  <w:num w:numId="18">
    <w:abstractNumId w:val="8"/>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We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本文 (文字)"/>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목록단락"/>
    <w:basedOn w:val="a1"/>
    <w:link w:val="aff6"/>
    <w:uiPriority w:val="34"/>
    <w:qFormat/>
    <w:pPr>
      <w:spacing w:after="0"/>
      <w:ind w:left="720"/>
    </w:pPr>
    <w:rPr>
      <w:rFonts w:ascii="Calibri" w:eastAsia="Calibri" w:hAnsi="Calibri"/>
      <w:sz w:val="22"/>
      <w:lang w:val="zh-CN"/>
    </w:rPr>
  </w:style>
  <w:style w:type="character" w:customStyle="1" w:styleId="aff6">
    <w:name w:val="リスト段落 (文字)"/>
    <w:aliases w:val="- Bullets (文字),?? ?? (文字),????? (文字),???? (文字),Lista1 (文字),列出段落 (文字),목록 단락 (文字),列出段落1 (文字),中等深浅网格 1 - 着色 21 (文字),R4_bullets (文字),列表段落1 (文字),—ño’i—Ž (文字),¥¡¡¡¡ì¬º¥¹¥È¶ÎÂä (文字),ÁÐ³ö¶ÎÂä (文字),¥ê¥¹¥È¶ÎÂä (文字),Lettre d'introduction (文字),목록단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5"/>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図表番号 (文字)"/>
    <w:link w:val="a8"/>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7">
    <w:name w:val="Placeholder Text"/>
    <w:basedOn w:val="a2"/>
    <w:uiPriority w:val="99"/>
    <w:semiHidden/>
    <w:qFormat/>
    <w:rPr>
      <w:color w:val="808080"/>
    </w:rPr>
  </w:style>
  <w:style w:type="character" w:customStyle="1" w:styleId="B1Zchn">
    <w:name w:val="B1 Zchn"/>
    <w:qFormat/>
    <w:rPr>
      <w:lang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15">
    <w:name w:val="@他1"/>
    <w:basedOn w:val="a2"/>
    <w:uiPriority w:val="99"/>
    <w:unhideWhenUsed/>
    <w:qFormat/>
    <w:rPr>
      <w:color w:val="2B579A"/>
      <w:shd w:val="clear" w:color="auto" w:fill="E1DFDD"/>
    </w:rPr>
  </w:style>
  <w:style w:type="paragraph" w:customStyle="1" w:styleId="16">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1"/>
    <w:link w:val="CommentsChar"/>
    <w:qFormat/>
    <w:pPr>
      <w:spacing w:before="40" w:after="0" w:line="240" w:lineRule="auto"/>
    </w:pPr>
    <w:rPr>
      <w:rFonts w:eastAsia="ＭＳ 明朝"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7">
    <w:name w:val="未处理的提及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1.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1.xls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3842</Words>
  <Characters>21906</Characters>
  <Application>Microsoft Office Word</Application>
  <DocSecurity>0</DocSecurity>
  <Lines>182</Lines>
  <Paragraphs>51</Paragraphs>
  <ScaleCrop>false</ScaleCrop>
  <Company>Ericsson</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Sharp</cp:lastModifiedBy>
  <cp:revision>21</cp:revision>
  <cp:lastPrinted>2008-01-31T16:09:00Z</cp:lastPrinted>
  <dcterms:created xsi:type="dcterms:W3CDTF">2021-10-14T01:17:00Z</dcterms:created>
  <dcterms:modified xsi:type="dcterms:W3CDTF">2021-10-15T00:31:00Z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