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921" w:rsidRDefault="00FA6E73">
      <w:pPr>
        <w:pStyle w:val="3GPPHeader"/>
        <w:spacing w:after="60"/>
        <w:rPr>
          <w:sz w:val="32"/>
          <w:szCs w:val="32"/>
        </w:rPr>
      </w:pPr>
      <w:r>
        <w:t>3GPP TSG-RAN WG1 Meeting #106bis-e</w:t>
      </w:r>
      <w:r>
        <w:tab/>
      </w:r>
      <w:r>
        <w:rPr>
          <w:sz w:val="32"/>
          <w:szCs w:val="32"/>
        </w:rPr>
        <w:t>R1-21xxxxx</w:t>
      </w:r>
    </w:p>
    <w:p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rsidR="00045921" w:rsidRDefault="00045921">
      <w:pPr>
        <w:pStyle w:val="3GPPHeader"/>
        <w:rPr>
          <w:sz w:val="22"/>
          <w:szCs w:val="20"/>
        </w:rPr>
      </w:pPr>
    </w:p>
    <w:p w:rsidR="00045921" w:rsidRDefault="00FA6E73">
      <w:pPr>
        <w:pStyle w:val="3GPPHeader"/>
        <w:rPr>
          <w:sz w:val="20"/>
          <w:szCs w:val="20"/>
        </w:rPr>
      </w:pPr>
      <w:r>
        <w:rPr>
          <w:sz w:val="20"/>
          <w:szCs w:val="20"/>
        </w:rPr>
        <w:t>Agenda Item:</w:t>
      </w:r>
      <w:r>
        <w:rPr>
          <w:sz w:val="20"/>
          <w:szCs w:val="20"/>
        </w:rPr>
        <w:tab/>
        <w:t>8.6</w:t>
      </w:r>
    </w:p>
    <w:p w:rsidR="00045921" w:rsidRDefault="00FA6E73">
      <w:pPr>
        <w:pStyle w:val="3GPPHeader"/>
        <w:rPr>
          <w:sz w:val="20"/>
          <w:szCs w:val="20"/>
        </w:rPr>
      </w:pPr>
      <w:r>
        <w:rPr>
          <w:sz w:val="20"/>
          <w:szCs w:val="20"/>
        </w:rPr>
        <w:t>Title:</w:t>
      </w:r>
      <w:r>
        <w:rPr>
          <w:sz w:val="20"/>
          <w:szCs w:val="20"/>
        </w:rPr>
        <w:tab/>
        <w:t xml:space="preserve">FL summary on RAN1 RRC parameter list for Rel-17 NR </w:t>
      </w:r>
      <w:proofErr w:type="spellStart"/>
      <w:r>
        <w:rPr>
          <w:sz w:val="20"/>
          <w:szCs w:val="20"/>
        </w:rPr>
        <w:t>RedCap</w:t>
      </w:r>
      <w:proofErr w:type="spellEnd"/>
    </w:p>
    <w:p w:rsidR="00045921" w:rsidRDefault="00FA6E73">
      <w:pPr>
        <w:pStyle w:val="3GPPHeader"/>
        <w:rPr>
          <w:sz w:val="20"/>
          <w:szCs w:val="20"/>
        </w:rPr>
      </w:pPr>
      <w:r>
        <w:rPr>
          <w:sz w:val="20"/>
          <w:szCs w:val="20"/>
        </w:rPr>
        <w:t>Source:</w:t>
      </w:r>
      <w:r>
        <w:rPr>
          <w:sz w:val="20"/>
          <w:szCs w:val="20"/>
        </w:rPr>
        <w:tab/>
        <w:t>Moderator (Ericsson)</w:t>
      </w:r>
    </w:p>
    <w:p w:rsidR="00045921" w:rsidRDefault="00FA6E73">
      <w:pPr>
        <w:pStyle w:val="3GPPHeader"/>
        <w:rPr>
          <w:sz w:val="20"/>
          <w:szCs w:val="20"/>
        </w:rPr>
      </w:pPr>
      <w:r>
        <w:rPr>
          <w:sz w:val="20"/>
          <w:szCs w:val="20"/>
        </w:rPr>
        <w:t>Document for:</w:t>
      </w:r>
      <w:r>
        <w:rPr>
          <w:sz w:val="20"/>
          <w:szCs w:val="20"/>
        </w:rPr>
        <w:tab/>
        <w:t>Discussion, Decision</w:t>
      </w:r>
    </w:p>
    <w:p w:rsidR="00045921" w:rsidRDefault="00FA6E73">
      <w:pPr>
        <w:pStyle w:val="1"/>
      </w:pPr>
      <w:r>
        <w:t>1</w:t>
      </w:r>
      <w:r>
        <w:tab/>
        <w:t>Introduction</w:t>
      </w:r>
    </w:p>
    <w:p w:rsidR="00045921" w:rsidRDefault="00FA6E73">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045921">
        <w:tc>
          <w:tcPr>
            <w:tcW w:w="9630" w:type="dxa"/>
            <w:tcBorders>
              <w:top w:val="single" w:sz="4" w:space="0" w:color="auto"/>
              <w:left w:val="single" w:sz="4" w:space="0" w:color="auto"/>
              <w:bottom w:val="single" w:sz="4" w:space="0" w:color="auto"/>
              <w:right w:val="single" w:sz="4" w:space="0" w:color="auto"/>
            </w:tcBorders>
          </w:tcPr>
          <w:p w:rsidR="00045921" w:rsidRDefault="00FA6E73">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rsidR="00045921" w:rsidRDefault="00FA6E73">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rsidR="00045921" w:rsidRDefault="00FA6E7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 xml:space="preserve">. </w:t>
      </w:r>
    </w:p>
    <w:p w:rsidR="00045921" w:rsidRDefault="00FA6E73">
      <w:pPr>
        <w:jc w:val="both"/>
        <w:rPr>
          <w:rFonts w:ascii="Times New Roman" w:hAnsi="Times New Roman" w:cs="Times New Roman"/>
          <w:szCs w:val="20"/>
        </w:rPr>
      </w:pPr>
      <w:r>
        <w:rPr>
          <w:rFonts w:ascii="Times New Roman" w:hAnsi="Times New Roman" w:cs="Times New Roman"/>
          <w:szCs w:val="20"/>
        </w:rPr>
        <w:t>Follow the naming convention in this example:</w:t>
      </w:r>
    </w:p>
    <w:p w:rsidR="00045921" w:rsidRDefault="00FA6E73">
      <w:pPr>
        <w:pStyle w:val="aff6"/>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rsidR="00045921" w:rsidRDefault="00FA6E73">
      <w:pPr>
        <w:pStyle w:val="aff6"/>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rsidR="00045921" w:rsidRDefault="00FA6E73">
      <w:pPr>
        <w:pStyle w:val="aff6"/>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rsidR="00045921" w:rsidRDefault="00FA6E73">
      <w:pPr>
        <w:pStyle w:val="aff6"/>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rsidR="00045921" w:rsidRDefault="00FA6E73">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rsidR="00045921" w:rsidRDefault="00FA6E73">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rsidR="00045921" w:rsidRDefault="00FA6E73">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rsidR="00045921" w:rsidRDefault="00FA6E73">
      <w:pPr>
        <w:pStyle w:val="aff6"/>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w:t>
      </w:r>
      <w:r>
        <w:rPr>
          <w:rFonts w:ascii="Times New Roman" w:eastAsia="Times New Roman" w:hAnsi="Times New Roman" w:cs="Times New Roman"/>
          <w:sz w:val="20"/>
          <w:szCs w:val="20"/>
          <w:lang w:val="sv-SE"/>
        </w:rPr>
        <w:t>below</w:t>
      </w:r>
      <w:r>
        <w:rPr>
          <w:rFonts w:ascii="Times New Roman" w:eastAsia="Times New Roman" w:hAnsi="Times New Roman" w:cs="Times New Roman"/>
          <w:sz w:val="20"/>
          <w:szCs w:val="20"/>
          <w:lang w:val="en-US"/>
        </w:rPr>
        <w:t>).</w:t>
      </w:r>
    </w:p>
    <w:p w:rsidR="00045921" w:rsidRDefault="00FA6E73">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rsidR="00045921" w:rsidRDefault="00FA6E73">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045921" w:rsidRDefault="00FA6E73">
      <w:pPr>
        <w:pStyle w:val="aff6"/>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045921" w:rsidRDefault="00FA6E73">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3"/>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rsidR="00045921" w:rsidRDefault="00FA6E73">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rsidR="00045921" w:rsidRDefault="00FA6E73">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045921">
        <w:tc>
          <w:tcPr>
            <w:tcW w:w="2830" w:type="dxa"/>
            <w:tcBorders>
              <w:top w:val="single" w:sz="4" w:space="0" w:color="auto"/>
              <w:left w:val="single" w:sz="4" w:space="0" w:color="auto"/>
              <w:bottom w:val="single" w:sz="4" w:space="0" w:color="auto"/>
              <w:right w:val="single" w:sz="4" w:space="0" w:color="auto"/>
            </w:tcBorders>
            <w:shd w:val="clear" w:color="auto" w:fill="BFBFBF"/>
          </w:tcPr>
          <w:p w:rsidR="00045921" w:rsidRDefault="00FA6E7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rsidR="00045921" w:rsidRDefault="00FA6E7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rsidR="00045921" w:rsidRDefault="00FA6E73">
            <w:pPr>
              <w:spacing w:after="0" w:line="256" w:lineRule="auto"/>
              <w:jc w:val="center"/>
              <w:rPr>
                <w:rFonts w:ascii="Times New Roman" w:eastAsia="Batang" w:hAnsi="Times New Roman" w:cs="Times New Roman"/>
                <w:b/>
                <w:szCs w:val="20"/>
                <w:lang w:val="sv-SE"/>
              </w:rPr>
            </w:pPr>
            <w:r>
              <w:rPr>
                <w:rFonts w:ascii="Times New Roman" w:eastAsia="Batang" w:hAnsi="Times New Roman" w:cs="Times New Roman"/>
                <w:b/>
                <w:szCs w:val="20"/>
                <w:lang w:val="sv-SE"/>
              </w:rPr>
              <w:t>Email address</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Batang" w:hAnsi="Times New Roman" w:cs="Times New Roman"/>
                <w:szCs w:val="20"/>
                <w:lang w:val="sv-SE"/>
              </w:rPr>
              <w:t>Huawei, HiSilicon</w:t>
            </w:r>
          </w:p>
        </w:tc>
        <w:tc>
          <w:tcPr>
            <w:tcW w:w="241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Batang" w:hAnsi="Times New Roman" w:cs="Times New Roman"/>
                <w:szCs w:val="20"/>
                <w:lang w:val="sv-SE"/>
              </w:rPr>
              <w:t>Wang Yi</w:t>
            </w:r>
          </w:p>
        </w:tc>
        <w:tc>
          <w:tcPr>
            <w:tcW w:w="4394"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Batang" w:hAnsi="Times New Roman" w:cs="Times New Roman"/>
                <w:szCs w:val="20"/>
                <w:lang w:val="sv-SE"/>
              </w:rPr>
              <w:t>wangyi6@huawei.com</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等线" w:hAnsi="Times New Roman" w:cs="Times New Roman" w:hint="eastAsia"/>
                <w:szCs w:val="20"/>
                <w:lang w:val="sv-SE" w:eastAsia="zh-CN"/>
              </w:rPr>
              <w:t>v</w:t>
            </w:r>
            <w:r>
              <w:rPr>
                <w:rFonts w:ascii="Times New Roman" w:eastAsia="等线" w:hAnsi="Times New Roman" w:cs="Times New Roman"/>
                <w:szCs w:val="20"/>
                <w:lang w:val="sv-SE" w:eastAsia="zh-CN"/>
              </w:rPr>
              <w:t>ivo</w:t>
            </w:r>
          </w:p>
        </w:tc>
        <w:tc>
          <w:tcPr>
            <w:tcW w:w="241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等线" w:hAnsi="Times New Roman" w:cs="Times New Roman" w:hint="eastAsia"/>
                <w:szCs w:val="20"/>
                <w:lang w:val="sv-SE" w:eastAsia="zh-CN"/>
              </w:rPr>
              <w:t>X</w:t>
            </w:r>
            <w:r>
              <w:rPr>
                <w:rFonts w:ascii="Times New Roman" w:eastAsia="等线" w:hAnsi="Times New Roman" w:cs="Times New Roman"/>
                <w:szCs w:val="20"/>
                <w:lang w:val="sv-SE" w:eastAsia="zh-CN"/>
              </w:rPr>
              <w:t>ueming Pan</w:t>
            </w:r>
          </w:p>
        </w:tc>
        <w:tc>
          <w:tcPr>
            <w:tcW w:w="4394"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等线" w:hAnsi="Times New Roman" w:cs="Times New Roman" w:hint="eastAsia"/>
                <w:szCs w:val="20"/>
                <w:lang w:val="sv-SE" w:eastAsia="zh-CN"/>
              </w:rPr>
              <w:t>p</w:t>
            </w:r>
            <w:r>
              <w:rPr>
                <w:rFonts w:ascii="Times New Roman" w:eastAsia="等线" w:hAnsi="Times New Roman" w:cs="Times New Roman"/>
                <w:szCs w:val="20"/>
                <w:lang w:val="sv-SE" w:eastAsia="zh-CN"/>
              </w:rPr>
              <w:t>anxueming@vivo.com</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Yu Mincho" w:hAnsi="Times New Roman" w:cs="Times New Roman"/>
                <w:szCs w:val="20"/>
                <w:lang w:val="sv-SE" w:eastAsia="ja-JP"/>
              </w:rPr>
            </w:pPr>
            <w:r>
              <w:rPr>
                <w:rFonts w:ascii="Times New Roman" w:eastAsia="Yu Mincho" w:hAnsi="Times New Roman" w:cs="Times New Roman"/>
                <w:szCs w:val="20"/>
                <w:lang w:val="sv-SE"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Yu Mincho" w:hAnsi="Times New Roman" w:cs="Times New Roman"/>
                <w:szCs w:val="20"/>
                <w:lang w:val="sv-SE" w:eastAsia="ja-JP"/>
              </w:rPr>
            </w:pPr>
            <w:r>
              <w:rPr>
                <w:rFonts w:ascii="Times New Roman" w:eastAsia="Yu Mincho" w:hAnsi="Times New Roman" w:cs="Times New Roman"/>
                <w:szCs w:val="20"/>
                <w:lang w:val="sv-SE"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Batang" w:hAnsi="Times New Roman" w:cs="Times New Roman"/>
                <w:szCs w:val="20"/>
                <w:lang w:val="sv-SE"/>
              </w:rPr>
              <w:t>debdeep.chatterjee@intel.com</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Yu Mincho" w:hAnsi="Times New Roman" w:cs="Times New Roman"/>
                <w:szCs w:val="20"/>
                <w:lang w:val="sv-SE" w:eastAsia="ja-JP"/>
              </w:rPr>
              <w:lastRenderedPageBreak/>
              <w:t>Futurewei</w:t>
            </w:r>
          </w:p>
        </w:tc>
        <w:tc>
          <w:tcPr>
            <w:tcW w:w="241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Yu Mincho" w:hAnsi="Times New Roman" w:cs="Times New Roman"/>
                <w:szCs w:val="20"/>
                <w:lang w:val="sv-SE" w:eastAsia="ja-JP"/>
              </w:rPr>
              <w:t>Vip Desai</w:t>
            </w:r>
          </w:p>
        </w:tc>
        <w:tc>
          <w:tcPr>
            <w:tcW w:w="4394"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Batang" w:hAnsi="Times New Roman" w:cs="Times New Roman"/>
                <w:szCs w:val="20"/>
                <w:lang w:val="sv-SE"/>
              </w:rPr>
              <w:t>vipul.desai@futurewei.com</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ZTE, Sanechips</w:t>
            </w:r>
          </w:p>
        </w:tc>
        <w:tc>
          <w:tcPr>
            <w:tcW w:w="241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Youjun Hu</w:t>
            </w:r>
          </w:p>
        </w:tc>
        <w:tc>
          <w:tcPr>
            <w:tcW w:w="4394"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宋体" w:hAnsi="Times New Roman" w:cs="Times New Roman"/>
                <w:szCs w:val="20"/>
                <w:lang w:val="sv-SE" w:eastAsia="zh-CN"/>
              </w:rPr>
            </w:pPr>
            <w:r>
              <w:rPr>
                <w:rFonts w:ascii="Times New Roman" w:eastAsia="宋体" w:hAnsi="Times New Roman" w:cs="Times New Roman" w:hint="eastAsia"/>
                <w:szCs w:val="20"/>
                <w:lang w:val="sv-SE" w:eastAsia="zh-CN"/>
              </w:rPr>
              <w:t>hu.youjun1@zte.com.cn</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Yu Mincho" w:hAnsi="Times New Roman" w:cs="Times New Roman"/>
                <w:szCs w:val="20"/>
                <w:lang w:val="sv-SE" w:eastAsia="ja-JP"/>
              </w:rPr>
              <w:t>CAT</w:t>
            </w:r>
            <w:r>
              <w:rPr>
                <w:rFonts w:ascii="Times New Roman" w:eastAsia="等线" w:hAnsi="Times New Roman" w:cs="Times New Roman" w:hint="eastAsia"/>
                <w:szCs w:val="20"/>
                <w:lang w:val="sv-SE" w:eastAsia="zh-CN"/>
              </w:rPr>
              <w:t>T</w:t>
            </w:r>
          </w:p>
        </w:tc>
        <w:tc>
          <w:tcPr>
            <w:tcW w:w="241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等线" w:hAnsi="Times New Roman" w:cs="Times New Roman" w:hint="eastAsia"/>
                <w:szCs w:val="20"/>
                <w:lang w:val="sv-SE" w:eastAsia="zh-CN"/>
              </w:rPr>
              <w:t>Yongqiang FEI</w:t>
            </w:r>
          </w:p>
        </w:tc>
        <w:tc>
          <w:tcPr>
            <w:tcW w:w="4394"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等线" w:hAnsi="Times New Roman" w:cs="Times New Roman"/>
                <w:szCs w:val="20"/>
                <w:lang w:val="sv-SE" w:eastAsia="zh-CN"/>
              </w:rPr>
            </w:pPr>
            <w:r>
              <w:rPr>
                <w:rFonts w:ascii="Times New Roman" w:eastAsia="等线" w:hAnsi="Times New Roman" w:cs="Times New Roman"/>
                <w:szCs w:val="20"/>
                <w:lang w:val="sv-SE" w:eastAsia="zh-CN"/>
              </w:rPr>
              <w:t>feiyongqiang</w:t>
            </w:r>
            <w:r>
              <w:rPr>
                <w:rFonts w:ascii="Times New Roman" w:eastAsia="等线" w:hAnsi="Times New Roman" w:cs="Times New Roman" w:hint="eastAsia"/>
                <w:szCs w:val="20"/>
                <w:lang w:val="sv-SE" w:eastAsia="zh-CN"/>
              </w:rPr>
              <w:t>@catt.cn</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Theme="minorEastAsia" w:hAnsi="Times New Roman" w:cs="Times New Roman" w:hint="eastAsia"/>
                <w:szCs w:val="20"/>
                <w:lang w:val="sv-SE" w:eastAsia="ja-JP"/>
              </w:rPr>
              <w:t>S</w:t>
            </w:r>
            <w:r>
              <w:rPr>
                <w:rFonts w:ascii="Times New Roman" w:eastAsiaTheme="minorEastAsia" w:hAnsi="Times New Roman" w:cs="Times New Roman"/>
                <w:szCs w:val="20"/>
                <w:lang w:val="sv-SE" w:eastAsia="ja-JP"/>
              </w:rPr>
              <w:t>harp</w:t>
            </w:r>
          </w:p>
        </w:tc>
        <w:tc>
          <w:tcPr>
            <w:tcW w:w="241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Theme="minorEastAsia" w:hAnsi="Times New Roman" w:cs="Times New Roman" w:hint="eastAsia"/>
                <w:szCs w:val="20"/>
                <w:lang w:val="sv-SE" w:eastAsia="ja-JP"/>
              </w:rPr>
              <w:t>L</w:t>
            </w:r>
            <w:r>
              <w:rPr>
                <w:rFonts w:ascii="Times New Roman" w:eastAsiaTheme="minorEastAsia" w:hAnsi="Times New Roman" w:cs="Times New Roman"/>
                <w:szCs w:val="20"/>
                <w:lang w:val="sv-SE" w:eastAsia="ja-JP"/>
              </w:rPr>
              <w:t>iqing Liu</w:t>
            </w:r>
          </w:p>
        </w:tc>
        <w:tc>
          <w:tcPr>
            <w:tcW w:w="4394"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Theme="minorEastAsia" w:hAnsi="Times New Roman" w:cs="Times New Roman"/>
                <w:szCs w:val="20"/>
                <w:lang w:val="sv-SE" w:eastAsia="ja-JP"/>
              </w:rPr>
              <w:t>liu.liqing@sharp.co.jp</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Batang" w:hAnsi="Times New Roman" w:cs="Times New Roman"/>
                <w:szCs w:val="20"/>
                <w:lang w:val="sv-SE"/>
              </w:rPr>
              <w:t>Qualcomm</w:t>
            </w:r>
          </w:p>
        </w:tc>
        <w:tc>
          <w:tcPr>
            <w:tcW w:w="2410"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Batang" w:hAnsi="Times New Roman" w:cs="Times New Roman"/>
                <w:szCs w:val="20"/>
                <w:lang w:val="sv-SE"/>
              </w:rPr>
              <w:t>Jing Lei</w:t>
            </w:r>
          </w:p>
        </w:tc>
        <w:tc>
          <w:tcPr>
            <w:tcW w:w="4394" w:type="dxa"/>
            <w:tcBorders>
              <w:top w:val="single" w:sz="4" w:space="0" w:color="auto"/>
              <w:left w:val="single" w:sz="4" w:space="0" w:color="auto"/>
              <w:bottom w:val="single" w:sz="4" w:space="0" w:color="auto"/>
              <w:right w:val="single" w:sz="4" w:space="0" w:color="auto"/>
            </w:tcBorders>
          </w:tcPr>
          <w:p w:rsidR="00045921" w:rsidRDefault="00FA6E73">
            <w:pPr>
              <w:spacing w:after="0" w:line="256" w:lineRule="auto"/>
              <w:rPr>
                <w:rFonts w:ascii="Times New Roman" w:eastAsia="Batang" w:hAnsi="Times New Roman" w:cs="Times New Roman"/>
                <w:szCs w:val="20"/>
                <w:lang w:val="sv-SE"/>
              </w:rPr>
            </w:pPr>
            <w:r>
              <w:rPr>
                <w:rFonts w:ascii="Times New Roman" w:eastAsia="Batang" w:hAnsi="Times New Roman" w:cs="Times New Roman"/>
                <w:szCs w:val="20"/>
                <w:lang w:val="sv-SE"/>
              </w:rPr>
              <w:t>leijing@qti.qualcomm.com</w:t>
            </w: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c>
          <w:tcPr>
            <w:tcW w:w="2410"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c>
          <w:tcPr>
            <w:tcW w:w="4394"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c>
          <w:tcPr>
            <w:tcW w:w="2410"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c>
          <w:tcPr>
            <w:tcW w:w="4394"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r>
      <w:tr w:rsidR="00045921" w:rsidRPr="00FA6E73">
        <w:tc>
          <w:tcPr>
            <w:tcW w:w="2830"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c>
          <w:tcPr>
            <w:tcW w:w="2410"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c>
          <w:tcPr>
            <w:tcW w:w="4394" w:type="dxa"/>
            <w:tcBorders>
              <w:top w:val="single" w:sz="4" w:space="0" w:color="auto"/>
              <w:left w:val="single" w:sz="4" w:space="0" w:color="auto"/>
              <w:bottom w:val="single" w:sz="4" w:space="0" w:color="auto"/>
              <w:right w:val="single" w:sz="4" w:space="0" w:color="auto"/>
            </w:tcBorders>
          </w:tcPr>
          <w:p w:rsidR="00045921" w:rsidRDefault="00045921">
            <w:pPr>
              <w:spacing w:after="0" w:line="256" w:lineRule="auto"/>
              <w:rPr>
                <w:rFonts w:ascii="Times New Roman" w:eastAsia="Batang" w:hAnsi="Times New Roman" w:cs="Times New Roman"/>
                <w:szCs w:val="20"/>
                <w:lang w:val="sv-SE"/>
              </w:rPr>
            </w:pPr>
          </w:p>
        </w:tc>
      </w:tr>
    </w:tbl>
    <w:p w:rsidR="00045921" w:rsidRDefault="00045921">
      <w:pPr>
        <w:pStyle w:val="a6"/>
        <w:rPr>
          <w:rFonts w:cs="Arial"/>
          <w:lang w:val="sv-SE"/>
        </w:rPr>
      </w:pPr>
    </w:p>
    <w:p w:rsidR="00045921" w:rsidRDefault="00FA6E73">
      <w:pPr>
        <w:pStyle w:val="1"/>
      </w:pPr>
      <w:bookmarkStart w:id="0" w:name="_In-sequence_SDU_delivery"/>
      <w:bookmarkEnd w:id="0"/>
      <w:r>
        <w:t>References</w:t>
      </w:r>
    </w:p>
    <w:bookmarkStart w:id="1" w:name="_Ref65143491"/>
    <w:bookmarkStart w:id="2" w:name="_Ref71040330"/>
    <w:bookmarkStart w:id="3" w:name="_Ref189809556"/>
    <w:bookmarkStart w:id="4" w:name="_Ref174151459"/>
    <w:p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3"/>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5"/>
      <w:bookmarkEnd w:id="6"/>
    </w:p>
    <w:bookmarkStart w:id="7" w:name="_Ref84445798"/>
    <w:p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aff3"/>
          <w:rFonts w:ascii="Times New Roman" w:hAnsi="Times New Roman" w:cs="Times New Roman"/>
        </w:rPr>
        <w:t>R1-2108669</w:t>
      </w:r>
      <w:r>
        <w:rPr>
          <w:rStyle w:val="aff3"/>
          <w:rFonts w:ascii="Times New Roman" w:hAnsi="Times New Roman" w:cs="Times New Roman"/>
        </w:rPr>
        <w:fldChar w:fldCharType="end"/>
      </w:r>
      <w:r>
        <w:rPr>
          <w:rFonts w:ascii="Times New Roman" w:hAnsi="Times New Roman" w:cs="Times New Roman"/>
        </w:rPr>
        <w:t xml:space="preserve">, “FL summary on RAN1 RRC parameter list for </w:t>
      </w:r>
      <w:proofErr w:type="spellStart"/>
      <w:r>
        <w:rPr>
          <w:rFonts w:ascii="Times New Roman" w:hAnsi="Times New Roman" w:cs="Times New Roman"/>
        </w:rPr>
        <w:t>RedCap</w:t>
      </w:r>
      <w:proofErr w:type="spellEnd"/>
      <w:r>
        <w:rPr>
          <w:rFonts w:ascii="Times New Roman" w:hAnsi="Times New Roman" w:cs="Times New Roman"/>
        </w:rPr>
        <w:t>”, Moderator (Ericsson)</w:t>
      </w:r>
      <w:bookmarkEnd w:id="7"/>
    </w:p>
    <w:bookmarkStart w:id="8" w:name="_Ref84445837"/>
    <w:p w:rsidR="00045921" w:rsidRDefault="00FA6E73">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aff3"/>
          <w:rFonts w:ascii="Times New Roman" w:hAnsi="Times New Roman" w:cs="Times New Roman"/>
        </w:rPr>
        <w:t>R1-2108670</w:t>
      </w:r>
      <w:bookmarkEnd w:id="3"/>
      <w:bookmarkEnd w:id="4"/>
      <w:r>
        <w:rPr>
          <w:rStyle w:val="aff3"/>
          <w:rFonts w:ascii="Times New Roman" w:hAnsi="Times New Roman" w:cs="Times New Roman"/>
        </w:rPr>
        <w:fldChar w:fldCharType="end"/>
      </w:r>
      <w:r>
        <w:rPr>
          <w:rFonts w:ascii="Times New Roman" w:hAnsi="Times New Roman" w:cs="Times New Roman"/>
        </w:rPr>
        <w:t xml:space="preserve">, “Initial draft RAN1 RRC parameter list for </w:t>
      </w:r>
      <w:proofErr w:type="spellStart"/>
      <w:r>
        <w:rPr>
          <w:rFonts w:ascii="Times New Roman" w:hAnsi="Times New Roman" w:cs="Times New Roman"/>
        </w:rPr>
        <w:t>RedCap</w:t>
      </w:r>
      <w:proofErr w:type="spellEnd"/>
      <w:r>
        <w:rPr>
          <w:rFonts w:ascii="Times New Roman" w:hAnsi="Times New Roman" w:cs="Times New Roman"/>
        </w:rPr>
        <w:t>”, Moderator (Ericsson)</w:t>
      </w:r>
      <w:bookmarkEnd w:id="8"/>
    </w:p>
    <w:bookmarkStart w:id="9" w:name="_Ref84574992"/>
    <w:p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aff3"/>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rsidR="00045921" w:rsidRDefault="00045921">
      <w:pPr>
        <w:pStyle w:val="Reference"/>
        <w:numPr>
          <w:ilvl w:val="0"/>
          <w:numId w:val="0"/>
        </w:numPr>
        <w:jc w:val="left"/>
        <w:rPr>
          <w:rFonts w:ascii="Times New Roman" w:hAnsi="Times New Roman" w:cs="Times New Roman"/>
        </w:rPr>
      </w:pPr>
    </w:p>
    <w:p w:rsidR="00045921" w:rsidRDefault="00045921">
      <w:pPr>
        <w:pStyle w:val="Reference"/>
        <w:jc w:val="left"/>
        <w:sectPr w:rsidR="00045921">
          <w:headerReference w:type="even" r:id="rId13"/>
          <w:footerReference w:type="default" r:id="rId14"/>
          <w:footnotePr>
            <w:numRestart w:val="eachSect"/>
          </w:footnotePr>
          <w:pgSz w:w="11907" w:h="16840"/>
          <w:pgMar w:top="1418" w:right="1134" w:bottom="1134" w:left="1134" w:header="680" w:footer="567" w:gutter="0"/>
          <w:cols w:space="720"/>
        </w:sectPr>
      </w:pPr>
      <w:bookmarkStart w:id="10" w:name="_Ref84447247"/>
    </w:p>
    <w:bookmarkEnd w:id="10"/>
    <w:p w:rsidR="00045921" w:rsidRDefault="00FA6E73">
      <w:pPr>
        <w:pStyle w:val="1"/>
      </w:pPr>
      <w:r>
        <w:lastRenderedPageBreak/>
        <w:t>2</w:t>
      </w:r>
      <w:r>
        <w:tab/>
        <w:t>PRACH configuration</w:t>
      </w:r>
    </w:p>
    <w:p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e"/>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trPr>
          <w:trHeight w:val="450"/>
        </w:trPr>
        <w:tc>
          <w:tcPr>
            <w:tcW w:w="1127" w:type="dxa"/>
          </w:tcPr>
          <w:p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Comment</w:t>
            </w:r>
          </w:p>
        </w:tc>
      </w:tr>
      <w:tr w:rsidR="00045921">
        <w:trPr>
          <w:trHeight w:val="2475"/>
        </w:trPr>
        <w:tc>
          <w:tcPr>
            <w:tcW w:w="112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38.213</w:t>
            </w:r>
          </w:p>
        </w:tc>
        <w:tc>
          <w:tcPr>
            <w:tcW w:w="90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11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5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New</w:t>
            </w:r>
          </w:p>
        </w:tc>
        <w:tc>
          <w:tcPr>
            <w:tcW w:w="167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[RedCap-specific PRACH configuration]</w:t>
            </w:r>
          </w:p>
        </w:tc>
        <w:tc>
          <w:tcPr>
            <w:tcW w:w="267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FFS</w:t>
            </w:r>
          </w:p>
        </w:tc>
        <w:tc>
          <w:tcPr>
            <w:tcW w:w="1011"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Per cell</w:t>
            </w:r>
          </w:p>
        </w:tc>
        <w:tc>
          <w:tcPr>
            <w:tcW w:w="119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Cell-specific</w:t>
            </w:r>
          </w:p>
        </w:tc>
        <w:tc>
          <w:tcPr>
            <w:tcW w:w="1338"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38.331</w:t>
            </w:r>
          </w:p>
        </w:tc>
        <w:tc>
          <w:tcPr>
            <w:tcW w:w="2119" w:type="dxa"/>
          </w:tcPr>
          <w:p w:rsidR="00045921" w:rsidRDefault="00FA6E73">
            <w:pPr>
              <w:spacing w:afterLines="50" w:after="120" w:line="240" w:lineRule="auto"/>
              <w:rPr>
                <w:rFonts w:eastAsia="MS Mincho" w:cs="Arial"/>
                <w:sz w:val="18"/>
                <w:szCs w:val="18"/>
                <w:lang w:val="de-DE" w:eastAsia="ja-JP"/>
              </w:rPr>
            </w:pPr>
            <w:bookmarkStart w:id="11" w:name="RANGE!P2"/>
            <w:r>
              <w:rPr>
                <w:rFonts w:eastAsia="MS Mincho" w:cs="Arial"/>
                <w:sz w:val="18"/>
                <w:szCs w:val="18"/>
                <w:lang w:val="de-DE" w:eastAsia="ja-JP"/>
              </w:rPr>
              <w:t>See agreements listed in R1-2108271 section 6.</w:t>
            </w:r>
            <w:r>
              <w:rPr>
                <w:rFonts w:eastAsia="MS Mincho" w:cs="Arial"/>
                <w:sz w:val="18"/>
                <w:szCs w:val="18"/>
                <w:lang w:val="de-DE" w:eastAsia="ja-JP"/>
              </w:rPr>
              <w:br/>
            </w:r>
            <w:r>
              <w:rPr>
                <w:rFonts w:eastAsia="MS Mincho" w:cs="Arial"/>
                <w:sz w:val="18"/>
                <w:szCs w:val="18"/>
                <w:lang w:val="de-DE"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Per the guidance in [5], add in column M of “</w:t>
            </w:r>
            <w:r>
              <w:rPr>
                <w:rStyle w:val="fontstyle01"/>
                <w:rFonts w:ascii="Times New Roman" w:hAnsi="Times New Roman" w:cs="Times New Roman"/>
                <w:sz w:val="20"/>
                <w:szCs w:val="20"/>
                <w:lang w:val="de-DE"/>
              </w:rPr>
              <w:t>In BWP-UplinkCommon</w:t>
            </w:r>
            <w:r>
              <w:rPr>
                <w:rFonts w:ascii="Times New Roman" w:hAnsi="Times New Roman" w:cs="Times New Roman"/>
                <w:sz w:val="20"/>
                <w:szCs w:val="20"/>
                <w:lang w:val="de-DE" w:eastAsia="ko-KR"/>
              </w:rPr>
              <w:t>”.</w:t>
            </w:r>
          </w:p>
        </w:tc>
      </w:tr>
      <w:tr w:rsidR="00045921">
        <w:tc>
          <w:tcPr>
            <w:tcW w:w="2122" w:type="dxa"/>
          </w:tcPr>
          <w:p w:rsidR="00045921" w:rsidRDefault="00FA6E73">
            <w:pPr>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vivo</w:t>
            </w:r>
          </w:p>
        </w:tc>
        <w:tc>
          <w:tcPr>
            <w:tcW w:w="19136" w:type="dxa"/>
          </w:tcPr>
          <w:p w:rsidR="00045921" w:rsidRDefault="00FA6E73">
            <w:pPr>
              <w:spacing w:after="180" w:line="252" w:lineRule="auto"/>
              <w:contextualSpacing/>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 xml:space="preserve">Fine in general. </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Intel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Fine with the proposed version.</w:t>
            </w:r>
          </w:p>
        </w:tc>
      </w:tr>
      <w:tr w:rsidR="00045921">
        <w:trPr>
          <w:trHeight w:val="90"/>
        </w:trPr>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FUTUREWEI</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The description column should include the possibility of RedCap and non-RedCap UEs of sharing RACH resources. </w:t>
            </w:r>
          </w:p>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A clarification of early indication should be added: “usage of the RedCap-specific PRACH configuration </w:t>
            </w:r>
            <w:r>
              <w:rPr>
                <w:rFonts w:ascii="Times New Roman" w:eastAsia="宋体" w:hAnsi="Times New Roman" w:cs="Times New Roman"/>
                <w:color w:val="FF0000"/>
                <w:sz w:val="20"/>
                <w:szCs w:val="20"/>
                <w:lang w:val="de-DE" w:eastAsia="zh-CN"/>
              </w:rPr>
              <w:t xml:space="preserve">implicitly </w:t>
            </w:r>
            <w:r>
              <w:rPr>
                <w:rFonts w:ascii="Times New Roman" w:eastAsia="宋体" w:hAnsi="Times New Roman" w:cs="Times New Roman"/>
                <w:sz w:val="20"/>
                <w:szCs w:val="20"/>
                <w:lang w:val="de-DE" w:eastAsia="zh-CN"/>
              </w:rPr>
              <w:t xml:space="preserve">serves as an early RedCap UE indication </w:t>
            </w:r>
            <w:r>
              <w:rPr>
                <w:rFonts w:ascii="Times New Roman" w:eastAsia="宋体" w:hAnsi="Times New Roman" w:cs="Times New Roman"/>
                <w:color w:val="FF0000"/>
                <w:sz w:val="20"/>
                <w:szCs w:val="20"/>
                <w:lang w:val="de-DE" w:eastAsia="zh-CN"/>
              </w:rPr>
              <w:t>if no other UEs are also configured to use the resources</w:t>
            </w:r>
            <w:r>
              <w:rPr>
                <w:rFonts w:ascii="Times New Roman" w:eastAsia="宋体" w:hAnsi="Times New Roman" w:cs="Times New Roman"/>
                <w:sz w:val="20"/>
                <w:szCs w:val="20"/>
                <w:lang w:val="de-DE" w:eastAsia="zh-CN"/>
              </w:rPr>
              <w:t>”</w:t>
            </w:r>
          </w:p>
          <w:p w:rsidR="00045921" w:rsidRDefault="00FA6E73">
            <w:pPr>
              <w:rPr>
                <w:rFonts w:ascii="Times New Roman" w:hAnsi="Times New Roman" w:cs="Times New Roman"/>
                <w:sz w:val="20"/>
                <w:szCs w:val="20"/>
                <w:lang w:val="de-DE" w:eastAsia="ko-KR"/>
              </w:rPr>
            </w:pPr>
            <w:r>
              <w:rPr>
                <w:rFonts w:ascii="Times New Roman" w:eastAsia="宋体" w:hAnsi="Times New Roman" w:cs="Times New Roman"/>
                <w:sz w:val="20"/>
                <w:szCs w:val="20"/>
                <w:lang w:val="de-DE" w:eastAsia="zh-CN"/>
              </w:rPr>
              <w:t>A clarification of different features should be added: “</w:t>
            </w:r>
            <w:r>
              <w:rPr>
                <w:rFonts w:ascii="Times New Roman" w:eastAsia="宋体" w:hAnsi="Times New Roman" w:cs="Times New Roman"/>
                <w:color w:val="FF0000"/>
                <w:sz w:val="20"/>
                <w:szCs w:val="20"/>
                <w:lang w:val="de-DE" w:eastAsia="zh-CN"/>
              </w:rPr>
              <w:t>The WID note allows RedCap UEs to consider CE and that may need discussion in RAN1</w:t>
            </w:r>
            <w:r>
              <w:rPr>
                <w:rFonts w:ascii="Times New Roman" w:eastAsia="宋体" w:hAnsi="Times New Roman" w:cs="Times New Roman"/>
                <w:sz w:val="20"/>
                <w:szCs w:val="20"/>
                <w:lang w:val="de-DE" w:eastAsia="zh-CN"/>
              </w:rPr>
              <w:t>. Furthermore, the relation between PRACH configurations for different features is under discussion in RAN2”</w:t>
            </w:r>
          </w:p>
        </w:tc>
      </w:tr>
      <w:tr w:rsidR="00045921">
        <w:tc>
          <w:tcPr>
            <w:tcW w:w="2122" w:type="dxa"/>
          </w:tcPr>
          <w:p w:rsidR="00045921" w:rsidRDefault="00FA6E73">
            <w:pPr>
              <w:rPr>
                <w:rFonts w:ascii="Times New Roman" w:eastAsia="宋体" w:hAnsi="Times New Roman" w:cs="Times New Roman"/>
                <w:sz w:val="20"/>
                <w:szCs w:val="20"/>
                <w:lang w:val="de-DE" w:eastAsia="ko-KR"/>
              </w:rPr>
            </w:pPr>
            <w:r>
              <w:rPr>
                <w:rFonts w:ascii="Times New Roman" w:eastAsia="宋体" w:hAnsi="Times New Roman" w:cs="Times New Roman"/>
                <w:sz w:val="20"/>
                <w:szCs w:val="20"/>
                <w:lang w:val="de-DE" w:eastAsia="zh-CN"/>
              </w:rPr>
              <w:t>ZTE, Sanechips</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Whether RedCap-specific PRACH configuration is applied for RedCap UE with CE and RedCap UE without CE, or just applied for RedCap UE without CE, need to be clarified in the description column. </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CATT</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Fine with the proposal. </w:t>
            </w:r>
          </w:p>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It is expected RACH of RedCap may be crossed with many other features (not only to CE, but also SDT, RAN slicing…). If we only focus on RedCap RACH itself, current description seems OK.</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FL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The corresponding row has been updated in </w:t>
            </w:r>
            <w:r>
              <w:fldChar w:fldCharType="begin"/>
            </w:r>
            <w:r>
              <w:instrText xml:space="preserve"> HYPERLINK "https://www.3gpp.org/ftp/tsg_ran/WG1_RL1/TSGR1_106b-e/Inbox/drafts/8.6/ParamList/RedCapParamList-v001.xlsx" </w:instrText>
            </w:r>
            <w:r>
              <w:fldChar w:fldCharType="separate"/>
            </w:r>
            <w:r>
              <w:rPr>
                <w:rStyle w:val="aff3"/>
                <w:rFonts w:ascii="Times New Roman" w:eastAsia="MS Mincho" w:hAnsi="Times New Roman" w:cs="Times New Roman"/>
                <w:b/>
                <w:bCs/>
                <w:i/>
                <w:iCs/>
                <w:sz w:val="20"/>
                <w:szCs w:val="20"/>
                <w:lang w:val="en-GB" w:eastAsia="ja-JP"/>
              </w:rPr>
              <w:t>RedCapParamList-v001</w:t>
            </w:r>
            <w:r>
              <w:rPr>
                <w:rStyle w:val="aff3"/>
                <w:rFonts w:ascii="Times New Roman" w:eastAsia="MS Mincho" w:hAnsi="Times New Roman" w:cs="Times New Roman"/>
                <w:b/>
                <w:bCs/>
                <w:i/>
                <w:iCs/>
                <w:szCs w:val="20"/>
                <w:lang w:val="en-GB" w:eastAsia="ja-JP"/>
              </w:rPr>
              <w:fldChar w:fldCharType="end"/>
            </w:r>
            <w:r>
              <w:rPr>
                <w:rFonts w:ascii="Times New Roman" w:eastAsia="宋体" w:hAnsi="Times New Roman" w:cs="Times New Roman"/>
                <w:sz w:val="20"/>
                <w:szCs w:val="20"/>
                <w:lang w:val="de-DE" w:eastAsia="zh-CN"/>
              </w:rPr>
              <w:t>.</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2-2: Companies are invited to comment on the updated parameter for PRACH configuration in </w:t>
      </w:r>
      <w:hyperlink r:id="rId15" w:history="1">
        <w:r>
          <w:rPr>
            <w:rStyle w:val="aff3"/>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The updated RRC parameters for PRACH configuration look good to us.</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 following clarification can be considered in the last column: If the separate initial DL BWP is used in initial access or separate initial UL BWP is configured, the </w:t>
            </w:r>
            <w:proofErr w:type="spellStart"/>
            <w:r>
              <w:rPr>
                <w:rFonts w:ascii="Times New Roman" w:eastAsia="宋体" w:hAnsi="Times New Roman" w:cs="Times New Roman" w:hint="eastAsia"/>
                <w:sz w:val="20"/>
                <w:szCs w:val="20"/>
                <w:lang w:eastAsia="zh-CN"/>
              </w:rPr>
              <w:t>RedCap</w:t>
            </w:r>
            <w:proofErr w:type="spellEnd"/>
            <w:r>
              <w:rPr>
                <w:rFonts w:ascii="Times New Roman" w:eastAsia="宋体" w:hAnsi="Times New Roman" w:cs="Times New Roman" w:hint="eastAsia"/>
                <w:sz w:val="20"/>
                <w:szCs w:val="20"/>
                <w:lang w:eastAsia="zh-CN"/>
              </w:rPr>
              <w:t xml:space="preserve"> specific PRACH resource also should be configured.</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lastRenderedPageBreak/>
              <w:t>v</w:t>
            </w:r>
            <w:r>
              <w:rPr>
                <w:rFonts w:ascii="Times New Roman" w:eastAsia="宋体" w:hAnsi="Times New Roman" w:cs="Times New Roman"/>
                <w:sz w:val="20"/>
                <w:szCs w:val="20"/>
                <w:lang w:val="de-DE" w:eastAsia="zh-CN"/>
              </w:rPr>
              <w:t>ivo</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We are fine with the update. </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pStyle w:val="1"/>
      </w:pPr>
      <w:r>
        <w:t>3</w:t>
      </w:r>
      <w:r>
        <w:tab/>
        <w:t>Initial DL BWP configuration</w:t>
      </w:r>
    </w:p>
    <w:p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e"/>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trPr>
          <w:trHeight w:val="450"/>
        </w:trPr>
        <w:tc>
          <w:tcPr>
            <w:tcW w:w="1127" w:type="dxa"/>
          </w:tcPr>
          <w:p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Comment</w:t>
            </w:r>
          </w:p>
        </w:tc>
      </w:tr>
      <w:tr w:rsidR="00045921">
        <w:trPr>
          <w:trHeight w:val="1575"/>
        </w:trPr>
        <w:tc>
          <w:tcPr>
            <w:tcW w:w="112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38.213</w:t>
            </w:r>
          </w:p>
        </w:tc>
        <w:tc>
          <w:tcPr>
            <w:tcW w:w="90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11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5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New</w:t>
            </w:r>
          </w:p>
        </w:tc>
        <w:tc>
          <w:tcPr>
            <w:tcW w:w="167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[RedCap-specific initial DL BWP configuration]</w:t>
            </w:r>
          </w:p>
        </w:tc>
        <w:tc>
          <w:tcPr>
            <w:tcW w:w="267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FFS</w:t>
            </w:r>
          </w:p>
        </w:tc>
        <w:tc>
          <w:tcPr>
            <w:tcW w:w="1011"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Per cell</w:t>
            </w:r>
          </w:p>
        </w:tc>
        <w:tc>
          <w:tcPr>
            <w:tcW w:w="119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Cell-specific</w:t>
            </w:r>
          </w:p>
        </w:tc>
        <w:tc>
          <w:tcPr>
            <w:tcW w:w="1338"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38.331</w:t>
            </w:r>
          </w:p>
        </w:tc>
        <w:tc>
          <w:tcPr>
            <w:tcW w:w="211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See agreements and working assumptions listed in R1-2108271 section 1.</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rsidR="00045921" w:rsidRDefault="00FA6E73">
            <w:pPr>
              <w:rPr>
                <w:rFonts w:ascii="Times New Roman" w:hAnsi="Times New Roman" w:cs="Times New Roman"/>
                <w:i/>
                <w:color w:val="000000"/>
                <w:sz w:val="20"/>
                <w:szCs w:val="20"/>
                <w:lang w:val="de-DE"/>
              </w:rPr>
            </w:pPr>
            <w:r>
              <w:rPr>
                <w:rFonts w:ascii="Times New Roman" w:hAnsi="Times New Roman" w:cs="Times New Roman"/>
                <w:sz w:val="20"/>
                <w:szCs w:val="20"/>
                <w:lang w:val="de-DE" w:eastAsia="ko-KR"/>
              </w:rPr>
              <w:t>Per the guidance in [5], add in column M of “</w:t>
            </w:r>
            <w:r>
              <w:rPr>
                <w:rStyle w:val="fontstyle01"/>
                <w:rFonts w:ascii="Times New Roman" w:hAnsi="Times New Roman" w:cs="Times New Roman"/>
                <w:sz w:val="20"/>
                <w:szCs w:val="20"/>
                <w:lang w:val="de-DE"/>
              </w:rPr>
              <w:t xml:space="preserve">In </w:t>
            </w:r>
            <w:r>
              <w:rPr>
                <w:rFonts w:ascii="Times New Roman" w:hAnsi="Times New Roman" w:cs="Times New Roman"/>
                <w:iCs/>
                <w:color w:val="000000"/>
                <w:sz w:val="20"/>
                <w:szCs w:val="20"/>
                <w:lang w:val="de-DE"/>
              </w:rPr>
              <w:t>downlinkConfigCommon</w:t>
            </w:r>
            <w:r>
              <w:rPr>
                <w:rFonts w:ascii="Times New Roman" w:hAnsi="Times New Roman" w:cs="Times New Roman"/>
                <w:sz w:val="20"/>
                <w:szCs w:val="20"/>
                <w:lang w:val="de-DE" w:eastAsia="ko-KR"/>
              </w:rPr>
              <w:t>”.</w:t>
            </w:r>
          </w:p>
        </w:tc>
      </w:tr>
      <w:tr w:rsidR="00045921">
        <w:tc>
          <w:tcPr>
            <w:tcW w:w="2122" w:type="dxa"/>
          </w:tcPr>
          <w:p w:rsidR="00045921" w:rsidRDefault="00FA6E73">
            <w:pPr>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vivo</w:t>
            </w:r>
          </w:p>
        </w:tc>
        <w:tc>
          <w:tcPr>
            <w:tcW w:w="19136" w:type="dxa"/>
          </w:tcPr>
          <w:p w:rsidR="00045921" w:rsidRDefault="00FA6E73">
            <w:pPr>
              <w:spacing w:after="180" w:line="252" w:lineRule="auto"/>
              <w:contextualSpacing/>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 xml:space="preserve">The consequence when the parameter is not configured should be discussed and decided first, especially when the </w:t>
            </w:r>
            <w:r>
              <w:rPr>
                <w:rFonts w:ascii="Times New Roman" w:eastAsia="MS Mincho" w:hAnsi="Times New Roman" w:cs="Times New Roman"/>
                <w:sz w:val="20"/>
                <w:szCs w:val="20"/>
                <w:lang w:val="de-DE" w:eastAsia="ja-JP"/>
              </w:rPr>
              <w:t xml:space="preserve">SIB-configured initial DL BWP for non-RedCap UEs is larger than the RedCap UE BW. </w:t>
            </w:r>
          </w:p>
          <w:p w:rsidR="00045921" w:rsidRDefault="00FA6E73">
            <w:pPr>
              <w:spacing w:after="180" w:line="252" w:lineRule="auto"/>
              <w:contextualSpacing/>
              <w:rPr>
                <w:rFonts w:ascii="Times New Roman" w:eastAsia="MS Mincho" w:hAnsi="Times New Roman" w:cs="Times New Roman"/>
                <w:sz w:val="20"/>
                <w:szCs w:val="20"/>
                <w:lang w:val="de-DE" w:eastAsia="ja-JP"/>
              </w:rPr>
            </w:pPr>
            <w:r>
              <w:rPr>
                <w:rFonts w:ascii="Times New Roman" w:eastAsia="等线" w:hAnsi="Times New Roman" w:cs="Times New Roman"/>
                <w:sz w:val="20"/>
                <w:szCs w:val="20"/>
                <w:lang w:val="de-DE" w:eastAsia="zh-CN"/>
              </w:rPr>
              <w:t>The behavior mentioned in the description is one possibility, i.e. “</w:t>
            </w:r>
            <w:r>
              <w:rPr>
                <w:rFonts w:ascii="Times New Roman" w:eastAsia="MS Mincho" w:hAnsi="Times New Roman" w:cs="Times New Roman"/>
                <w:sz w:val="20"/>
                <w:szCs w:val="20"/>
                <w:lang w:val="de-DE" w:eastAsia="ja-JP"/>
              </w:rPr>
              <w:t>If the parameter is not present, RedCap UEs use the same SIB-configured initial DL BWP as non-RedCap UEs if it is not larger than the RedCap UE bandwidth, otherwise the RedCap UEs will continue using the MIB-configured initial DL BWP.”</w:t>
            </w:r>
          </w:p>
          <w:p w:rsidR="00045921" w:rsidRDefault="00FA6E73">
            <w:pPr>
              <w:spacing w:after="180" w:line="252" w:lineRule="auto"/>
              <w:contextualSpacing/>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 xml:space="preserve">However, there could be another possibilit, i.e. RedCap UEs are not supported in the cell if the parameter is not present and the </w:t>
            </w:r>
            <w:r>
              <w:rPr>
                <w:rFonts w:ascii="Times New Roman" w:eastAsia="MS Mincho" w:hAnsi="Times New Roman" w:cs="Times New Roman"/>
                <w:sz w:val="20"/>
                <w:szCs w:val="20"/>
                <w:lang w:val="de-DE" w:eastAsia="ja-JP"/>
              </w:rPr>
              <w:t>SIB-configured initial DL BWP for non-RedCap UEs is larger than the RedCap UE BW</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Intel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We support the current version from the FL. </w:t>
            </w:r>
          </w:p>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eastAsia="宋体" w:hAnsi="Times New Roman" w:cs="Times New Roman"/>
                <w:sz w:val="20"/>
                <w:szCs w:val="20"/>
                <w:lang w:val="de-DE" w:eastAsia="zh-CN"/>
              </w:rPr>
              <w:t>FUTUREWEI</w:t>
            </w:r>
          </w:p>
        </w:tc>
        <w:tc>
          <w:tcPr>
            <w:tcW w:w="19136" w:type="dxa"/>
          </w:tcPr>
          <w:p w:rsidR="00045921" w:rsidRDefault="00FA6E73">
            <w:pPr>
              <w:rPr>
                <w:rFonts w:ascii="Times New Roman" w:hAnsi="Times New Roman" w:cs="Times New Roman"/>
                <w:sz w:val="20"/>
                <w:szCs w:val="20"/>
                <w:lang w:val="de-DE" w:eastAsia="ko-KR"/>
              </w:rPr>
            </w:pPr>
            <w:r>
              <w:rPr>
                <w:rFonts w:ascii="Times New Roman" w:eastAsia="宋体" w:hAnsi="Times New Roman" w:cs="Times New Roman"/>
                <w:sz w:val="20"/>
                <w:szCs w:val="20"/>
                <w:lang w:val="de-DE" w:eastAsia="zh-CN"/>
              </w:rPr>
              <w:t xml:space="preserve">Ok. Minor edit “RedCap UE </w:t>
            </w:r>
            <w:r>
              <w:rPr>
                <w:rFonts w:ascii="Times New Roman" w:eastAsia="宋体" w:hAnsi="Times New Roman" w:cs="Times New Roman"/>
                <w:color w:val="FF0000"/>
                <w:sz w:val="20"/>
                <w:szCs w:val="20"/>
                <w:lang w:val="de-DE" w:eastAsia="zh-CN"/>
              </w:rPr>
              <w:t xml:space="preserve">maximum </w:t>
            </w:r>
            <w:r>
              <w:rPr>
                <w:rFonts w:ascii="Times New Roman" w:eastAsia="宋体" w:hAnsi="Times New Roman" w:cs="Times New Roman"/>
                <w:sz w:val="20"/>
                <w:szCs w:val="20"/>
                <w:lang w:val="de-DE" w:eastAsia="zh-CN"/>
              </w:rPr>
              <w:t>bandwidth”</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ZTE, Sanechips</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Agree with the comment from Intel. Additionally, two ‘if’ in the description would be a little vague for the ‘otherwise’. The following is suggested ‘</w:t>
            </w:r>
            <w:r>
              <w:rPr>
                <w:rFonts w:ascii="Times New Roman" w:eastAsia="MS Mincho" w:hAnsi="Times New Roman" w:cs="Times New Roman"/>
                <w:strike/>
                <w:sz w:val="20"/>
                <w:szCs w:val="20"/>
                <w:lang w:val="de-DE" w:eastAsia="ja-JP"/>
              </w:rPr>
              <w:t>If</w:t>
            </w:r>
            <w:r>
              <w:rPr>
                <w:rFonts w:ascii="Times New Roman" w:eastAsia="宋体" w:hAnsi="Times New Roman" w:cs="Times New Roman"/>
                <w:strike/>
                <w:sz w:val="20"/>
                <w:szCs w:val="20"/>
                <w:lang w:val="de-DE" w:eastAsia="zh-CN"/>
              </w:rPr>
              <w:t xml:space="preserve"> </w:t>
            </w:r>
            <w:r>
              <w:rPr>
                <w:rFonts w:ascii="Times New Roman" w:eastAsia="宋体" w:hAnsi="Times New Roman" w:cs="Times New Roman"/>
                <w:color w:val="FF0000"/>
                <w:sz w:val="20"/>
                <w:szCs w:val="20"/>
                <w:lang w:val="de-DE" w:eastAsia="zh-CN"/>
              </w:rPr>
              <w:t>when</w:t>
            </w:r>
            <w:r>
              <w:rPr>
                <w:rFonts w:ascii="Times New Roman" w:eastAsia="MS Mincho" w:hAnsi="Times New Roman" w:cs="Times New Roman"/>
                <w:sz w:val="20"/>
                <w:szCs w:val="20"/>
                <w:lang w:val="de-DE" w:eastAsia="ja-JP"/>
              </w:rPr>
              <w:t xml:space="preserve"> the parameter is not present,</w:t>
            </w:r>
            <w:r>
              <w:rPr>
                <w:rFonts w:ascii="Times New Roman" w:eastAsia="宋体" w:hAnsi="Times New Roman" w:cs="Times New Roman"/>
                <w:sz w:val="20"/>
                <w:szCs w:val="20"/>
                <w:lang w:val="de-DE" w:eastAsia="zh-CN"/>
              </w:rPr>
              <w:t>’</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CATT</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Generally fine with this proposal. If RedCap is not supported by a gNB, the gNB shall broadcast the ‘barred’ information in SIB1.</w:t>
            </w:r>
          </w:p>
        </w:tc>
      </w:tr>
      <w:tr w:rsidR="00045921">
        <w:tc>
          <w:tcPr>
            <w:tcW w:w="2122" w:type="dxa"/>
          </w:tcPr>
          <w:p w:rsidR="00045921" w:rsidRDefault="00FA6E73">
            <w:pPr>
              <w:rPr>
                <w:rFonts w:ascii="Times New Roman" w:eastAsiaTheme="minorEastAsia" w:hAnsi="Times New Roman" w:cs="Times New Roman"/>
                <w:sz w:val="20"/>
                <w:szCs w:val="20"/>
                <w:lang w:val="de-DE" w:eastAsia="ja-JP"/>
              </w:rPr>
            </w:pPr>
            <w:r>
              <w:rPr>
                <w:rFonts w:ascii="Times New Roman" w:eastAsiaTheme="minorEastAsia" w:hAnsi="Times New Roman" w:cs="Times New Roman"/>
                <w:sz w:val="20"/>
                <w:szCs w:val="20"/>
                <w:lang w:val="de-DE" w:eastAsia="ja-JP"/>
              </w:rPr>
              <w:t>Sharp</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Theme="minorEastAsia" w:hAnsi="Times New Roman" w:cs="Times New Roman"/>
                <w:sz w:val="20"/>
                <w:szCs w:val="20"/>
                <w:lang w:val="de-DE"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location for CSS, does Redcap UE also use locationAndBandwidth to determine common CORESET location? For confirmation, are these above understanding aligned with the intention of last ‘otherwise’ sentence in the column of description. </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FL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The corresponding row has been updated in </w:t>
            </w:r>
            <w:r>
              <w:fldChar w:fldCharType="begin"/>
            </w:r>
            <w:r>
              <w:instrText xml:space="preserve"> HYPERLINK "https://www.3gpp.org/ftp/tsg_ran/WG1_RL1/TSGR1_106b-e/Inbox/drafts/8.6/ParamList/RedCapParamList-v001.xlsx" </w:instrText>
            </w:r>
            <w:r>
              <w:fldChar w:fldCharType="separate"/>
            </w:r>
            <w:r>
              <w:rPr>
                <w:rStyle w:val="aff3"/>
                <w:rFonts w:ascii="Times New Roman" w:eastAsia="MS Mincho" w:hAnsi="Times New Roman" w:cs="Times New Roman"/>
                <w:b/>
                <w:bCs/>
                <w:i/>
                <w:iCs/>
                <w:sz w:val="20"/>
                <w:szCs w:val="20"/>
                <w:lang w:val="en-GB" w:eastAsia="ja-JP"/>
              </w:rPr>
              <w:t>RedCapParamList-v001</w:t>
            </w:r>
            <w:r>
              <w:rPr>
                <w:rStyle w:val="aff3"/>
                <w:rFonts w:ascii="Times New Roman" w:eastAsia="MS Mincho" w:hAnsi="Times New Roman" w:cs="Times New Roman"/>
                <w:b/>
                <w:bCs/>
                <w:i/>
                <w:iCs/>
                <w:szCs w:val="20"/>
                <w:lang w:val="en-GB" w:eastAsia="ja-JP"/>
              </w:rPr>
              <w:fldChar w:fldCharType="end"/>
            </w:r>
            <w:r>
              <w:rPr>
                <w:rFonts w:ascii="Times New Roman" w:eastAsia="宋体" w:hAnsi="Times New Roman" w:cs="Times New Roman"/>
                <w:sz w:val="20"/>
                <w:szCs w:val="20"/>
                <w:lang w:val="de-DE" w:eastAsia="zh-CN"/>
              </w:rPr>
              <w:t>. For the Vivo/Intel/Sharp comments, it is suggested to bring up these aspects in the [106bis-e-NR-R17-RedCap-01] email discussion regarding aspects related to reduced maximum UE bandwidth.</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lastRenderedPageBreak/>
        <w:t xml:space="preserve">FL2 Question 3-2: Companies are invited to comment on the updated parameter for initial DL BWP configuration in </w:t>
      </w:r>
      <w:hyperlink r:id="rId16" w:history="1">
        <w:r>
          <w:rPr>
            <w:rStyle w:val="aff3"/>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rsidR="00045921" w:rsidRDefault="00FA6E73">
            <w:pPr>
              <w:pStyle w:val="aff6"/>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If the configuration is present, there should be an extra flag indicating when the SIB-configured RedCap-specific initial DL BWP will take effect, which include the following cases:</w:t>
            </w:r>
          </w:p>
          <w:p w:rsidR="00045921" w:rsidRDefault="00FA6E73">
            <w:pPr>
              <w:pStyle w:val="aff6"/>
              <w:numPr>
                <w:ilvl w:val="0"/>
                <w:numId w:val="18"/>
              </w:numPr>
              <w:rPr>
                <w:rFonts w:ascii="Times New Roman" w:hAnsi="Times New Roman" w:cs="Times New Roman"/>
                <w:szCs w:val="20"/>
                <w:lang w:val="de-DE" w:eastAsia="ko-KR"/>
              </w:rPr>
            </w:pPr>
            <w:r>
              <w:rPr>
                <w:rFonts w:ascii="Times New Roman" w:hAnsi="Times New Roman" w:cs="Times New Roman"/>
                <w:szCs w:val="20"/>
                <w:lang w:val="de-DE" w:eastAsia="ko-KR"/>
              </w:rPr>
              <w:t>it is used during and after initial access</w:t>
            </w:r>
          </w:p>
          <w:p w:rsidR="00045921" w:rsidRDefault="00FA6E73">
            <w:pPr>
              <w:pStyle w:val="aff6"/>
              <w:numPr>
                <w:ilvl w:val="0"/>
                <w:numId w:val="18"/>
              </w:numPr>
              <w:rPr>
                <w:rFonts w:ascii="Times New Roman" w:hAnsi="Times New Roman" w:cs="Times New Roman"/>
                <w:sz w:val="24"/>
                <w:lang w:val="de-DE" w:eastAsia="ko-KR"/>
              </w:rPr>
            </w:pPr>
            <w:r>
              <w:rPr>
                <w:rFonts w:ascii="Times New Roman" w:hAnsi="Times New Roman" w:cs="Times New Roman"/>
                <w:szCs w:val="20"/>
                <w:lang w:val="de-DE" w:eastAsia="ko-KR"/>
              </w:rPr>
              <w:t>it is used after initial access only</w:t>
            </w:r>
          </w:p>
          <w:p w:rsidR="00045921" w:rsidRDefault="00045921">
            <w:pPr>
              <w:pStyle w:val="aff6"/>
              <w:rPr>
                <w:rFonts w:ascii="Times New Roman" w:hAnsi="Times New Roman" w:cs="Times New Roman"/>
                <w:szCs w:val="20"/>
                <w:lang w:val="de-DE" w:eastAsia="ko-KR"/>
              </w:rPr>
            </w:pPr>
          </w:p>
          <w:p w:rsidR="00045921" w:rsidRDefault="00FA6E73">
            <w:pPr>
              <w:pStyle w:val="aff6"/>
              <w:numPr>
                <w:ilvl w:val="0"/>
                <w:numId w:val="17"/>
              </w:numPr>
              <w:rPr>
                <w:rFonts w:ascii="Times New Roman" w:hAnsi="Times New Roman" w:cs="Times New Roman"/>
                <w:szCs w:val="20"/>
                <w:lang w:val="de-DE" w:eastAsia="ko-KR"/>
              </w:rPr>
            </w:pPr>
            <w:r>
              <w:rPr>
                <w:rFonts w:ascii="Times New Roman" w:hAnsi="Times New Roman" w:cs="Times New Roman"/>
                <w:szCs w:val="20"/>
                <w:lang w:val="de-DE" w:eastAsia="ko-KR"/>
              </w:rPr>
              <w:t>If the center frequency of the initial DL BWP is not aligned with the center frequency of the initial UL BWP in TDD (if supported), early indication based on msg1 should always be enabled. Otherwise, the DL/UL switching gap of RedCap UE cannot be accommodated by NW, and RedCap UE may fail to receive on DL or transmit on UL.</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045921" w:rsidRDefault="00FA6E7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Fine with it. From our understanding, whether it can be used during initial access depends on whether the CORESET corresponding to RAR is configured in the separate initial DL BWP. We do not see the necessity to configure extra flag to indicate the use case for separate initial DL BWP.</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v</w:t>
            </w:r>
            <w:r>
              <w:rPr>
                <w:rFonts w:ascii="Times New Roman" w:eastAsia="宋体" w:hAnsi="Times New Roman" w:cs="Times New Roman"/>
                <w:sz w:val="20"/>
                <w:szCs w:val="20"/>
                <w:lang w:val="de-DE" w:eastAsia="zh-CN"/>
              </w:rPr>
              <w:t>ivo</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T</w:t>
            </w:r>
            <w:r>
              <w:rPr>
                <w:rFonts w:ascii="Times New Roman" w:eastAsia="宋体" w:hAnsi="Times New Roman" w:cs="Times New Roman"/>
                <w:sz w:val="20"/>
                <w:szCs w:val="20"/>
                <w:lang w:val="de-DE" w:eastAsia="zh-CN"/>
              </w:rPr>
              <w:t>he applicability for during and/or after initial access can be further dsicussed based on the decision in AI 8.6.1.1.</w:t>
            </w:r>
          </w:p>
          <w:p w:rsidR="00FA6E73"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The following sentence </w:t>
            </w:r>
            <w:r w:rsidR="00C70A84">
              <w:rPr>
                <w:rFonts w:ascii="Times New Roman" w:eastAsia="宋体" w:hAnsi="Times New Roman" w:cs="Times New Roman"/>
                <w:sz w:val="20"/>
                <w:szCs w:val="20"/>
                <w:lang w:val="de-DE" w:eastAsia="zh-CN"/>
              </w:rPr>
              <w:t xml:space="preserve">requires explicit agreement in AI 8.6.1.1, we suggest to put it in bracket for now. </w:t>
            </w:r>
          </w:p>
          <w:p w:rsidR="00C70A84" w:rsidRPr="00C70A84" w:rsidRDefault="00C70A84">
            <w:pPr>
              <w:rPr>
                <w:rFonts w:ascii="Times New Roman" w:eastAsia="宋体" w:hAnsi="Times New Roman" w:cs="Times New Roman" w:hint="eastAsia"/>
                <w:sz w:val="20"/>
                <w:szCs w:val="20"/>
                <w:lang w:eastAsia="zh-CN"/>
              </w:rPr>
            </w:pPr>
            <w:r w:rsidRPr="00C70A84">
              <w:rPr>
                <w:rFonts w:ascii="Times New Roman" w:hAnsi="Times New Roman"/>
                <w:b/>
                <w:szCs w:val="20"/>
              </w:rPr>
              <w:t xml:space="preserve">If When the parameter is not present, </w:t>
            </w:r>
            <w:proofErr w:type="spellStart"/>
            <w:r w:rsidRPr="00C70A84">
              <w:rPr>
                <w:rFonts w:ascii="Times New Roman" w:hAnsi="Times New Roman"/>
                <w:b/>
                <w:szCs w:val="20"/>
              </w:rPr>
              <w:t>RedCap</w:t>
            </w:r>
            <w:proofErr w:type="spellEnd"/>
            <w:r w:rsidRPr="00C70A84">
              <w:rPr>
                <w:rFonts w:ascii="Times New Roman" w:hAnsi="Times New Roman"/>
                <w:b/>
                <w:szCs w:val="20"/>
              </w:rPr>
              <w:t xml:space="preserve"> UEs use the same SIB-configured initial DL BWP as non-</w:t>
            </w:r>
            <w:proofErr w:type="spellStart"/>
            <w:r w:rsidRPr="00C70A84">
              <w:rPr>
                <w:rFonts w:ascii="Times New Roman" w:hAnsi="Times New Roman"/>
                <w:b/>
                <w:szCs w:val="20"/>
              </w:rPr>
              <w:t>RedCap</w:t>
            </w:r>
            <w:proofErr w:type="spellEnd"/>
            <w:r w:rsidRPr="00C70A84">
              <w:rPr>
                <w:rFonts w:ascii="Times New Roman" w:hAnsi="Times New Roman"/>
                <w:b/>
                <w:szCs w:val="20"/>
              </w:rPr>
              <w:t xml:space="preserve"> UEs if it is does not larger than exceed the </w:t>
            </w:r>
            <w:proofErr w:type="spellStart"/>
            <w:r w:rsidRPr="00C70A84">
              <w:rPr>
                <w:rFonts w:ascii="Times New Roman" w:hAnsi="Times New Roman"/>
                <w:b/>
                <w:szCs w:val="20"/>
              </w:rPr>
              <w:t>RedCap</w:t>
            </w:r>
            <w:proofErr w:type="spellEnd"/>
            <w:r w:rsidRPr="00C70A84">
              <w:rPr>
                <w:rFonts w:ascii="Times New Roman" w:hAnsi="Times New Roman"/>
                <w:b/>
                <w:szCs w:val="20"/>
              </w:rPr>
              <w:t xml:space="preserve"> UE maximum bandwidth, otherwise the </w:t>
            </w:r>
            <w:proofErr w:type="spellStart"/>
            <w:r w:rsidRPr="00C70A84">
              <w:rPr>
                <w:rFonts w:ascii="Times New Roman" w:hAnsi="Times New Roman"/>
                <w:b/>
                <w:szCs w:val="20"/>
              </w:rPr>
              <w:t>RedCap</w:t>
            </w:r>
            <w:proofErr w:type="spellEnd"/>
            <w:r w:rsidRPr="00C70A84">
              <w:rPr>
                <w:rFonts w:ascii="Times New Roman" w:hAnsi="Times New Roman"/>
                <w:b/>
                <w:szCs w:val="20"/>
              </w:rPr>
              <w:t xml:space="preserve"> UEs will continue using the MIB-configured initial DL BWP.</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pStyle w:val="1"/>
      </w:pPr>
      <w:r>
        <w:t>4</w:t>
      </w:r>
      <w:r>
        <w:tab/>
        <w:t>Initial UL BWP configuration</w:t>
      </w:r>
    </w:p>
    <w:p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e"/>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trPr>
          <w:trHeight w:val="450"/>
        </w:trPr>
        <w:tc>
          <w:tcPr>
            <w:tcW w:w="1127" w:type="dxa"/>
          </w:tcPr>
          <w:p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Comment</w:t>
            </w:r>
          </w:p>
        </w:tc>
      </w:tr>
      <w:tr w:rsidR="00045921">
        <w:trPr>
          <w:trHeight w:val="2025"/>
        </w:trPr>
        <w:tc>
          <w:tcPr>
            <w:tcW w:w="112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38.213</w:t>
            </w:r>
          </w:p>
        </w:tc>
        <w:tc>
          <w:tcPr>
            <w:tcW w:w="90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11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5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New</w:t>
            </w:r>
          </w:p>
        </w:tc>
        <w:tc>
          <w:tcPr>
            <w:tcW w:w="167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[RedCap-specific initial UL BWP configuration]</w:t>
            </w:r>
          </w:p>
        </w:tc>
        <w:tc>
          <w:tcPr>
            <w:tcW w:w="267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FFS</w:t>
            </w:r>
          </w:p>
        </w:tc>
        <w:tc>
          <w:tcPr>
            <w:tcW w:w="1011"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Per cell</w:t>
            </w:r>
          </w:p>
        </w:tc>
        <w:tc>
          <w:tcPr>
            <w:tcW w:w="119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Cell-specific</w:t>
            </w:r>
          </w:p>
        </w:tc>
        <w:tc>
          <w:tcPr>
            <w:tcW w:w="1338"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38.331</w:t>
            </w:r>
          </w:p>
        </w:tc>
        <w:tc>
          <w:tcPr>
            <w:tcW w:w="211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See agreements and working assumptions listed in R1-2108271 section 1.</w:t>
            </w:r>
            <w:r>
              <w:rPr>
                <w:rFonts w:eastAsia="MS Mincho" w:cs="Arial"/>
                <w:sz w:val="18"/>
                <w:szCs w:val="18"/>
                <w:lang w:val="de-DE" w:eastAsia="ja-JP"/>
              </w:rPr>
              <w:br/>
            </w:r>
            <w:r>
              <w:rPr>
                <w:rFonts w:eastAsia="MS Mincho" w:cs="Arial"/>
                <w:sz w:val="18"/>
                <w:szCs w:val="18"/>
                <w:lang w:val="de-DE" w:eastAsia="ja-JP"/>
              </w:rPr>
              <w:br/>
              <w:t>Note: The relation between [RedCap-specific PRACH configuration] and [RedCap-specific initial UL BWP configuration] may need further discussion.</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Per the guidance in [5], add in column M of “</w:t>
            </w:r>
            <w:r>
              <w:rPr>
                <w:rStyle w:val="fontstyle01"/>
                <w:rFonts w:ascii="Times New Roman" w:hAnsi="Times New Roman" w:cs="Times New Roman"/>
                <w:sz w:val="20"/>
                <w:szCs w:val="20"/>
                <w:lang w:val="de-DE"/>
              </w:rPr>
              <w:t>In UplinkConfigCommon</w:t>
            </w:r>
            <w:r>
              <w:rPr>
                <w:rFonts w:ascii="Times New Roman" w:hAnsi="Times New Roman" w:cs="Times New Roman"/>
                <w:sz w:val="20"/>
                <w:szCs w:val="20"/>
                <w:lang w:val="de-DE" w:eastAsia="ko-KR"/>
              </w:rPr>
              <w:t>”.</w:t>
            </w:r>
          </w:p>
        </w:tc>
      </w:tr>
      <w:tr w:rsidR="00045921">
        <w:tc>
          <w:tcPr>
            <w:tcW w:w="2122" w:type="dxa"/>
          </w:tcPr>
          <w:p w:rsidR="00045921" w:rsidRDefault="00FA6E73">
            <w:pPr>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vivo</w:t>
            </w:r>
          </w:p>
        </w:tc>
        <w:tc>
          <w:tcPr>
            <w:tcW w:w="19136" w:type="dxa"/>
          </w:tcPr>
          <w:p w:rsidR="00045921" w:rsidRDefault="00FA6E73">
            <w:pPr>
              <w:spacing w:after="180" w:line="252" w:lineRule="auto"/>
              <w:contextualSpacing/>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Revise the description part as the following</w:t>
            </w:r>
          </w:p>
          <w:p w:rsidR="00045921" w:rsidRDefault="00FA6E73">
            <w:pPr>
              <w:spacing w:after="180" w:line="252" w:lineRule="auto"/>
              <w:contextualSpacing/>
              <w:rPr>
                <w:rFonts w:ascii="Times New Roman" w:eastAsia="等线" w:hAnsi="Times New Roman" w:cs="Times New Roman"/>
                <w:sz w:val="20"/>
                <w:szCs w:val="20"/>
                <w:lang w:val="de-DE" w:eastAsia="zh-CN"/>
              </w:rPr>
            </w:pPr>
            <w:r>
              <w:rPr>
                <w:rFonts w:ascii="Times New Roman" w:eastAsia="MS Mincho" w:hAnsi="Times New Roman" w:cs="Times New Roman"/>
                <w:sz w:val="20"/>
                <w:szCs w:val="20"/>
                <w:lang w:val="de-DE" w:eastAsia="ja-JP"/>
              </w:rPr>
              <w:t>If the parameter is not present, RedCap UEs use the same initial UL BWP as non-RedCap UEs.</w:t>
            </w:r>
            <w:r>
              <w:rPr>
                <w:rFonts w:ascii="Times New Roman" w:eastAsia="MS Mincho" w:hAnsi="Times New Roman" w:cs="Times New Roman"/>
                <w:color w:val="FF0000"/>
                <w:sz w:val="20"/>
                <w:szCs w:val="20"/>
                <w:u w:val="single"/>
                <w:lang w:val="de-DE" w:eastAsia="ja-JP"/>
              </w:rPr>
              <w:t xml:space="preserve">if the initial UL BWP does not exceed the RedCap UE BW, otherwise, RedCap UEs are not supported in the cell. </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Intel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eastAsia="宋体" w:hAnsi="Times New Roman" w:cs="Times New Roman"/>
                <w:sz w:val="20"/>
                <w:szCs w:val="20"/>
                <w:lang w:val="de-DE" w:eastAsia="zh-CN"/>
              </w:rPr>
              <w:t>FUTUREWEI</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Editorial (remove the newline in the third column between the “3” and “8”</w:t>
            </w:r>
          </w:p>
          <w:p w:rsidR="00045921" w:rsidRDefault="00FA6E73">
            <w:pPr>
              <w:rPr>
                <w:rFonts w:ascii="Times New Roman" w:hAnsi="Times New Roman" w:cs="Times New Roman"/>
                <w:sz w:val="20"/>
                <w:szCs w:val="20"/>
                <w:lang w:val="de-DE" w:eastAsia="ko-KR"/>
              </w:rPr>
            </w:pPr>
            <w:r>
              <w:rPr>
                <w:rFonts w:ascii="Times New Roman" w:eastAsia="宋体" w:hAnsi="Times New Roman" w:cs="Times New Roman"/>
                <w:sz w:val="20"/>
                <w:szCs w:val="20"/>
                <w:lang w:val="de-DE" w:eastAsia="zh-CN"/>
              </w:rPr>
              <w:t>“If the parameter is not present, RedCap UEs use the same initial UL BWP as non-RedCap UEs</w:t>
            </w:r>
            <w:r>
              <w:rPr>
                <w:rFonts w:ascii="Times New Roman" w:eastAsia="宋体" w:hAnsi="Times New Roman" w:cs="Times New Roman"/>
                <w:color w:val="FF0000"/>
                <w:sz w:val="20"/>
                <w:szCs w:val="20"/>
                <w:lang w:val="de-DE" w:eastAsia="zh-CN"/>
              </w:rPr>
              <w:t xml:space="preserve"> if the initial UL BWP does not exceed the RedCap UE maximum BW</w:t>
            </w:r>
            <w:r>
              <w:rPr>
                <w:rFonts w:ascii="Times New Roman" w:eastAsia="宋体" w:hAnsi="Times New Roman" w:cs="Times New Roman"/>
                <w:sz w:val="20"/>
                <w:szCs w:val="20"/>
                <w:lang w:val="de-DE" w:eastAsia="zh-CN"/>
              </w:rPr>
              <w:t>.”</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lastRenderedPageBreak/>
              <w:t>ZTE, Sanechips</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Similar understanding with Intel regarding the cell barring. Additionally, the case that when the parameter is not present and legacy </w:t>
            </w:r>
            <w:r>
              <w:rPr>
                <w:rFonts w:ascii="Times New Roman" w:eastAsia="宋体" w:hAnsi="Times New Roman" w:cs="Times New Roman"/>
                <w:sz w:val="20"/>
                <w:szCs w:val="20"/>
                <w:lang w:val="de-DE" w:eastAsia="ja-JP"/>
              </w:rPr>
              <w:t xml:space="preserve">initial UL BWP </w:t>
            </w:r>
            <w:r>
              <w:rPr>
                <w:rFonts w:ascii="Times New Roman" w:eastAsia="宋体" w:hAnsi="Times New Roman" w:cs="Times New Roman"/>
                <w:sz w:val="20"/>
                <w:szCs w:val="20"/>
                <w:lang w:val="de-DE" w:eastAsia="zh-CN"/>
              </w:rPr>
              <w:t xml:space="preserve">is </w:t>
            </w:r>
            <w:r>
              <w:rPr>
                <w:rFonts w:ascii="Times New Roman" w:eastAsia="宋体" w:hAnsi="Times New Roman" w:cs="Times New Roman"/>
                <w:sz w:val="20"/>
                <w:szCs w:val="20"/>
                <w:lang w:val="de-DE" w:eastAsia="ja-JP"/>
              </w:rPr>
              <w:t>larger than the RedCap UE bandwidth</w:t>
            </w:r>
            <w:r>
              <w:rPr>
                <w:rFonts w:ascii="Times New Roman" w:eastAsia="宋体" w:hAnsi="Times New Roman" w:cs="Times New Roman"/>
                <w:sz w:val="20"/>
                <w:szCs w:val="20"/>
                <w:lang w:val="de-DE" w:eastAsia="zh-CN"/>
              </w:rPr>
              <w:t>, need to be addressed. Therefore, it is suggested to add the following wording in the description column:</w:t>
            </w:r>
          </w:p>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“If the parameter is not present, RedCap UEs use the same initial UL BWP as non-RedCap UEs.</w:t>
            </w:r>
            <w:r>
              <w:rPr>
                <w:rFonts w:ascii="Times New Roman" w:eastAsia="宋体" w:hAnsi="Times New Roman" w:cs="Times New Roman"/>
                <w:color w:val="FF0000"/>
                <w:sz w:val="20"/>
                <w:szCs w:val="20"/>
                <w:lang w:val="de-DE" w:eastAsia="zh-CN"/>
              </w:rPr>
              <w:t xml:space="preserve"> If the initial UL BWP exceed the RedCap UE maximum BW, the parameter should be present</w:t>
            </w:r>
            <w:r>
              <w:rPr>
                <w:rFonts w:ascii="Times New Roman" w:eastAsia="宋体" w:hAnsi="Times New Roman" w:cs="Times New Roman"/>
                <w:sz w:val="20"/>
                <w:szCs w:val="20"/>
                <w:lang w:val="de-DE" w:eastAsia="zh-CN"/>
              </w:rPr>
              <w:t>.”</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CATT</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A workable initial UL BWP is needed in any case. Suggest the following modification:</w:t>
            </w:r>
          </w:p>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“If the parameter is not present, RedCap UEs use the same initial UL BWP as non-RedCap UEs.</w:t>
            </w:r>
            <w:r>
              <w:rPr>
                <w:rFonts w:ascii="Times New Roman" w:eastAsia="宋体" w:hAnsi="Times New Roman" w:cs="Times New Roman"/>
                <w:color w:val="FF0000"/>
                <w:sz w:val="20"/>
                <w:szCs w:val="20"/>
                <w:lang w:val="de-DE" w:eastAsia="zh-CN"/>
              </w:rPr>
              <w:t xml:space="preserve"> When the RedCap UEs use the same initial UL BWP as non-RedCap UEs, the bandwidth of the shared initial UL BWP shall not exceed the maximum RedCap UE bandwidth</w:t>
            </w:r>
            <w:r>
              <w:rPr>
                <w:rFonts w:ascii="Times New Roman" w:eastAsia="宋体" w:hAnsi="Times New Roman" w:cs="Times New Roman"/>
                <w:sz w:val="20"/>
                <w:szCs w:val="20"/>
                <w:lang w:val="de-DE" w:eastAsia="zh-CN"/>
              </w:rPr>
              <w:t>.”</w:t>
            </w:r>
          </w:p>
        </w:tc>
      </w:tr>
      <w:tr w:rsidR="00045921">
        <w:tc>
          <w:tcPr>
            <w:tcW w:w="2122" w:type="dxa"/>
          </w:tcPr>
          <w:p w:rsidR="00045921" w:rsidRDefault="00FA6E73">
            <w:pPr>
              <w:rPr>
                <w:rFonts w:ascii="Times New Roman" w:eastAsiaTheme="minorEastAsia" w:hAnsi="Times New Roman" w:cs="Times New Roman"/>
                <w:sz w:val="20"/>
                <w:szCs w:val="20"/>
                <w:lang w:val="de-DE" w:eastAsia="ja-JP"/>
              </w:rPr>
            </w:pPr>
            <w:r>
              <w:rPr>
                <w:rFonts w:ascii="Times New Roman" w:eastAsiaTheme="minorEastAsia" w:hAnsi="Times New Roman" w:cs="Times New Roman"/>
                <w:sz w:val="20"/>
                <w:szCs w:val="20"/>
                <w:lang w:val="de-DE" w:eastAsia="ja-JP"/>
              </w:rPr>
              <w:t>Sharp</w:t>
            </w:r>
          </w:p>
        </w:tc>
        <w:tc>
          <w:tcPr>
            <w:tcW w:w="19136" w:type="dxa"/>
          </w:tcPr>
          <w:p w:rsidR="00045921" w:rsidRDefault="00FA6E73">
            <w:pPr>
              <w:rPr>
                <w:rFonts w:ascii="Times New Roman" w:eastAsiaTheme="minorEastAsia" w:hAnsi="Times New Roman" w:cs="Times New Roman"/>
                <w:sz w:val="20"/>
                <w:szCs w:val="20"/>
                <w:lang w:val="de-DE" w:eastAsia="ja-JP"/>
              </w:rPr>
            </w:pPr>
            <w:r>
              <w:rPr>
                <w:rFonts w:ascii="Times New Roman" w:eastAsiaTheme="minorEastAsia" w:hAnsi="Times New Roman" w:cs="Times New Roman"/>
                <w:sz w:val="20"/>
                <w:szCs w:val="20"/>
                <w:lang w:val="de-DE" w:eastAsia="ja-JP"/>
              </w:rPr>
              <w:t>We suggest the following modification:</w:t>
            </w:r>
            <w:r>
              <w:rPr>
                <w:rFonts w:ascii="Times New Roman" w:eastAsiaTheme="minorEastAsia" w:hAnsi="Times New Roman" w:cs="Times New Roman"/>
                <w:sz w:val="20"/>
                <w:szCs w:val="20"/>
                <w:lang w:val="de-DE" w:eastAsia="ja-JP"/>
              </w:rPr>
              <w:br/>
              <w:t>“If the parameter is not present, RedCap UEs use the same initial UL BWP as non-RedCap UEs. </w:t>
            </w:r>
            <w:r>
              <w:rPr>
                <w:rFonts w:ascii="Times New Roman" w:eastAsiaTheme="minorEastAsia" w:hAnsi="Times New Roman" w:cs="Times New Roman"/>
                <w:color w:val="FF0000"/>
                <w:sz w:val="20"/>
                <w:szCs w:val="20"/>
                <w:lang w:val="de-DE" w:eastAsia="ja-JP"/>
              </w:rPr>
              <w:t>Network ensures that this parameter is present if the initial UL BWP exceeds the RedCap UE maximum BW.</w:t>
            </w:r>
            <w:r>
              <w:rPr>
                <w:rFonts w:ascii="Times New Roman" w:eastAsia="宋体" w:hAnsi="Times New Roman" w:cs="Times New Roman"/>
                <w:sz w:val="20"/>
                <w:szCs w:val="20"/>
                <w:lang w:val="de-DE" w:eastAsia="zh-CN"/>
              </w:rPr>
              <w:t>”</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FL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 xml:space="preserve">The corresponding row has been updated in </w:t>
            </w:r>
            <w:r>
              <w:fldChar w:fldCharType="begin"/>
            </w:r>
            <w:r>
              <w:instrText xml:space="preserve"> HYPERLINK "https://www.3gpp.org/ftp/tsg_ran/WG1_RL1/TSGR1_106b-e/Inbox/drafts/8.6/ParamList/RedCapParamList-v001.xlsx" </w:instrText>
            </w:r>
            <w:r>
              <w:fldChar w:fldCharType="separate"/>
            </w:r>
            <w:r>
              <w:rPr>
                <w:rStyle w:val="aff3"/>
                <w:rFonts w:ascii="Times New Roman" w:eastAsia="MS Mincho" w:hAnsi="Times New Roman" w:cs="Times New Roman"/>
                <w:b/>
                <w:bCs/>
                <w:i/>
                <w:iCs/>
                <w:sz w:val="20"/>
                <w:szCs w:val="20"/>
                <w:lang w:val="en-GB" w:eastAsia="ja-JP"/>
              </w:rPr>
              <w:t>RedCapParamList-v001</w:t>
            </w:r>
            <w:r>
              <w:rPr>
                <w:rStyle w:val="aff3"/>
                <w:rFonts w:ascii="Times New Roman" w:eastAsia="MS Mincho" w:hAnsi="Times New Roman" w:cs="Times New Roman"/>
                <w:b/>
                <w:bCs/>
                <w:i/>
                <w:iCs/>
                <w:szCs w:val="20"/>
                <w:lang w:val="en-GB" w:eastAsia="ja-JP"/>
              </w:rPr>
              <w:fldChar w:fldCharType="end"/>
            </w:r>
            <w:r>
              <w:rPr>
                <w:rFonts w:ascii="Times New Roman" w:eastAsia="宋体" w:hAnsi="Times New Roman" w:cs="Times New Roman"/>
                <w:sz w:val="20"/>
                <w:szCs w:val="20"/>
                <w:lang w:val="de-DE" w:eastAsia="zh-CN"/>
              </w:rPr>
              <w:t>.</w:t>
            </w:r>
          </w:p>
        </w:tc>
      </w:tr>
      <w:tr w:rsidR="00045921">
        <w:tc>
          <w:tcPr>
            <w:tcW w:w="2122" w:type="dxa"/>
          </w:tcPr>
          <w:p w:rsidR="00045921" w:rsidRDefault="00045921">
            <w:pPr>
              <w:rPr>
                <w:rFonts w:ascii="Times New Roman" w:eastAsia="宋体" w:hAnsi="Times New Roman" w:cs="Times New Roman"/>
                <w:szCs w:val="20"/>
                <w:lang w:val="de-DE" w:eastAsia="zh-CN"/>
              </w:rPr>
            </w:pPr>
          </w:p>
        </w:tc>
        <w:tc>
          <w:tcPr>
            <w:tcW w:w="19136" w:type="dxa"/>
          </w:tcPr>
          <w:p w:rsidR="00045921" w:rsidRDefault="00045921">
            <w:pPr>
              <w:rPr>
                <w:rFonts w:ascii="Times New Roman" w:eastAsia="宋体" w:hAnsi="Times New Roman" w:cs="Times New Roman"/>
                <w:szCs w:val="20"/>
                <w:lang w:val="de-DE" w:eastAsia="zh-CN"/>
              </w:rPr>
            </w:pP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4-2: Companies are invited to comment on the updated parameter for initial UL BWP configuration in </w:t>
      </w:r>
      <w:hyperlink r:id="rId17" w:history="1">
        <w:r>
          <w:rPr>
            <w:rStyle w:val="aff3"/>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rsidR="00045921" w:rsidRDefault="00FA6E73">
            <w:pPr>
              <w:pStyle w:val="aff6"/>
              <w:numPr>
                <w:ilvl w:val="0"/>
                <w:numId w:val="19"/>
              </w:numPr>
              <w:rPr>
                <w:rFonts w:ascii="Times New Roman" w:hAnsi="Times New Roman" w:cs="Times New Roman"/>
                <w:sz w:val="20"/>
                <w:szCs w:val="18"/>
                <w:lang w:val="de-DE" w:eastAsia="ko-KR"/>
              </w:rPr>
            </w:pPr>
            <w:r>
              <w:rPr>
                <w:rFonts w:ascii="Times New Roman" w:hAnsi="Times New Roman" w:cs="Times New Roman"/>
                <w:sz w:val="20"/>
                <w:szCs w:val="18"/>
                <w:lang w:val="de-DE" w:eastAsia="ko-KR"/>
              </w:rPr>
              <w:t>If the initial UL BWP for non-RedCap UEs exceeds the RedCap UE maximum bandwidth, early indication based on msg1 should always be enabled. Otherwise, RedCap UE may receive an invalid UL grant in msg2, which schedules RedCap UE to transmit msg3 outside its initial UL BWP.</w:t>
            </w:r>
          </w:p>
          <w:p w:rsidR="00045921" w:rsidRDefault="00FA6E73">
            <w:pPr>
              <w:pStyle w:val="aff6"/>
              <w:numPr>
                <w:ilvl w:val="0"/>
                <w:numId w:val="19"/>
              </w:numPr>
              <w:rPr>
                <w:rFonts w:ascii="Times New Roman" w:hAnsi="Times New Roman" w:cs="Times New Roman"/>
                <w:sz w:val="20"/>
                <w:szCs w:val="18"/>
                <w:lang w:val="de-DE" w:eastAsia="ko-KR"/>
              </w:rPr>
            </w:pPr>
            <w:r>
              <w:rPr>
                <w:rFonts w:ascii="Times New Roman" w:hAnsi="Times New Roman" w:cs="Times New Roman"/>
                <w:sz w:val="20"/>
                <w:szCs w:val="18"/>
                <w:lang w:val="de-DE" w:eastAsia="ko-KR"/>
              </w:rPr>
              <w:t>If the center frequency of the initial UL BWP is not aligned with the center frequency of the initial DL BWP in TDD (if supported), early indication based on msg1 should always be enabled. Otherwise, the DL/UL switching gap of RedCap UE cannot be accommodated by NW, and RedCap UE may fail to receive on DL or transmit on UL.</w:t>
            </w:r>
          </w:p>
          <w:p w:rsidR="00045921" w:rsidRDefault="00045921">
            <w:pPr>
              <w:pStyle w:val="aff6"/>
              <w:ind w:left="360"/>
              <w:rPr>
                <w:rFonts w:ascii="Times New Roman" w:hAnsi="Times New Roman" w:cs="Times New Roman"/>
                <w:sz w:val="20"/>
                <w:szCs w:val="18"/>
                <w:lang w:val="de-DE" w:eastAsia="ko-KR"/>
              </w:rPr>
            </w:pPr>
          </w:p>
          <w:p w:rsidR="00045921" w:rsidRDefault="00FA6E73">
            <w:pPr>
              <w:rPr>
                <w:rFonts w:ascii="Times New Roman" w:hAnsi="Times New Roman" w:cs="Times New Roman"/>
                <w:szCs w:val="20"/>
                <w:lang w:val="de-DE" w:eastAsia="ko-KR"/>
              </w:rPr>
            </w:pPr>
            <w:r>
              <w:rPr>
                <w:rFonts w:ascii="Times New Roman" w:hAnsi="Times New Roman" w:cs="Times New Roman"/>
                <w:sz w:val="20"/>
                <w:szCs w:val="18"/>
                <w:lang w:val="de-DE" w:eastAsia="ko-KR"/>
              </w:rPr>
              <w:t>If early indication based on msg1 is not enabled in SI for the two cases above, the initial UL BWP configuration is invalid for RedCap UE.</w:t>
            </w:r>
          </w:p>
        </w:tc>
      </w:tr>
      <w:tr w:rsidR="00045921">
        <w:tc>
          <w:tcPr>
            <w:tcW w:w="2122" w:type="dxa"/>
          </w:tcPr>
          <w:p w:rsidR="00045921" w:rsidRDefault="00FA6E7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ZTE, </w:t>
            </w:r>
            <w:proofErr w:type="spellStart"/>
            <w:r>
              <w:rPr>
                <w:rFonts w:ascii="Times New Roman" w:eastAsia="等线" w:hAnsi="Times New Roman" w:cs="Times New Roman" w:hint="eastAsia"/>
                <w:sz w:val="20"/>
                <w:szCs w:val="20"/>
                <w:lang w:eastAsia="zh-CN"/>
              </w:rPr>
              <w:t>Sanechips</w:t>
            </w:r>
            <w:proofErr w:type="spellEnd"/>
          </w:p>
        </w:tc>
        <w:tc>
          <w:tcPr>
            <w:tcW w:w="19136" w:type="dxa"/>
          </w:tcPr>
          <w:p w:rsidR="00045921" w:rsidRDefault="00FA6E73">
            <w:pPr>
              <w:spacing w:after="180" w:line="252" w:lineRule="auto"/>
              <w:contextualSpacing/>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it. Regarding the concern from Qualcomm, see comment in FL2 Question 2-2.</w:t>
            </w:r>
          </w:p>
        </w:tc>
      </w:tr>
      <w:tr w:rsidR="00045921">
        <w:tc>
          <w:tcPr>
            <w:tcW w:w="2122" w:type="dxa"/>
          </w:tcPr>
          <w:p w:rsidR="00045921" w:rsidRDefault="00A7237F">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v</w:t>
            </w:r>
            <w:r>
              <w:rPr>
                <w:rFonts w:ascii="Times New Roman" w:eastAsia="宋体" w:hAnsi="Times New Roman" w:cs="Times New Roman"/>
                <w:sz w:val="20"/>
                <w:szCs w:val="20"/>
                <w:lang w:val="de-DE" w:eastAsia="zh-CN"/>
              </w:rPr>
              <w:t>ivo</w:t>
            </w:r>
          </w:p>
        </w:tc>
        <w:tc>
          <w:tcPr>
            <w:tcW w:w="19136" w:type="dxa"/>
          </w:tcPr>
          <w:p w:rsidR="00045921" w:rsidRDefault="00A7237F">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W</w:t>
            </w:r>
            <w:r>
              <w:rPr>
                <w:rFonts w:ascii="Times New Roman" w:eastAsia="宋体" w:hAnsi="Times New Roman" w:cs="Times New Roman"/>
                <w:sz w:val="20"/>
                <w:szCs w:val="20"/>
                <w:lang w:val="de-DE" w:eastAsia="zh-CN"/>
              </w:rPr>
              <w:t>e are fine with the update. Regarding the two points made by Qualcomm, we think they are gNB implementation issue</w:t>
            </w:r>
            <w:r w:rsidR="00C911F5">
              <w:rPr>
                <w:rFonts w:ascii="Times New Roman" w:eastAsia="宋体" w:hAnsi="Times New Roman" w:cs="Times New Roman"/>
                <w:sz w:val="20"/>
                <w:szCs w:val="20"/>
                <w:lang w:val="de-DE" w:eastAsia="zh-CN"/>
              </w:rPr>
              <w:t xml:space="preserve">. Strictly speaking, although not optimal, gNB can do conservative scheduling before the UE type is known. </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pStyle w:val="1"/>
      </w:pPr>
      <w:r>
        <w:t>5</w:t>
      </w:r>
      <w:r>
        <w:tab/>
        <w:t>PUCCH configuration</w:t>
      </w:r>
    </w:p>
    <w:p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e"/>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trPr>
          <w:trHeight w:val="450"/>
        </w:trPr>
        <w:tc>
          <w:tcPr>
            <w:tcW w:w="1127" w:type="dxa"/>
          </w:tcPr>
          <w:p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Comment</w:t>
            </w:r>
          </w:p>
        </w:tc>
      </w:tr>
      <w:tr w:rsidR="00045921">
        <w:trPr>
          <w:trHeight w:val="1800"/>
        </w:trPr>
        <w:tc>
          <w:tcPr>
            <w:tcW w:w="112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38.211, 38.213</w:t>
            </w:r>
          </w:p>
        </w:tc>
        <w:tc>
          <w:tcPr>
            <w:tcW w:w="90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11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5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New</w:t>
            </w:r>
          </w:p>
        </w:tc>
        <w:tc>
          <w:tcPr>
            <w:tcW w:w="167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[Intra-slot PUCCH frequency hopping within RedCap-specific initial UL BWP enabled/disabled]</w:t>
            </w:r>
          </w:p>
        </w:tc>
        <w:tc>
          <w:tcPr>
            <w:tcW w:w="267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{Enabled, Disabled}</w:t>
            </w:r>
          </w:p>
        </w:tc>
        <w:tc>
          <w:tcPr>
            <w:tcW w:w="1011"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[Per cell]</w:t>
            </w:r>
          </w:p>
        </w:tc>
        <w:tc>
          <w:tcPr>
            <w:tcW w:w="119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[Cell-specific]</w:t>
            </w:r>
          </w:p>
        </w:tc>
        <w:tc>
          <w:tcPr>
            <w:tcW w:w="1338"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38.331</w:t>
            </w:r>
          </w:p>
        </w:tc>
        <w:tc>
          <w:tcPr>
            <w:tcW w:w="211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See the last agreement and working assumption listed in R1-2108271 section 1.</w:t>
            </w:r>
            <w:r>
              <w:rPr>
                <w:rFonts w:eastAsia="MS Mincho" w:cs="Arial"/>
                <w:sz w:val="18"/>
                <w:szCs w:val="18"/>
                <w:lang w:val="de-DE" w:eastAsia="ja-JP"/>
              </w:rPr>
              <w:br/>
            </w:r>
            <w:r>
              <w:rPr>
                <w:rFonts w:eastAsia="MS Mincho" w:cs="Arial"/>
                <w:sz w:val="18"/>
                <w:szCs w:val="18"/>
                <w:lang w:val="de-DE" w:eastAsia="ja-JP"/>
              </w:rPr>
              <w:br/>
              <w:t>Note: This parameter may be provided as part of the [pucch-ConfigCommon] configuration for the separate initial UL BWP.</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lastRenderedPageBreak/>
              <w:t>Huawei, HiSilicon</w:t>
            </w:r>
          </w:p>
        </w:tc>
        <w:tc>
          <w:tcPr>
            <w:tcW w:w="19136"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Needs further agreements in RAN1 prior to be sent to RAN2 to resolve the WA.</w:t>
            </w:r>
          </w:p>
        </w:tc>
      </w:tr>
      <w:tr w:rsidR="00045921">
        <w:tc>
          <w:tcPr>
            <w:tcW w:w="2122" w:type="dxa"/>
          </w:tcPr>
          <w:p w:rsidR="00045921" w:rsidRDefault="00FA6E73">
            <w:pPr>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v</w:t>
            </w:r>
            <w:r>
              <w:rPr>
                <w:rFonts w:ascii="Times New Roman" w:eastAsia="等线" w:hAnsi="Times New Roman" w:cs="Times New Roman"/>
                <w:sz w:val="20"/>
                <w:szCs w:val="20"/>
                <w:lang w:val="de-DE" w:eastAsia="zh-CN"/>
              </w:rPr>
              <w:t>ivo</w:t>
            </w:r>
          </w:p>
        </w:tc>
        <w:tc>
          <w:tcPr>
            <w:tcW w:w="19136" w:type="dxa"/>
          </w:tcPr>
          <w:p w:rsidR="00045921" w:rsidRDefault="00FA6E73">
            <w:pPr>
              <w:spacing w:after="180" w:line="252" w:lineRule="auto"/>
              <w:contextualSpacing/>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F</w:t>
            </w:r>
            <w:r>
              <w:rPr>
                <w:rFonts w:ascii="Times New Roman" w:eastAsia="等线" w:hAnsi="Times New Roman" w:cs="Times New Roman"/>
                <w:sz w:val="20"/>
                <w:szCs w:val="20"/>
                <w:lang w:val="de-DE" w:eastAsia="zh-CN"/>
              </w:rPr>
              <w:t xml:space="preserve">ine in general. </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Intel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Fine with the above; and also fine to wait for further progress in RAN1 on this, as suggested by Huawei.</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eastAsia="宋体" w:hAnsi="Times New Roman" w:cs="Times New Roman"/>
                <w:sz w:val="20"/>
                <w:szCs w:val="20"/>
                <w:lang w:val="de-DE" w:eastAsia="zh-CN"/>
              </w:rPr>
              <w:t>FUTUREWEI</w:t>
            </w:r>
          </w:p>
        </w:tc>
        <w:tc>
          <w:tcPr>
            <w:tcW w:w="19136" w:type="dxa"/>
          </w:tcPr>
          <w:p w:rsidR="00045921" w:rsidRDefault="00FA6E73">
            <w:pPr>
              <w:rPr>
                <w:rFonts w:ascii="Times New Roman" w:hAnsi="Times New Roman" w:cs="Times New Roman"/>
                <w:sz w:val="20"/>
                <w:szCs w:val="20"/>
                <w:lang w:val="de-DE" w:eastAsia="ko-KR"/>
              </w:rPr>
            </w:pPr>
            <w:r>
              <w:rPr>
                <w:rFonts w:ascii="Times New Roman" w:eastAsia="宋体" w:hAnsi="Times New Roman" w:cs="Times New Roman"/>
                <w:sz w:val="20"/>
                <w:szCs w:val="20"/>
                <w:lang w:val="de-DE" w:eastAsia="zh-CN"/>
              </w:rPr>
              <w:t>There may be an existing parameter “</w:t>
            </w:r>
            <w:r>
              <w:rPr>
                <w:rFonts w:ascii="Times New Roman" w:eastAsia="宋体" w:hAnsi="Times New Roman" w:cs="Times New Roman"/>
                <w:i/>
                <w:iCs/>
                <w:sz w:val="20"/>
                <w:szCs w:val="20"/>
                <w:lang w:val="de-DE" w:eastAsia="zh-CN"/>
              </w:rPr>
              <w:t>intraSlotFrequencyHopping</w:t>
            </w:r>
            <w:r>
              <w:rPr>
                <w:rFonts w:ascii="Times New Roman" w:eastAsia="宋体" w:hAnsi="Times New Roman" w:cs="Times New Roman"/>
                <w:sz w:val="20"/>
                <w:szCs w:val="20"/>
                <w:lang w:val="de-DE" w:eastAsia="zh-CN"/>
              </w:rPr>
              <w:t>” that captures the behavior</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ZTE, Sanechips</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 xml:space="preserve">OK with this parameter. </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CATT</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Fine with this part.</w:t>
            </w:r>
          </w:p>
        </w:tc>
      </w:tr>
      <w:tr w:rsidR="00045921">
        <w:tc>
          <w:tcPr>
            <w:tcW w:w="2122" w:type="dxa"/>
          </w:tcPr>
          <w:p w:rsidR="00045921" w:rsidRDefault="00FA6E73">
            <w:pPr>
              <w:rPr>
                <w:rFonts w:ascii="Times New Roman" w:eastAsiaTheme="minorEastAsia" w:hAnsi="Times New Roman" w:cs="Times New Roman"/>
                <w:sz w:val="20"/>
                <w:szCs w:val="20"/>
                <w:lang w:val="de-DE" w:eastAsia="ja-JP"/>
              </w:rPr>
            </w:pPr>
            <w:r>
              <w:rPr>
                <w:rFonts w:ascii="Times New Roman" w:eastAsiaTheme="minorEastAsia" w:hAnsi="Times New Roman" w:cs="Times New Roman" w:hint="eastAsia"/>
                <w:sz w:val="20"/>
                <w:szCs w:val="20"/>
                <w:lang w:val="de-DE" w:eastAsia="ja-JP"/>
              </w:rPr>
              <w:t>S</w:t>
            </w:r>
            <w:r>
              <w:rPr>
                <w:rFonts w:ascii="Times New Roman" w:eastAsiaTheme="minorEastAsia" w:hAnsi="Times New Roman" w:cs="Times New Roman"/>
                <w:sz w:val="20"/>
                <w:szCs w:val="20"/>
                <w:lang w:val="de-DE" w:eastAsia="ja-JP"/>
              </w:rPr>
              <w:t>harp</w:t>
            </w:r>
          </w:p>
        </w:tc>
        <w:tc>
          <w:tcPr>
            <w:tcW w:w="19136" w:type="dxa"/>
          </w:tcPr>
          <w:p w:rsidR="00045921" w:rsidRDefault="00FA6E73">
            <w:pPr>
              <w:rPr>
                <w:rFonts w:ascii="Times New Roman" w:eastAsiaTheme="minorEastAsia" w:hAnsi="Times New Roman" w:cs="Times New Roman"/>
                <w:sz w:val="20"/>
                <w:szCs w:val="20"/>
                <w:lang w:val="de-DE" w:eastAsia="ja-JP"/>
              </w:rPr>
            </w:pPr>
            <w:r>
              <w:rPr>
                <w:rFonts w:ascii="Times New Roman" w:eastAsiaTheme="minorEastAsia" w:hAnsi="Times New Roman" w:cs="Times New Roman" w:hint="eastAsia"/>
                <w:sz w:val="20"/>
                <w:szCs w:val="20"/>
                <w:lang w:val="de-DE" w:eastAsia="ja-JP"/>
              </w:rPr>
              <w:t>F</w:t>
            </w:r>
            <w:r>
              <w:rPr>
                <w:rFonts w:ascii="Times New Roman" w:eastAsiaTheme="minorEastAsia" w:hAnsi="Times New Roman" w:cs="Times New Roman"/>
                <w:sz w:val="20"/>
                <w:szCs w:val="20"/>
                <w:lang w:val="de-DE" w:eastAsia="ja-JP"/>
              </w:rPr>
              <w:t>ine with the parameter for PUCCH configuration.</w:t>
            </w:r>
          </w:p>
          <w:p w:rsidR="00045921" w:rsidRDefault="00FA6E73">
            <w:pPr>
              <w:rPr>
                <w:rFonts w:ascii="Times New Roman" w:eastAsia="宋体" w:hAnsi="Times New Roman" w:cs="Times New Roman"/>
                <w:sz w:val="20"/>
                <w:szCs w:val="20"/>
                <w:lang w:val="de-DE" w:eastAsia="zh-CN"/>
              </w:rPr>
            </w:pPr>
            <w:r>
              <w:rPr>
                <w:rFonts w:ascii="Times New Roman" w:eastAsiaTheme="minorEastAsia" w:hAnsi="Times New Roman" w:cs="Times New Roman" w:hint="eastAsia"/>
                <w:sz w:val="20"/>
                <w:szCs w:val="20"/>
                <w:lang w:val="de-DE" w:eastAsia="ja-JP"/>
              </w:rPr>
              <w:t>R</w:t>
            </w:r>
            <w:r>
              <w:rPr>
                <w:rFonts w:ascii="Times New Roman" w:eastAsiaTheme="minorEastAsia" w:hAnsi="Times New Roman" w:cs="Times New Roman"/>
                <w:sz w:val="20"/>
                <w:szCs w:val="20"/>
                <w:lang w:val="de-DE" w:eastAsia="ja-JP"/>
              </w:rPr>
              <w:t>egarding FUTUREWEI’s comment, we think a</w:t>
            </w:r>
            <w:r>
              <w:rPr>
                <w:rFonts w:ascii="Times New Roman" w:eastAsia="宋体" w:hAnsi="Times New Roman" w:cs="Times New Roman"/>
                <w:sz w:val="20"/>
                <w:szCs w:val="20"/>
                <w:lang w:val="de-DE" w:eastAsia="zh-CN"/>
              </w:rPr>
              <w:t xml:space="preserve"> new parameter seems much more desirable to indicate whether intra-slot FH for the whole cell specific PUCCH resource set is enabled or disabled considering existing parameter “</w:t>
            </w:r>
            <w:r>
              <w:rPr>
                <w:rFonts w:ascii="Times New Roman" w:eastAsia="宋体" w:hAnsi="Times New Roman" w:cs="Times New Roman"/>
                <w:i/>
                <w:iCs/>
                <w:sz w:val="20"/>
                <w:szCs w:val="20"/>
                <w:lang w:val="de-DE" w:eastAsia="zh-CN"/>
              </w:rPr>
              <w:t>intraSlotFrequencyHopping</w:t>
            </w:r>
            <w:r>
              <w:rPr>
                <w:rFonts w:ascii="Times New Roman" w:eastAsia="宋体" w:hAnsi="Times New Roman" w:cs="Times New Roman"/>
                <w:sz w:val="20"/>
                <w:szCs w:val="20"/>
                <w:lang w:val="de-DE" w:eastAsia="zh-CN"/>
              </w:rPr>
              <w:t>” is used to indicate whether intra-slot FH for one dedicated PUCCH resource is enabled.</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FL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Theme="minorEastAsia" w:hAnsi="Times New Roman" w:cs="Times New Roman"/>
                <w:sz w:val="20"/>
                <w:szCs w:val="20"/>
                <w:lang w:val="de-DE" w:eastAsia="ja-JP"/>
              </w:rPr>
              <w:t xml:space="preserve">See also comment from ZTE under Question 7-1 further down in this document. </w:t>
            </w:r>
            <w:r>
              <w:rPr>
                <w:rFonts w:ascii="Times New Roman" w:eastAsia="宋体" w:hAnsi="Times New Roman" w:cs="Times New Roman"/>
                <w:sz w:val="20"/>
                <w:szCs w:val="20"/>
                <w:lang w:val="de-DE" w:eastAsia="zh-CN"/>
              </w:rPr>
              <w:t xml:space="preserve">The corresponding row has been updated in </w:t>
            </w:r>
            <w:r>
              <w:fldChar w:fldCharType="begin"/>
            </w:r>
            <w:r>
              <w:instrText xml:space="preserve"> HYPERLINK "https://www.3gpp.org/ftp/tsg_ran/WG1_RL1/TSGR1_106b-e/Inbox/drafts/8.6/ParamList/RedCapParamList-v001.xlsx" </w:instrText>
            </w:r>
            <w:r>
              <w:fldChar w:fldCharType="separate"/>
            </w:r>
            <w:r>
              <w:rPr>
                <w:rStyle w:val="aff3"/>
                <w:rFonts w:ascii="Times New Roman" w:eastAsia="MS Mincho" w:hAnsi="Times New Roman" w:cs="Times New Roman"/>
                <w:b/>
                <w:bCs/>
                <w:i/>
                <w:iCs/>
                <w:sz w:val="20"/>
                <w:szCs w:val="20"/>
                <w:lang w:val="en-GB" w:eastAsia="ja-JP"/>
              </w:rPr>
              <w:t>RedCapParamList-v001</w:t>
            </w:r>
            <w:r>
              <w:rPr>
                <w:rStyle w:val="aff3"/>
                <w:rFonts w:ascii="Times New Roman" w:eastAsia="MS Mincho" w:hAnsi="Times New Roman" w:cs="Times New Roman"/>
                <w:b/>
                <w:bCs/>
                <w:i/>
                <w:iCs/>
                <w:szCs w:val="20"/>
                <w:lang w:val="en-GB" w:eastAsia="ja-JP"/>
              </w:rPr>
              <w:fldChar w:fldCharType="end"/>
            </w:r>
            <w:r>
              <w:rPr>
                <w:rFonts w:ascii="Times New Roman" w:eastAsia="宋体" w:hAnsi="Times New Roman" w:cs="Times New Roman"/>
                <w:sz w:val="20"/>
                <w:szCs w:val="20"/>
                <w:lang w:val="de-DE" w:eastAsia="zh-CN"/>
              </w:rPr>
              <w:t>.</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bookmarkStart w:id="12" w:name="_GoBack"/>
      <w:r>
        <w:rPr>
          <w:rFonts w:ascii="Times New Roman" w:eastAsia="MS Mincho" w:hAnsi="Times New Roman" w:cs="Times New Roman"/>
          <w:b/>
          <w:bCs/>
          <w:szCs w:val="20"/>
          <w:lang w:val="en-GB" w:eastAsia="ja-JP"/>
        </w:rPr>
        <w:t>FL2</w:t>
      </w:r>
      <w:bookmarkEnd w:id="12"/>
      <w:r>
        <w:rPr>
          <w:rFonts w:ascii="Times New Roman" w:eastAsia="MS Mincho" w:hAnsi="Times New Roman" w:cs="Times New Roman"/>
          <w:b/>
          <w:bCs/>
          <w:szCs w:val="20"/>
          <w:lang w:val="en-GB" w:eastAsia="ja-JP"/>
        </w:rPr>
        <w:t xml:space="preserve"> Question 5-2: Companies are invited to comment on the parameter for PUCCH configuration in </w:t>
      </w:r>
      <w:hyperlink r:id="rId18" w:history="1">
        <w:r>
          <w:rPr>
            <w:rStyle w:val="aff3"/>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OK with FL2 proposal</w:t>
            </w:r>
          </w:p>
        </w:tc>
      </w:tr>
      <w:tr w:rsidR="00045921">
        <w:tc>
          <w:tcPr>
            <w:tcW w:w="2122" w:type="dxa"/>
          </w:tcPr>
          <w:p w:rsidR="00045921" w:rsidRDefault="00614B17">
            <w:pPr>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v</w:t>
            </w:r>
            <w:r>
              <w:rPr>
                <w:rFonts w:ascii="Times New Roman" w:eastAsia="等线" w:hAnsi="Times New Roman" w:cs="Times New Roman"/>
                <w:sz w:val="20"/>
                <w:szCs w:val="20"/>
                <w:lang w:val="de-DE" w:eastAsia="zh-CN"/>
              </w:rPr>
              <w:t>ivo</w:t>
            </w:r>
          </w:p>
        </w:tc>
        <w:tc>
          <w:tcPr>
            <w:tcW w:w="19136" w:type="dxa"/>
          </w:tcPr>
          <w:p w:rsidR="00614B17" w:rsidRDefault="00614B17">
            <w:pPr>
              <w:spacing w:after="180" w:line="252" w:lineRule="auto"/>
              <w:contextualSpacing/>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I</w:t>
            </w:r>
            <w:r>
              <w:rPr>
                <w:rFonts w:ascii="Times New Roman" w:eastAsia="等线" w:hAnsi="Times New Roman" w:cs="Times New Roman"/>
                <w:sz w:val="20"/>
                <w:szCs w:val="20"/>
                <w:lang w:val="de-DE" w:eastAsia="zh-CN"/>
              </w:rPr>
              <w:t>t is not clear to us why the following revision is made. What is the use case to introduce the parameter to enable/disable PUCCH hopping in the legacy inital UL BWP?</w:t>
            </w:r>
          </w:p>
          <w:p w:rsidR="00614B17" w:rsidRDefault="00614B17">
            <w:pPr>
              <w:spacing w:after="180" w:line="252" w:lineRule="auto"/>
              <w:contextualSpacing/>
              <w:rPr>
                <w:rFonts w:ascii="Times New Roman" w:eastAsia="等线" w:hAnsi="Times New Roman" w:cs="Times New Roman" w:hint="eastAsia"/>
                <w:sz w:val="20"/>
                <w:szCs w:val="20"/>
                <w:lang w:val="de-DE" w:eastAsia="zh-CN"/>
              </w:rPr>
            </w:pPr>
          </w:p>
          <w:p w:rsidR="00614B17" w:rsidRDefault="00614B17">
            <w:pPr>
              <w:spacing w:after="180" w:line="252" w:lineRule="auto"/>
              <w:contextualSpacing/>
              <w:rPr>
                <w:rFonts w:ascii="Times New Roman" w:eastAsia="等线" w:hAnsi="Times New Roman" w:cs="Times New Roman" w:hint="eastAsia"/>
                <w:sz w:val="20"/>
                <w:szCs w:val="20"/>
                <w:lang w:val="de-DE" w:eastAsia="zh-CN"/>
              </w:rPr>
            </w:pPr>
            <w:r w:rsidRPr="00614B17">
              <w:rPr>
                <w:rFonts w:ascii="Times New Roman" w:eastAsia="等线" w:hAnsi="Times New Roman" w:cs="Times New Roman"/>
                <w:sz w:val="20"/>
                <w:szCs w:val="20"/>
                <w:lang w:val="de-DE" w:eastAsia="zh-CN"/>
              </w:rPr>
              <w:t xml:space="preserve">Note: This parameter may be provided as part of the [pucch-ConfigCommon] configuration for the separate initial UL BWP </w:t>
            </w:r>
            <w:r w:rsidRPr="00614B17">
              <w:rPr>
                <w:rFonts w:ascii="Times New Roman" w:eastAsia="等线" w:hAnsi="Times New Roman" w:cs="Times New Roman"/>
                <w:color w:val="FF0000"/>
                <w:sz w:val="20"/>
                <w:szCs w:val="20"/>
                <w:lang w:val="de-DE" w:eastAsia="zh-CN"/>
              </w:rPr>
              <w:t>(or possibly as part of the configuration for the normal initial UL BWP).</w:t>
            </w:r>
          </w:p>
        </w:tc>
      </w:tr>
      <w:tr w:rsidR="00045921">
        <w:tc>
          <w:tcPr>
            <w:tcW w:w="2122" w:type="dxa"/>
          </w:tcPr>
          <w:p w:rsidR="00045921" w:rsidRDefault="00045921">
            <w:pPr>
              <w:rPr>
                <w:rFonts w:ascii="Times New Roman" w:eastAsia="宋体" w:hAnsi="Times New Roman" w:cs="Times New Roman"/>
                <w:sz w:val="20"/>
                <w:szCs w:val="20"/>
                <w:lang w:val="de-DE" w:eastAsia="zh-CN"/>
              </w:rPr>
            </w:pPr>
          </w:p>
        </w:tc>
        <w:tc>
          <w:tcPr>
            <w:tcW w:w="19136" w:type="dxa"/>
          </w:tcPr>
          <w:p w:rsidR="00045921" w:rsidRDefault="00045921">
            <w:pPr>
              <w:rPr>
                <w:rFonts w:ascii="Times New Roman" w:eastAsia="宋体" w:hAnsi="Times New Roman" w:cs="Times New Roman"/>
                <w:sz w:val="20"/>
                <w:szCs w:val="20"/>
                <w:lang w:val="de-DE" w:eastAsia="zh-CN"/>
              </w:rPr>
            </w:pP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pStyle w:val="1"/>
      </w:pPr>
      <w:r>
        <w:t>6</w:t>
      </w:r>
      <w:r>
        <w:tab/>
        <w:t>CQI/MCS table configuration</w:t>
      </w:r>
    </w:p>
    <w:p w:rsidR="00045921" w:rsidRDefault="00FA6E73">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afe"/>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045921">
        <w:trPr>
          <w:trHeight w:val="450"/>
        </w:trPr>
        <w:tc>
          <w:tcPr>
            <w:tcW w:w="1127" w:type="dxa"/>
          </w:tcPr>
          <w:p w:rsidR="00045921" w:rsidRDefault="00FA6E73">
            <w:pPr>
              <w:spacing w:afterLines="50" w:after="120" w:line="240" w:lineRule="auto"/>
              <w:rPr>
                <w:rFonts w:eastAsia="MS Mincho" w:cs="Arial"/>
                <w:b/>
                <w:bCs/>
                <w:sz w:val="18"/>
                <w:szCs w:val="18"/>
                <w:lang w:val="sv-SE" w:eastAsia="ja-JP"/>
              </w:rPr>
            </w:pPr>
            <w:r>
              <w:rPr>
                <w:rFonts w:eastAsia="MS Mincho" w:cs="Arial"/>
                <w:b/>
                <w:bCs/>
                <w:sz w:val="18"/>
                <w:szCs w:val="18"/>
                <w:lang w:val="de-DE" w:eastAsia="ja-JP"/>
              </w:rPr>
              <w:t>WI code</w:t>
            </w:r>
          </w:p>
        </w:tc>
        <w:tc>
          <w:tcPr>
            <w:tcW w:w="1043"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Sub-feature group</w:t>
            </w:r>
          </w:p>
        </w:tc>
        <w:tc>
          <w:tcPr>
            <w:tcW w:w="132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RAN1 specification</w:t>
            </w:r>
          </w:p>
        </w:tc>
        <w:tc>
          <w:tcPr>
            <w:tcW w:w="90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Section</w:t>
            </w:r>
          </w:p>
        </w:tc>
        <w:tc>
          <w:tcPr>
            <w:tcW w:w="127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Parent IE</w:t>
            </w:r>
          </w:p>
        </w:tc>
        <w:tc>
          <w:tcPr>
            <w:tcW w:w="1110"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RAN2 ASN.1 name</w:t>
            </w:r>
          </w:p>
        </w:tc>
        <w:tc>
          <w:tcPr>
            <w:tcW w:w="125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spec</w:t>
            </w:r>
          </w:p>
        </w:tc>
        <w:tc>
          <w:tcPr>
            <w:tcW w:w="1047"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New or existing?</w:t>
            </w:r>
          </w:p>
        </w:tc>
        <w:tc>
          <w:tcPr>
            <w:tcW w:w="1675"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Parameter name in the text</w:t>
            </w:r>
          </w:p>
        </w:tc>
        <w:tc>
          <w:tcPr>
            <w:tcW w:w="2676"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Description</w:t>
            </w:r>
          </w:p>
        </w:tc>
        <w:tc>
          <w:tcPr>
            <w:tcW w:w="1264"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Value range</w:t>
            </w:r>
          </w:p>
        </w:tc>
        <w:tc>
          <w:tcPr>
            <w:tcW w:w="1011"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Default value aspect</w:t>
            </w:r>
          </w:p>
        </w:tc>
        <w:tc>
          <w:tcPr>
            <w:tcW w:w="882"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Per (UE, cell, TRP, …)</w:t>
            </w:r>
          </w:p>
        </w:tc>
        <w:tc>
          <w:tcPr>
            <w:tcW w:w="119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UE-specific or Cell-specific</w:t>
            </w:r>
          </w:p>
        </w:tc>
        <w:tc>
          <w:tcPr>
            <w:tcW w:w="1338"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Specification</w:t>
            </w:r>
          </w:p>
        </w:tc>
        <w:tc>
          <w:tcPr>
            <w:tcW w:w="2119" w:type="dxa"/>
          </w:tcPr>
          <w:p w:rsidR="00045921" w:rsidRDefault="00FA6E73">
            <w:pPr>
              <w:spacing w:afterLines="50" w:after="120" w:line="240" w:lineRule="auto"/>
              <w:rPr>
                <w:rFonts w:eastAsia="MS Mincho" w:cs="Arial"/>
                <w:b/>
                <w:bCs/>
                <w:sz w:val="18"/>
                <w:szCs w:val="18"/>
                <w:lang w:val="de-DE" w:eastAsia="ja-JP"/>
              </w:rPr>
            </w:pPr>
            <w:r>
              <w:rPr>
                <w:rFonts w:eastAsia="MS Mincho" w:cs="Arial"/>
                <w:b/>
                <w:bCs/>
                <w:sz w:val="18"/>
                <w:szCs w:val="18"/>
                <w:lang w:val="de-DE" w:eastAsia="ja-JP"/>
              </w:rPr>
              <w:t>Comment</w:t>
            </w:r>
          </w:p>
        </w:tc>
      </w:tr>
      <w:tr w:rsidR="00045921">
        <w:trPr>
          <w:trHeight w:val="450"/>
        </w:trPr>
        <w:tc>
          <w:tcPr>
            <w:tcW w:w="112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38.214</w:t>
            </w:r>
          </w:p>
        </w:tc>
        <w:tc>
          <w:tcPr>
            <w:tcW w:w="90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CSI-ReportConfig</w:t>
            </w:r>
          </w:p>
        </w:tc>
        <w:tc>
          <w:tcPr>
            <w:tcW w:w="111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cqi-Table</w:t>
            </w:r>
          </w:p>
        </w:tc>
        <w:tc>
          <w:tcPr>
            <w:tcW w:w="125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Existing</w:t>
            </w:r>
          </w:p>
        </w:tc>
        <w:tc>
          <w:tcPr>
            <w:tcW w:w="167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267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For a RedCap UE, CQI table 2 is only supported if the UE indicates support of 256QAM for PDSCH.</w:t>
            </w:r>
          </w:p>
        </w:tc>
        <w:tc>
          <w:tcPr>
            <w:tcW w:w="1264"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011"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19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338" w:type="dxa"/>
          </w:tcPr>
          <w:p w:rsidR="00045921" w:rsidRDefault="00FA6E73">
            <w:pPr>
              <w:spacing w:afterLines="50" w:after="120" w:line="240" w:lineRule="auto"/>
              <w:rPr>
                <w:rFonts w:eastAsia="MS Mincho" w:cs="Arial"/>
                <w:color w:val="C00000"/>
                <w:sz w:val="18"/>
                <w:szCs w:val="18"/>
                <w:u w:val="single"/>
                <w:lang w:val="de-DE" w:eastAsia="ja-JP"/>
              </w:rPr>
            </w:pPr>
            <w:r>
              <w:rPr>
                <w:rFonts w:eastAsia="MS Mincho" w:cs="Arial"/>
                <w:color w:val="C00000"/>
                <w:sz w:val="18"/>
                <w:szCs w:val="18"/>
                <w:u w:val="single"/>
                <w:lang w:val="de-DE" w:eastAsia="ja-JP"/>
              </w:rPr>
              <w:t>38.331</w:t>
            </w:r>
          </w:p>
        </w:tc>
        <w:tc>
          <w:tcPr>
            <w:tcW w:w="211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r>
      <w:tr w:rsidR="00045921">
        <w:trPr>
          <w:trHeight w:val="450"/>
        </w:trPr>
        <w:tc>
          <w:tcPr>
            <w:tcW w:w="112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NR_redcap</w:t>
            </w:r>
          </w:p>
        </w:tc>
        <w:tc>
          <w:tcPr>
            <w:tcW w:w="1043"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RedCap UE</w:t>
            </w:r>
          </w:p>
        </w:tc>
        <w:tc>
          <w:tcPr>
            <w:tcW w:w="132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38.214</w:t>
            </w:r>
          </w:p>
        </w:tc>
        <w:tc>
          <w:tcPr>
            <w:tcW w:w="90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27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[Several, TBD]</w:t>
            </w:r>
          </w:p>
        </w:tc>
        <w:tc>
          <w:tcPr>
            <w:tcW w:w="1110"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mcs-Table</w:t>
            </w:r>
          </w:p>
        </w:tc>
        <w:tc>
          <w:tcPr>
            <w:tcW w:w="125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047"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Existing</w:t>
            </w:r>
          </w:p>
        </w:tc>
        <w:tc>
          <w:tcPr>
            <w:tcW w:w="1675"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2676"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For a RedCap UE, the 256QAM MCS table for PDSCH is only supported if the UE indicates support of 256QAM for PDSCH.</w:t>
            </w:r>
          </w:p>
        </w:tc>
        <w:tc>
          <w:tcPr>
            <w:tcW w:w="1264"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011"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882"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19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c>
          <w:tcPr>
            <w:tcW w:w="1338" w:type="dxa"/>
          </w:tcPr>
          <w:p w:rsidR="00045921" w:rsidRDefault="00FA6E73">
            <w:pPr>
              <w:spacing w:afterLines="50" w:after="120" w:line="240" w:lineRule="auto"/>
              <w:rPr>
                <w:rFonts w:eastAsia="MS Mincho" w:cs="Arial"/>
                <w:color w:val="C00000"/>
                <w:sz w:val="18"/>
                <w:szCs w:val="18"/>
                <w:u w:val="single"/>
                <w:lang w:val="de-DE" w:eastAsia="ja-JP"/>
              </w:rPr>
            </w:pPr>
            <w:r>
              <w:rPr>
                <w:rFonts w:eastAsia="MS Mincho" w:cs="Arial"/>
                <w:color w:val="C00000"/>
                <w:sz w:val="18"/>
                <w:szCs w:val="18"/>
                <w:u w:val="single"/>
                <w:lang w:val="de-DE" w:eastAsia="ja-JP"/>
              </w:rPr>
              <w:t>38.331</w:t>
            </w:r>
          </w:p>
        </w:tc>
        <w:tc>
          <w:tcPr>
            <w:tcW w:w="2119" w:type="dxa"/>
          </w:tcPr>
          <w:p w:rsidR="00045921" w:rsidRDefault="00FA6E73">
            <w:pPr>
              <w:spacing w:afterLines="50" w:after="120" w:line="240" w:lineRule="auto"/>
              <w:rPr>
                <w:rFonts w:eastAsia="MS Mincho" w:cs="Arial"/>
                <w:sz w:val="18"/>
                <w:szCs w:val="18"/>
                <w:lang w:val="de-DE" w:eastAsia="ja-JP"/>
              </w:rPr>
            </w:pPr>
            <w:r>
              <w:rPr>
                <w:rFonts w:eastAsia="MS Mincho" w:cs="Arial"/>
                <w:sz w:val="18"/>
                <w:szCs w:val="18"/>
                <w:lang w:val="de-DE" w:eastAsia="ja-JP"/>
              </w:rPr>
              <w:t> </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parameters for CQI/MCS table configuration.</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Huawei, HiSilicon</w:t>
            </w:r>
          </w:p>
        </w:tc>
        <w:tc>
          <w:tcPr>
            <w:tcW w:w="19136"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No need for a new RRC parameter. The exiting parameters can be reused.</w:t>
            </w:r>
          </w:p>
        </w:tc>
      </w:tr>
      <w:tr w:rsidR="00045921">
        <w:tc>
          <w:tcPr>
            <w:tcW w:w="2122" w:type="dxa"/>
          </w:tcPr>
          <w:p w:rsidR="00045921" w:rsidRDefault="00FA6E73">
            <w:pPr>
              <w:rPr>
                <w:rFonts w:ascii="Times New Roman" w:eastAsia="等线" w:hAnsi="Times New Roman" w:cs="Times New Roman"/>
                <w:sz w:val="20"/>
                <w:szCs w:val="20"/>
                <w:lang w:val="de-DE" w:eastAsia="zh-CN"/>
              </w:rPr>
            </w:pPr>
            <w:r>
              <w:rPr>
                <w:rFonts w:ascii="Times New Roman" w:eastAsia="等线" w:hAnsi="Times New Roman" w:cs="Times New Roman" w:hint="eastAsia"/>
                <w:sz w:val="20"/>
                <w:szCs w:val="20"/>
                <w:lang w:val="de-DE" w:eastAsia="zh-CN"/>
              </w:rPr>
              <w:t>v</w:t>
            </w:r>
            <w:r>
              <w:rPr>
                <w:rFonts w:ascii="Times New Roman" w:eastAsia="等线" w:hAnsi="Times New Roman" w:cs="Times New Roman"/>
                <w:sz w:val="20"/>
                <w:szCs w:val="20"/>
                <w:lang w:val="de-DE" w:eastAsia="zh-CN"/>
              </w:rPr>
              <w:t>ivo</w:t>
            </w:r>
          </w:p>
        </w:tc>
        <w:tc>
          <w:tcPr>
            <w:tcW w:w="19136" w:type="dxa"/>
          </w:tcPr>
          <w:p w:rsidR="00045921" w:rsidRDefault="00FA6E73">
            <w:pPr>
              <w:spacing w:after="180" w:line="252" w:lineRule="auto"/>
              <w:contextualSpacing/>
              <w:rPr>
                <w:rFonts w:ascii="Times New Roman" w:eastAsia="等线" w:hAnsi="Times New Roman" w:cs="Times New Roman"/>
                <w:sz w:val="20"/>
                <w:szCs w:val="20"/>
                <w:lang w:val="de-DE" w:eastAsia="zh-CN"/>
              </w:rPr>
            </w:pPr>
            <w:r>
              <w:rPr>
                <w:rFonts w:ascii="Times New Roman" w:eastAsia="等线" w:hAnsi="Times New Roman" w:cs="Times New Roman"/>
                <w:sz w:val="20"/>
                <w:szCs w:val="20"/>
                <w:lang w:val="de-DE" w:eastAsia="zh-CN"/>
              </w:rPr>
              <w:t xml:space="preserve">Existing parameters are sufficient, no need to include them in the table. </w:t>
            </w:r>
          </w:p>
        </w:tc>
      </w:tr>
      <w:tr w:rsidR="00045921">
        <w:trPr>
          <w:trHeight w:val="70"/>
        </w:trPr>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FUTUREWEI</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Similar comment as vivo. This is also applicable for PUSCH.</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lastRenderedPageBreak/>
              <w:t>ZTE, Sanechips</w:t>
            </w:r>
          </w:p>
        </w:tc>
        <w:tc>
          <w:tcPr>
            <w:tcW w:w="19136" w:type="dxa"/>
          </w:tcPr>
          <w:p w:rsidR="00045921" w:rsidRDefault="00FA6E73">
            <w:pPr>
              <w:pStyle w:val="aff6"/>
              <w:ind w:left="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Suggest to reuse the existing parameters.</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CATT</w:t>
            </w:r>
          </w:p>
        </w:tc>
        <w:tc>
          <w:tcPr>
            <w:tcW w:w="19136" w:type="dxa"/>
          </w:tcPr>
          <w:p w:rsidR="00045921" w:rsidRDefault="00FA6E73">
            <w:pPr>
              <w:pStyle w:val="aff6"/>
              <w:ind w:left="0"/>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Prefer to reuse the existing parameters as much as possible.</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FL</w:t>
            </w:r>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sz w:val="20"/>
                <w:szCs w:val="20"/>
                <w:lang w:val="de-DE" w:eastAsia="zh-CN"/>
              </w:rPr>
              <w:t>Note that these rows are not intended to introduce new parameters, only modify descriptions of existing parameters.</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6-2: Companies are invited to comment on the (unchanged) parameters for CQI/MCS table configuration in </w:t>
      </w:r>
      <w:hyperlink r:id="rId19" w:history="1">
        <w:r>
          <w:rPr>
            <w:rStyle w:val="aff3"/>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Qualcomm</w:t>
            </w:r>
          </w:p>
        </w:tc>
        <w:tc>
          <w:tcPr>
            <w:tcW w:w="19136"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OK with FL2 proposal</w:t>
            </w:r>
          </w:p>
        </w:tc>
      </w:tr>
      <w:tr w:rsidR="00045921">
        <w:tc>
          <w:tcPr>
            <w:tcW w:w="2122"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eastAsia="zh-CN"/>
              </w:rPr>
              <w:t xml:space="preserve">ZTE, </w:t>
            </w:r>
            <w:proofErr w:type="spellStart"/>
            <w:r>
              <w:rPr>
                <w:rFonts w:ascii="Times New Roman" w:eastAsia="宋体" w:hAnsi="Times New Roman" w:cs="Times New Roman" w:hint="eastAsia"/>
                <w:sz w:val="20"/>
                <w:szCs w:val="20"/>
                <w:lang w:eastAsia="zh-CN"/>
              </w:rPr>
              <w:t>Sanechips</w:t>
            </w:r>
            <w:proofErr w:type="spellEnd"/>
          </w:p>
        </w:tc>
        <w:tc>
          <w:tcPr>
            <w:tcW w:w="19136" w:type="dxa"/>
          </w:tcPr>
          <w:p w:rsidR="00045921" w:rsidRDefault="00FA6E73">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eastAsia="zh-CN"/>
              </w:rPr>
              <w:t xml:space="preserve">Fine with the update. Additionally, when the separate initial UL BWP is configured, </w:t>
            </w:r>
            <w:proofErr w:type="spellStart"/>
            <w:r>
              <w:rPr>
                <w:rFonts w:ascii="Times New Roman" w:eastAsia="宋体" w:hAnsi="Times New Roman" w:cs="Times New Roman" w:hint="eastAsia"/>
                <w:sz w:val="20"/>
                <w:szCs w:val="20"/>
                <w:lang w:eastAsia="zh-CN"/>
              </w:rPr>
              <w:t>pucch-ResourceCommon</w:t>
            </w:r>
            <w:proofErr w:type="spellEnd"/>
            <w:r>
              <w:rPr>
                <w:rFonts w:ascii="Times New Roman" w:eastAsia="宋体" w:hAnsi="Times New Roman" w:cs="Times New Roman" w:hint="eastAsia"/>
                <w:sz w:val="20"/>
                <w:szCs w:val="20"/>
                <w:lang w:eastAsia="zh-CN"/>
              </w:rPr>
              <w:t xml:space="preserve"> in </w:t>
            </w:r>
            <w:r>
              <w:rPr>
                <w:rFonts w:ascii="Times New Roman" w:eastAsia="宋体" w:hAnsi="Times New Roman" w:cs="Times New Roman"/>
                <w:sz w:val="20"/>
                <w:szCs w:val="20"/>
                <w:lang w:eastAsia="zh-CN"/>
              </w:rPr>
              <w:t>PUCCH-</w:t>
            </w:r>
            <w:proofErr w:type="spellStart"/>
            <w:r>
              <w:rPr>
                <w:rFonts w:ascii="Times New Roman" w:eastAsia="宋体" w:hAnsi="Times New Roman" w:cs="Times New Roman"/>
                <w:sz w:val="20"/>
                <w:szCs w:val="20"/>
                <w:lang w:eastAsia="zh-CN"/>
              </w:rPr>
              <w:t>ConfigCommon</w:t>
            </w:r>
            <w:proofErr w:type="spellEnd"/>
            <w:r>
              <w:rPr>
                <w:rFonts w:ascii="Times New Roman" w:eastAsia="宋体" w:hAnsi="Times New Roman" w:cs="Times New Roman" w:hint="eastAsia"/>
                <w:sz w:val="20"/>
                <w:szCs w:val="20"/>
                <w:lang w:eastAsia="zh-CN"/>
              </w:rPr>
              <w:t xml:space="preserve"> need to be newly defined for </w:t>
            </w:r>
            <w:proofErr w:type="spellStart"/>
            <w:r>
              <w:rPr>
                <w:rFonts w:ascii="Times New Roman" w:eastAsia="宋体" w:hAnsi="Times New Roman" w:cs="Times New Roman" w:hint="eastAsia"/>
                <w:sz w:val="20"/>
                <w:szCs w:val="20"/>
                <w:lang w:eastAsia="zh-CN"/>
              </w:rPr>
              <w:t>RedCap</w:t>
            </w:r>
            <w:proofErr w:type="spellEnd"/>
            <w:r>
              <w:rPr>
                <w:rFonts w:ascii="Times New Roman" w:eastAsia="宋体" w:hAnsi="Times New Roman" w:cs="Times New Roman" w:hint="eastAsia"/>
                <w:sz w:val="20"/>
                <w:szCs w:val="20"/>
                <w:lang w:eastAsia="zh-CN"/>
              </w:rPr>
              <w:t xml:space="preserve"> UE, if the PUCCH resource allocation is different with the legacy.</w:t>
            </w:r>
          </w:p>
        </w:tc>
      </w:tr>
      <w:tr w:rsidR="00045921">
        <w:tc>
          <w:tcPr>
            <w:tcW w:w="2122" w:type="dxa"/>
          </w:tcPr>
          <w:p w:rsidR="00045921" w:rsidRDefault="00614B17">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v</w:t>
            </w:r>
            <w:r>
              <w:rPr>
                <w:rFonts w:ascii="Times New Roman" w:eastAsia="宋体" w:hAnsi="Times New Roman" w:cs="Times New Roman"/>
                <w:sz w:val="20"/>
                <w:szCs w:val="20"/>
                <w:lang w:val="de-DE" w:eastAsia="zh-CN"/>
              </w:rPr>
              <w:t>ivo</w:t>
            </w:r>
          </w:p>
        </w:tc>
        <w:tc>
          <w:tcPr>
            <w:tcW w:w="19136" w:type="dxa"/>
          </w:tcPr>
          <w:p w:rsidR="00045921" w:rsidRDefault="00614B17">
            <w:pPr>
              <w:rPr>
                <w:rFonts w:ascii="Times New Roman" w:eastAsia="宋体" w:hAnsi="Times New Roman" w:cs="Times New Roman"/>
                <w:sz w:val="20"/>
                <w:szCs w:val="20"/>
                <w:lang w:val="de-DE" w:eastAsia="zh-CN"/>
              </w:rPr>
            </w:pPr>
            <w:r>
              <w:rPr>
                <w:rFonts w:ascii="Times New Roman" w:eastAsia="宋体" w:hAnsi="Times New Roman" w:cs="Times New Roman" w:hint="eastAsia"/>
                <w:sz w:val="20"/>
                <w:szCs w:val="20"/>
                <w:lang w:val="de-DE" w:eastAsia="zh-CN"/>
              </w:rPr>
              <w:t>N</w:t>
            </w:r>
            <w:r>
              <w:rPr>
                <w:rFonts w:ascii="Times New Roman" w:eastAsia="宋体" w:hAnsi="Times New Roman" w:cs="Times New Roman"/>
                <w:sz w:val="20"/>
                <w:szCs w:val="20"/>
                <w:lang w:val="de-DE" w:eastAsia="zh-CN"/>
              </w:rPr>
              <w:t xml:space="preserve">o strong opinion but we do not even see the need to update the description of existing parameters. PDSCH 256QAM is currently mandatory with capability signaling for FR1 and optional with capability signaling for FR2, </w:t>
            </w:r>
            <w:r w:rsidR="00211DE3">
              <w:rPr>
                <w:rFonts w:ascii="Times New Roman" w:eastAsia="宋体" w:hAnsi="Times New Roman" w:cs="Times New Roman"/>
                <w:sz w:val="20"/>
                <w:szCs w:val="20"/>
                <w:lang w:val="de-DE" w:eastAsia="zh-CN"/>
              </w:rPr>
              <w:t xml:space="preserve">network is expected to configure the UE consistently with its capability signaling report. </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pStyle w:val="1"/>
      </w:pPr>
      <w:r>
        <w:t>7</w:t>
      </w:r>
      <w:r>
        <w:tab/>
        <w:t>Other comments</w:t>
      </w: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7-1: Companies are invited to provide any other comments they might have on RRC parameters for </w:t>
      </w:r>
      <w:proofErr w:type="spellStart"/>
      <w:r>
        <w:rPr>
          <w:rFonts w:ascii="Times New Roman" w:eastAsia="MS Mincho" w:hAnsi="Times New Roman" w:cs="Times New Roman"/>
          <w:b/>
          <w:bCs/>
          <w:szCs w:val="20"/>
          <w:lang w:val="en-GB" w:eastAsia="ja-JP"/>
        </w:rPr>
        <w:t>RedCap</w:t>
      </w:r>
      <w:proofErr w:type="spellEnd"/>
      <w:r>
        <w:rPr>
          <w:rFonts w:ascii="Times New Roman" w:eastAsia="MS Mincho" w:hAnsi="Times New Roman" w:cs="Times New Roman"/>
          <w:b/>
          <w:bCs/>
          <w:szCs w:val="20"/>
          <w:lang w:val="en-GB" w:eastAsia="ja-JP"/>
        </w:rPr>
        <w:t>.</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FA6E73">
            <w:pPr>
              <w:rPr>
                <w:rFonts w:ascii="Times New Roman" w:eastAsia="宋体" w:hAnsi="Times New Roman" w:cs="Times New Roman"/>
                <w:sz w:val="20"/>
                <w:szCs w:val="20"/>
                <w:lang w:val="de-DE" w:eastAsia="ko-KR"/>
              </w:rPr>
            </w:pPr>
            <w:r>
              <w:rPr>
                <w:rFonts w:ascii="Times New Roman" w:eastAsia="宋体" w:hAnsi="Times New Roman" w:cs="Times New Roman" w:hint="eastAsia"/>
                <w:sz w:val="20"/>
                <w:szCs w:val="20"/>
                <w:lang w:val="de-DE" w:eastAsia="zh-CN"/>
              </w:rPr>
              <w:t>ZTE, Sanechips</w:t>
            </w:r>
          </w:p>
        </w:tc>
        <w:tc>
          <w:tcPr>
            <w:tcW w:w="19136" w:type="dxa"/>
          </w:tcPr>
          <w:p w:rsidR="00045921" w:rsidRDefault="00FA6E73">
            <w:pPr>
              <w:rPr>
                <w:rFonts w:ascii="Times New Roman" w:eastAsia="宋体" w:hAnsi="Times New Roman" w:cs="Times New Roman"/>
                <w:sz w:val="20"/>
                <w:szCs w:val="20"/>
                <w:lang w:val="de-DE" w:eastAsia="ko-KR"/>
              </w:rPr>
            </w:pPr>
            <w:r>
              <w:rPr>
                <w:rFonts w:ascii="Times New Roman" w:eastAsia="宋体" w:hAnsi="Times New Roman" w:cs="Times New Roman" w:hint="eastAsia"/>
                <w:sz w:val="20"/>
                <w:szCs w:val="20"/>
                <w:lang w:val="de-DE" w:eastAsia="zh-CN"/>
              </w:rPr>
              <w:t>PUCCH-ConfigCommon is related to the initial UL BWP. If the initial UL BWP is separately configured for RedCap, whether RedCap specific PUCCH-ConfigCommon should be introduced can be discussed.</w:t>
            </w:r>
          </w:p>
        </w:tc>
      </w:tr>
      <w:tr w:rsidR="00045921">
        <w:tc>
          <w:tcPr>
            <w:tcW w:w="2122" w:type="dxa"/>
          </w:tcPr>
          <w:p w:rsidR="00045921" w:rsidRDefault="00FA6E73">
            <w:pPr>
              <w:rPr>
                <w:rFonts w:ascii="Times New Roman" w:hAnsi="Times New Roman" w:cs="Times New Roman"/>
                <w:sz w:val="20"/>
                <w:szCs w:val="20"/>
                <w:lang w:val="de-DE" w:eastAsia="ko-KR"/>
              </w:rPr>
            </w:pPr>
            <w:r>
              <w:rPr>
                <w:rFonts w:ascii="Times New Roman" w:hAnsi="Times New Roman" w:cs="Times New Roman"/>
                <w:sz w:val="20"/>
                <w:szCs w:val="20"/>
                <w:lang w:val="de-DE" w:eastAsia="ko-KR"/>
              </w:rPr>
              <w:t>FL</w:t>
            </w:r>
          </w:p>
        </w:tc>
        <w:tc>
          <w:tcPr>
            <w:tcW w:w="19136" w:type="dxa"/>
          </w:tcPr>
          <w:p w:rsidR="00045921" w:rsidRDefault="00FA6E73">
            <w:pPr>
              <w:spacing w:after="180" w:line="252" w:lineRule="auto"/>
              <w:contextualSpacing/>
              <w:rPr>
                <w:rFonts w:ascii="Times New Roman" w:hAnsi="Times New Roman" w:cs="Times New Roman"/>
                <w:sz w:val="20"/>
                <w:szCs w:val="20"/>
                <w:lang w:val="de-DE" w:eastAsia="ko-KR"/>
              </w:rPr>
            </w:pPr>
            <w:r>
              <w:rPr>
                <w:rFonts w:ascii="Times New Roman" w:hAnsi="Times New Roman" w:cs="Times New Roman"/>
                <w:sz w:val="20"/>
                <w:szCs w:val="20"/>
                <w:lang w:val="de-DE" w:eastAsia="ko-KR"/>
              </w:rPr>
              <w:t>The ZTE comment has been taken into account under Question 5-1 above.</w:t>
            </w:r>
          </w:p>
        </w:tc>
      </w:tr>
    </w:tbl>
    <w:p w:rsidR="00045921" w:rsidRDefault="00045921">
      <w:pPr>
        <w:spacing w:afterLines="50" w:after="120" w:line="240" w:lineRule="auto"/>
        <w:jc w:val="both"/>
        <w:rPr>
          <w:rFonts w:ascii="Times New Roman" w:eastAsia="MS Mincho" w:hAnsi="Times New Roman" w:cs="Times New Roman"/>
          <w:szCs w:val="20"/>
          <w:lang w:val="en-GB" w:eastAsia="ja-JP"/>
        </w:rPr>
      </w:pPr>
    </w:p>
    <w:p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7-2: Companies are invited to provide any other comments they might have on the updated RRC parameters for </w:t>
      </w:r>
      <w:proofErr w:type="spellStart"/>
      <w:r>
        <w:rPr>
          <w:rFonts w:ascii="Times New Roman" w:eastAsia="MS Mincho" w:hAnsi="Times New Roman" w:cs="Times New Roman"/>
          <w:b/>
          <w:bCs/>
          <w:szCs w:val="20"/>
          <w:lang w:val="en-GB" w:eastAsia="ja-JP"/>
        </w:rPr>
        <w:t>RedCap</w:t>
      </w:r>
      <w:proofErr w:type="spellEnd"/>
      <w:r>
        <w:rPr>
          <w:rFonts w:ascii="Times New Roman" w:eastAsia="MS Mincho" w:hAnsi="Times New Roman" w:cs="Times New Roman"/>
          <w:b/>
          <w:bCs/>
          <w:szCs w:val="20"/>
          <w:lang w:val="en-GB" w:eastAsia="ja-JP"/>
        </w:rPr>
        <w:t xml:space="preserve"> in </w:t>
      </w:r>
      <w:hyperlink r:id="rId20" w:history="1">
        <w:r>
          <w:rPr>
            <w:rStyle w:val="aff3"/>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afe"/>
        <w:tblW w:w="21258" w:type="dxa"/>
        <w:tblLook w:val="04A0" w:firstRow="1" w:lastRow="0" w:firstColumn="1" w:lastColumn="0" w:noHBand="0" w:noVBand="1"/>
      </w:tblPr>
      <w:tblGrid>
        <w:gridCol w:w="2122"/>
        <w:gridCol w:w="19136"/>
      </w:tblGrid>
      <w:tr w:rsidR="00045921">
        <w:trPr>
          <w:trHeight w:val="268"/>
        </w:trPr>
        <w:tc>
          <w:tcPr>
            <w:tcW w:w="2122"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Company</w:t>
            </w:r>
          </w:p>
        </w:tc>
        <w:tc>
          <w:tcPr>
            <w:tcW w:w="19136" w:type="dxa"/>
            <w:shd w:val="clear" w:color="auto" w:fill="D9D9D9" w:themeFill="background1" w:themeFillShade="D9"/>
          </w:tcPr>
          <w:p w:rsidR="00045921" w:rsidRDefault="00FA6E73">
            <w:pPr>
              <w:rPr>
                <w:rFonts w:ascii="Times New Roman" w:hAnsi="Times New Roman" w:cs="Times New Roman"/>
                <w:b/>
                <w:bCs/>
                <w:sz w:val="20"/>
                <w:szCs w:val="20"/>
                <w:lang w:val="de-DE"/>
              </w:rPr>
            </w:pPr>
            <w:r>
              <w:rPr>
                <w:rFonts w:ascii="Times New Roman" w:hAnsi="Times New Roman" w:cs="Times New Roman"/>
                <w:b/>
                <w:bCs/>
                <w:sz w:val="20"/>
                <w:szCs w:val="20"/>
                <w:lang w:val="de-DE"/>
              </w:rPr>
              <w:t>Comments</w:t>
            </w:r>
          </w:p>
        </w:tc>
      </w:tr>
      <w:tr w:rsidR="00045921">
        <w:tc>
          <w:tcPr>
            <w:tcW w:w="2122" w:type="dxa"/>
          </w:tcPr>
          <w:p w:rsidR="00045921" w:rsidRDefault="00045921">
            <w:pPr>
              <w:rPr>
                <w:rFonts w:ascii="Times New Roman" w:hAnsi="Times New Roman" w:cs="Times New Roman"/>
                <w:sz w:val="20"/>
                <w:szCs w:val="20"/>
                <w:lang w:val="de-DE" w:eastAsia="ko-KR"/>
              </w:rPr>
            </w:pPr>
          </w:p>
        </w:tc>
        <w:tc>
          <w:tcPr>
            <w:tcW w:w="19136" w:type="dxa"/>
          </w:tcPr>
          <w:p w:rsidR="00045921" w:rsidRDefault="00045921">
            <w:pPr>
              <w:rPr>
                <w:rFonts w:ascii="Times New Roman" w:hAnsi="Times New Roman" w:cs="Times New Roman"/>
                <w:sz w:val="20"/>
                <w:szCs w:val="20"/>
                <w:lang w:val="de-DE" w:eastAsia="ko-KR"/>
              </w:rPr>
            </w:pPr>
          </w:p>
        </w:tc>
      </w:tr>
      <w:tr w:rsidR="00045921">
        <w:tc>
          <w:tcPr>
            <w:tcW w:w="2122" w:type="dxa"/>
          </w:tcPr>
          <w:p w:rsidR="00045921" w:rsidRDefault="00045921">
            <w:pPr>
              <w:rPr>
                <w:rFonts w:ascii="Times New Roman" w:eastAsia="等线" w:hAnsi="Times New Roman" w:cs="Times New Roman"/>
                <w:sz w:val="20"/>
                <w:szCs w:val="20"/>
                <w:lang w:val="de-DE" w:eastAsia="zh-CN"/>
              </w:rPr>
            </w:pPr>
          </w:p>
        </w:tc>
        <w:tc>
          <w:tcPr>
            <w:tcW w:w="19136" w:type="dxa"/>
          </w:tcPr>
          <w:p w:rsidR="00045921" w:rsidRDefault="00045921">
            <w:pPr>
              <w:spacing w:after="180" w:line="252" w:lineRule="auto"/>
              <w:contextualSpacing/>
              <w:rPr>
                <w:rFonts w:ascii="Times New Roman" w:eastAsia="等线" w:hAnsi="Times New Roman" w:cs="Times New Roman"/>
                <w:sz w:val="20"/>
                <w:szCs w:val="20"/>
                <w:lang w:val="de-DE" w:eastAsia="zh-CN"/>
              </w:rPr>
            </w:pPr>
          </w:p>
        </w:tc>
      </w:tr>
      <w:tr w:rsidR="00045921">
        <w:tc>
          <w:tcPr>
            <w:tcW w:w="2122" w:type="dxa"/>
          </w:tcPr>
          <w:p w:rsidR="00045921" w:rsidRDefault="00045921">
            <w:pPr>
              <w:rPr>
                <w:rFonts w:ascii="Times New Roman" w:eastAsia="宋体" w:hAnsi="Times New Roman" w:cs="Times New Roman"/>
                <w:sz w:val="20"/>
                <w:szCs w:val="20"/>
                <w:lang w:val="de-DE" w:eastAsia="zh-CN"/>
              </w:rPr>
            </w:pPr>
          </w:p>
        </w:tc>
        <w:tc>
          <w:tcPr>
            <w:tcW w:w="19136" w:type="dxa"/>
          </w:tcPr>
          <w:p w:rsidR="00045921" w:rsidRDefault="00045921">
            <w:pPr>
              <w:rPr>
                <w:rFonts w:ascii="Times New Roman" w:eastAsia="宋体" w:hAnsi="Times New Roman" w:cs="Times New Roman"/>
                <w:sz w:val="20"/>
                <w:szCs w:val="20"/>
                <w:lang w:val="de-DE" w:eastAsia="zh-CN"/>
              </w:rPr>
            </w:pPr>
          </w:p>
        </w:tc>
      </w:tr>
    </w:tbl>
    <w:p w:rsidR="00045921" w:rsidRDefault="00045921">
      <w:pPr>
        <w:spacing w:afterLines="50" w:after="120" w:line="240" w:lineRule="auto"/>
        <w:jc w:val="both"/>
        <w:rPr>
          <w:rFonts w:ascii="Times New Roman" w:eastAsia="MS Mincho" w:hAnsi="Times New Roman" w:cs="Times New Roman"/>
          <w:sz w:val="22"/>
          <w:szCs w:val="20"/>
          <w:lang w:val="en-GB" w:eastAsia="ja-JP"/>
        </w:rPr>
      </w:pPr>
    </w:p>
    <w:sectPr w:rsidR="00045921">
      <w:headerReference w:type="even" r:id="rId21"/>
      <w:footerReference w:type="default" r:id="rId22"/>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68F" w:rsidRDefault="0068668F">
      <w:pPr>
        <w:spacing w:after="0" w:line="240" w:lineRule="auto"/>
      </w:pPr>
      <w:r>
        <w:separator/>
      </w:r>
    </w:p>
  </w:endnote>
  <w:endnote w:type="continuationSeparator" w:id="0">
    <w:p w:rsidR="0068668F" w:rsidRDefault="0068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73" w:rsidRDefault="00FA6E73">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2</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7</w:t>
    </w:r>
    <w:r>
      <w:rPr>
        <w:rStyle w:val="aff0"/>
      </w:rPr>
      <w:fldChar w:fldCharType="end"/>
    </w:r>
    <w:r>
      <w:rPr>
        <w:rStyle w:val="aff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73" w:rsidRDefault="00FA6E73">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3</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7</w:t>
    </w:r>
    <w:r>
      <w:rPr>
        <w:rStyle w:val="aff0"/>
      </w:rPr>
      <w:fldChar w:fldCharType="end"/>
    </w:r>
    <w:r>
      <w:rPr>
        <w:rStyle w:val="aff0"/>
      </w:rPr>
      <w:tab/>
    </w:r>
  </w:p>
  <w:p w:rsidR="00FA6E73" w:rsidRDefault="00FA6E73"/>
  <w:p w:rsidR="00FA6E73" w:rsidRDefault="00FA6E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68F" w:rsidRDefault="0068668F">
      <w:pPr>
        <w:spacing w:after="0" w:line="240" w:lineRule="auto"/>
      </w:pPr>
      <w:r>
        <w:separator/>
      </w:r>
    </w:p>
  </w:footnote>
  <w:footnote w:type="continuationSeparator" w:id="0">
    <w:p w:rsidR="0068668F" w:rsidRDefault="00686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73" w:rsidRDefault="00FA6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6E73" w:rsidRDefault="00FA6E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rsidR="00FA6E73" w:rsidRDefault="00FA6E73"/>
  <w:p w:rsidR="00FA6E73" w:rsidRDefault="00FA6E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9"/>
  </w:num>
  <w:num w:numId="3">
    <w:abstractNumId w:val="1"/>
  </w:num>
  <w:num w:numId="4">
    <w:abstractNumId w:val="6"/>
  </w:num>
  <w:num w:numId="5">
    <w:abstractNumId w:val="4"/>
  </w:num>
  <w:num w:numId="6">
    <w:abstractNumId w:val="15"/>
  </w:num>
  <w:num w:numId="7">
    <w:abstractNumId w:val="0"/>
  </w:num>
  <w:num w:numId="8">
    <w:abstractNumId w:val="19"/>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6"/>
  </w:num>
  <w:num w:numId="17">
    <w:abstractNumId w:val="18"/>
  </w:num>
  <w:num w:numId="18">
    <w:abstractNumId w:val="8"/>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1DE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7582"/>
    <w:rsid w:val="00630001"/>
    <w:rsid w:val="006311B3"/>
    <w:rsid w:val="0063284C"/>
    <w:rsid w:val="0063336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916EA"/>
    <w:rsid w:val="00691DBC"/>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2BE3"/>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237F"/>
    <w:rsid w:val="00A736D1"/>
    <w:rsid w:val="00A739D0"/>
    <w:rsid w:val="00A74265"/>
    <w:rsid w:val="00A74A7C"/>
    <w:rsid w:val="00A74DC3"/>
    <w:rsid w:val="00A7526B"/>
    <w:rsid w:val="00A761D4"/>
    <w:rsid w:val="00A763B2"/>
    <w:rsid w:val="00A76638"/>
    <w:rsid w:val="00A77662"/>
    <w:rsid w:val="00A77EC4"/>
    <w:rsid w:val="00A81105"/>
    <w:rsid w:val="00A82617"/>
    <w:rsid w:val="00A83038"/>
    <w:rsid w:val="00A837AB"/>
    <w:rsid w:val="00A8488F"/>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0A84"/>
    <w:rsid w:val="00C72093"/>
    <w:rsid w:val="00C72EF4"/>
    <w:rsid w:val="00C73E6A"/>
    <w:rsid w:val="00C744FE"/>
    <w:rsid w:val="00C74773"/>
    <w:rsid w:val="00C74BC3"/>
    <w:rsid w:val="00C75D2F"/>
    <w:rsid w:val="00C767BE"/>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814"/>
    <w:rsid w:val="00C93C4B"/>
    <w:rsid w:val="00C944AB"/>
    <w:rsid w:val="00C94725"/>
    <w:rsid w:val="00C949CB"/>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4814"/>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3B19"/>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B57E9"/>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6">
    <w:name w:val="List Paragraph"/>
    <w:aliases w:val="- Bullets,?? ??,?????,????,Lista1,列出段落,목록 단락,リスト段落,列出段落1,中等深浅网格 1 - 着色 21,R4_bullets,列表段落1,—ño’i—Ž,¥¡¡¡¡ì¬º¥¹¥È¶ÎÂä,ÁÐ³ö¶ÎÂä,¥ê¥¹¥È¶ÎÂä,1st level - Bullet List Paragraph,Lettre d'introduction,Paragrafo elenco,Normal bullet 2,列表段落11,Bullet list,목록단락"/>
    <w:basedOn w:val="a1"/>
    <w:link w:val="aff7"/>
    <w:uiPriority w:val="34"/>
    <w:qFormat/>
    <w:pPr>
      <w:spacing w:after="0"/>
      <w:ind w:left="720"/>
    </w:pPr>
    <w:rPr>
      <w:rFonts w:ascii="Calibri" w:eastAsia="Calibri" w:hAnsi="Calibri"/>
      <w:sz w:val="22"/>
      <w:lang w:val="zh-CN"/>
    </w:rPr>
  </w:style>
  <w:style w:type="character" w:customStyle="1" w:styleId="aff7">
    <w:name w:val="列表段落 字符"/>
    <w:aliases w:val="- Bullets 字符,?? ?? 字符,????? 字符,???? 字符,Lista1 字符,列出段落 字符,목록 단락 字符,リスト段落 字符,列出段落1 字符,中等深浅网格 1 - 着色 21 字符,R4_bullets 字符,列表段落1 字符,—ño’i—Ž 字符,¥¡¡¡¡ì¬º¥¹¥È¶ÎÂä 字符,ÁÐ³ö¶ÎÂä 字符,¥ê¥¹¥È¶ÎÂä 字符,1st level - Bullet List Paragraph 字符,Paragrafo elenco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明显强调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13">
    <w:name w:val="未处理的提及1"/>
    <w:basedOn w:val="a2"/>
    <w:uiPriority w:val="99"/>
    <w:unhideWhenUsed/>
    <w:qFormat/>
    <w:rPr>
      <w:color w:val="605E5C"/>
      <w:shd w:val="clear" w:color="auto" w:fill="E1DFDD"/>
    </w:rPr>
  </w:style>
  <w:style w:type="character" w:customStyle="1" w:styleId="14">
    <w:name w:val="@他1"/>
    <w:basedOn w:val="a2"/>
    <w:uiPriority w:val="99"/>
    <w:unhideWhenUsed/>
    <w:qFormat/>
    <w:rPr>
      <w:color w:val="2B579A"/>
      <w:shd w:val="clear" w:color="auto" w:fill="E1DFDD"/>
    </w:rPr>
  </w:style>
  <w:style w:type="paragraph" w:customStyle="1" w:styleId="15">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2"/>
    <w:qFormat/>
    <w:rPr>
      <w:rFonts w:ascii="CourierNewPSMT" w:hAnsi="CourierNewPSMT" w:hint="default"/>
      <w:color w:val="000000"/>
      <w:sz w:val="16"/>
      <w:szCs w:val="16"/>
    </w:rPr>
  </w:style>
  <w:style w:type="character" w:customStyle="1" w:styleId="26">
    <w:name w:val="未处理的提及2"/>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3gpp.org/ftp/tsg_ran/WG1_RL1/TSGR1_106b-e/Inbox/drafts/8.6/ParamList/RedCapParamList-v001.xls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Inbox/drafts/8.6/ParamList/RedCapParamList-v001.xlsx" TargetMode="External"/><Relationship Id="rId2" Type="http://schemas.openxmlformats.org/officeDocument/2006/relationships/customXml" Target="../customXml/item2.xml"/><Relationship Id="rId16" Type="http://schemas.openxmlformats.org/officeDocument/2006/relationships/hyperlink" Target="https://www.3gpp.org/ftp/tsg_ran/WG1_RL1/TSGR1_106b-e/Inbox/drafts/8.6/ParamList/RedCapParamList-v001.xlsx" TargetMode="External"/><Relationship Id="rId20" Type="http://schemas.openxmlformats.org/officeDocument/2006/relationships/hyperlink" Target="https://www.3gpp.org/ftp/tsg_ran/WG1_RL1/TSGR1_106b-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Inbox/drafts/8.6/ParamList/RedCapParamList-v001.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0A0368-0379-4A42-A232-71EBD0E8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3503</Words>
  <Characters>19969</Characters>
  <Application>Microsoft Office Word</Application>
  <DocSecurity>0</DocSecurity>
  <Lines>166</Lines>
  <Paragraphs>46</Paragraphs>
  <ScaleCrop>false</ScaleCrop>
  <Company>Ericsson</Company>
  <LinksUpToDate>false</LinksUpToDate>
  <CharactersWithSpaces>23426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Xueming Pan(vivo)</cp:lastModifiedBy>
  <cp:revision>20</cp:revision>
  <cp:lastPrinted>2008-01-31T16:09:00Z</cp:lastPrinted>
  <dcterms:created xsi:type="dcterms:W3CDTF">2021-10-14T01:17:00Z</dcterms:created>
  <dcterms:modified xsi:type="dcterms:W3CDTF">2021-10-14T05:20:00Z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