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rPr>
      </w:pPr>
      <w:r>
        <w:t>3GPP TSG-RAN WG1 Meeting #106bis-e</w:t>
      </w:r>
      <w:r>
        <w:tab/>
      </w:r>
      <w:r>
        <w:rPr>
          <w:sz w:val="32"/>
          <w:szCs w:val="32"/>
        </w:rPr>
        <w:t>R1-21xxxxx</w:t>
      </w:r>
    </w:p>
    <w:p>
      <w:pPr>
        <w:pStyle w:val="63"/>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pPr>
        <w:pStyle w:val="63"/>
        <w:rPr>
          <w:sz w:val="22"/>
          <w:szCs w:val="20"/>
        </w:rPr>
      </w:pPr>
    </w:p>
    <w:p>
      <w:pPr>
        <w:pStyle w:val="63"/>
        <w:rPr>
          <w:sz w:val="20"/>
          <w:szCs w:val="20"/>
        </w:rPr>
      </w:pPr>
      <w:r>
        <w:rPr>
          <w:sz w:val="20"/>
          <w:szCs w:val="20"/>
        </w:rPr>
        <w:t>Agenda Item:</w:t>
      </w:r>
      <w:r>
        <w:rPr>
          <w:sz w:val="20"/>
          <w:szCs w:val="20"/>
        </w:rPr>
        <w:tab/>
      </w:r>
      <w:r>
        <w:rPr>
          <w:sz w:val="20"/>
          <w:szCs w:val="20"/>
        </w:rPr>
        <w:t>8.6</w:t>
      </w:r>
    </w:p>
    <w:p>
      <w:pPr>
        <w:pStyle w:val="63"/>
        <w:rPr>
          <w:sz w:val="20"/>
          <w:szCs w:val="20"/>
        </w:rPr>
      </w:pPr>
      <w:r>
        <w:rPr>
          <w:sz w:val="20"/>
          <w:szCs w:val="20"/>
        </w:rPr>
        <w:t>Title:</w:t>
      </w:r>
      <w:r>
        <w:rPr>
          <w:sz w:val="20"/>
          <w:szCs w:val="20"/>
        </w:rPr>
        <w:tab/>
      </w:r>
      <w:r>
        <w:rPr>
          <w:sz w:val="20"/>
          <w:szCs w:val="20"/>
        </w:rPr>
        <w:t>FL summary on RAN1 RRC parameter list for Rel-17 NR RedCap</w:t>
      </w:r>
    </w:p>
    <w:p>
      <w:pPr>
        <w:pStyle w:val="63"/>
        <w:rPr>
          <w:sz w:val="20"/>
          <w:szCs w:val="20"/>
        </w:rPr>
      </w:pPr>
      <w:r>
        <w:rPr>
          <w:sz w:val="20"/>
          <w:szCs w:val="20"/>
        </w:rPr>
        <w:t>Source:</w:t>
      </w:r>
      <w:r>
        <w:rPr>
          <w:sz w:val="20"/>
          <w:szCs w:val="20"/>
        </w:rPr>
        <w:tab/>
      </w:r>
      <w:r>
        <w:rPr>
          <w:sz w:val="20"/>
          <w:szCs w:val="20"/>
        </w:rPr>
        <w:t>Moderator (Ericsson)</w:t>
      </w:r>
    </w:p>
    <w:p>
      <w:pPr>
        <w:pStyle w:val="63"/>
        <w:rPr>
          <w:sz w:val="20"/>
          <w:szCs w:val="20"/>
        </w:rPr>
      </w:pPr>
      <w:r>
        <w:rPr>
          <w:sz w:val="20"/>
          <w:szCs w:val="20"/>
        </w:rPr>
        <w:t>Document for:</w:t>
      </w:r>
      <w:r>
        <w:rPr>
          <w:sz w:val="20"/>
          <w:szCs w:val="20"/>
        </w:rPr>
        <w:tab/>
      </w:r>
      <w:r>
        <w:rPr>
          <w:sz w:val="20"/>
          <w:szCs w:val="20"/>
        </w:rPr>
        <w:t>Discussion, Decision</w:t>
      </w:r>
    </w:p>
    <w:p>
      <w:pPr>
        <w:pStyle w:val="2"/>
      </w:pPr>
      <w:r>
        <w:t>1</w:t>
      </w:r>
      <w:r>
        <w:tab/>
      </w:r>
      <w:r>
        <w:t>Introduction</w:t>
      </w:r>
    </w:p>
    <w:p>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Borders>
              <w:top w:val="single" w:color="auto" w:sz="4" w:space="0"/>
              <w:left w:val="single" w:color="auto" w:sz="4" w:space="0"/>
              <w:bottom w:val="single" w:color="auto" w:sz="4" w:space="0"/>
              <w:right w:val="single" w:color="auto" w:sz="4" w:space="0"/>
            </w:tcBorders>
          </w:tcPr>
          <w:p>
            <w:pPr>
              <w:spacing w:after="0" w:line="240" w:lineRule="auto"/>
              <w:rPr>
                <w:rFonts w:ascii="Times" w:hAnsi="Times" w:eastAsia="Batang" w:cs="Times New Roman"/>
                <w:szCs w:val="24"/>
                <w:highlight w:val="cyan"/>
                <w:lang w:val="en-GB"/>
              </w:rPr>
            </w:pPr>
            <w:r>
              <w:rPr>
                <w:rFonts w:ascii="Times" w:hAnsi="Times" w:eastAsia="Batang" w:cs="Times New Roman"/>
                <w:szCs w:val="24"/>
                <w:highlight w:val="cyan"/>
                <w:lang w:val="en-GB" w:eastAsia="zh-CN"/>
              </w:rPr>
              <w:t xml:space="preserve">[106bis-e-R17-RRC-REDCAP] Email discussion on Rel-17 RRC parameters for REDCAP </w:t>
            </w:r>
            <w:r>
              <w:rPr>
                <w:rFonts w:ascii="Times" w:hAnsi="Times" w:eastAsia="Batang" w:cs="Times New Roman"/>
                <w:szCs w:val="24"/>
                <w:highlight w:val="cyan"/>
                <w:lang w:val="en-GB"/>
              </w:rPr>
              <w:t xml:space="preserve">– </w:t>
            </w:r>
            <w:r>
              <w:rPr>
                <w:rFonts w:ascii="Times" w:hAnsi="Times" w:eastAsia="Batang" w:cs="Times New Roman"/>
                <w:szCs w:val="24"/>
                <w:highlight w:val="cyan"/>
                <w:lang w:val="en-GB" w:eastAsia="zh-CN"/>
              </w:rPr>
              <w:t>Johan (Ericsson)</w:t>
            </w:r>
          </w:p>
          <w:p>
            <w:pPr>
              <w:numPr>
                <w:ilvl w:val="0"/>
                <w:numId w:val="14"/>
              </w:numPr>
              <w:spacing w:after="0" w:line="240" w:lineRule="auto"/>
              <w:rPr>
                <w:rFonts w:ascii="Times" w:hAnsi="Times" w:eastAsia="Batang" w:cs="Times New Roman"/>
                <w:szCs w:val="24"/>
                <w:highlight w:val="cyan"/>
                <w:lang w:val="en-GB" w:eastAsia="zh-CN"/>
              </w:rPr>
            </w:pPr>
            <w:r>
              <w:rPr>
                <w:rFonts w:hint="eastAsia" w:ascii="Times" w:hAnsi="Times" w:eastAsia="Batang" w:cs="Times New Roman"/>
                <w:szCs w:val="24"/>
                <w:highlight w:val="cyan"/>
                <w:lang w:val="en-GB" w:eastAsia="zh-CN"/>
              </w:rPr>
              <w:t>1</w:t>
            </w:r>
            <w:r>
              <w:rPr>
                <w:rFonts w:hint="eastAsia" w:ascii="Times" w:hAnsi="Times" w:eastAsia="Batang" w:cs="Times New Roman"/>
                <w:szCs w:val="24"/>
                <w:highlight w:val="cyan"/>
                <w:vertAlign w:val="superscript"/>
                <w:lang w:val="en-GB" w:eastAsia="zh-CN"/>
              </w:rPr>
              <w:t>st</w:t>
            </w:r>
            <w:r>
              <w:rPr>
                <w:rFonts w:hint="eastAsia" w:ascii="Times" w:hAnsi="Times" w:eastAsia="Batang" w:cs="Times New Roman"/>
                <w:szCs w:val="24"/>
                <w:highlight w:val="cyan"/>
                <w:lang w:val="en-GB" w:eastAsia="zh-CN"/>
              </w:rPr>
              <w:t xml:space="preserve"> check point: </w:t>
            </w:r>
            <w:r>
              <w:rPr>
                <w:rFonts w:ascii="Times" w:hAnsi="Times" w:eastAsia="Batang" w:cs="Times New Roman"/>
                <w:szCs w:val="24"/>
                <w:highlight w:val="cyan"/>
                <w:lang w:val="en-GB"/>
              </w:rPr>
              <w:t>October</w:t>
            </w:r>
            <w:r>
              <w:rPr>
                <w:rFonts w:hint="eastAsia" w:ascii="Times" w:hAnsi="Times" w:eastAsia="Batang" w:cs="Times New Roman"/>
                <w:szCs w:val="24"/>
                <w:highlight w:val="cyan"/>
                <w:lang w:val="en-GB"/>
              </w:rPr>
              <w:t xml:space="preserve"> </w:t>
            </w:r>
            <w:r>
              <w:rPr>
                <w:rFonts w:ascii="Times" w:hAnsi="Times" w:eastAsia="Batang" w:cs="Times New Roman"/>
                <w:szCs w:val="24"/>
                <w:highlight w:val="cyan"/>
                <w:lang w:val="en-GB"/>
              </w:rPr>
              <w:t>14</w:t>
            </w:r>
          </w:p>
          <w:p>
            <w:pPr>
              <w:numPr>
                <w:ilvl w:val="0"/>
                <w:numId w:val="14"/>
              </w:numPr>
              <w:spacing w:after="0" w:line="240" w:lineRule="auto"/>
              <w:rPr>
                <w:rFonts w:ascii="Times" w:hAnsi="Times" w:eastAsia="Batang" w:cs="Times New Roman"/>
                <w:szCs w:val="24"/>
                <w:highlight w:val="cyan"/>
                <w:lang w:val="en-GB" w:eastAsia="zh-CN"/>
              </w:rPr>
            </w:pPr>
            <w:r>
              <w:rPr>
                <w:rFonts w:ascii="Times" w:hAnsi="Times" w:eastAsia="Batang" w:cs="Times New Roman"/>
                <w:szCs w:val="24"/>
                <w:highlight w:val="cyan"/>
                <w:lang w:val="en-GB" w:eastAsia="zh-CN"/>
              </w:rPr>
              <w:t>Final</w:t>
            </w:r>
            <w:r>
              <w:rPr>
                <w:rFonts w:hint="eastAsia" w:ascii="Times" w:hAnsi="Times" w:eastAsia="Batang" w:cs="Times New Roman"/>
                <w:szCs w:val="24"/>
                <w:highlight w:val="cyan"/>
                <w:lang w:val="en-GB" w:eastAsia="zh-CN"/>
              </w:rPr>
              <w:t xml:space="preserve"> check point: </w:t>
            </w:r>
            <w:r>
              <w:rPr>
                <w:rFonts w:ascii="Times" w:hAnsi="Times" w:eastAsia="Batang" w:cs="Times New Roman"/>
                <w:szCs w:val="24"/>
                <w:highlight w:val="cyan"/>
                <w:lang w:val="en-GB" w:eastAsia="zh-CN"/>
              </w:rPr>
              <w:t>October</w:t>
            </w:r>
            <w:r>
              <w:rPr>
                <w:rFonts w:hint="eastAsia" w:ascii="Times" w:hAnsi="Times" w:eastAsia="Batang" w:cs="Times New Roman"/>
                <w:szCs w:val="24"/>
                <w:highlight w:val="cyan"/>
                <w:lang w:val="en-GB" w:eastAsia="zh-CN"/>
              </w:rPr>
              <w:t xml:space="preserve"> </w:t>
            </w:r>
            <w:r>
              <w:rPr>
                <w:rFonts w:ascii="Times" w:hAnsi="Times" w:eastAsia="Batang" w:cs="Times New Roman"/>
                <w:szCs w:val="24"/>
                <w:highlight w:val="cyan"/>
                <w:lang w:val="en-GB" w:eastAsia="zh-CN"/>
              </w:rPr>
              <w:t>19</w:t>
            </w:r>
          </w:p>
        </w:tc>
      </w:tr>
    </w:tbl>
    <w:p>
      <w:pPr>
        <w:spacing w:after="100" w:afterAutospacing="1"/>
        <w:jc w:val="both"/>
        <w:rPr>
          <w:rFonts w:ascii="Times New Roman" w:hAnsi="Times New Roman" w:eastAsia="Batang" w:cs="Times New Roman"/>
          <w:szCs w:val="20"/>
        </w:rPr>
      </w:pPr>
      <w:r>
        <w:rPr>
          <w:rFonts w:ascii="Times New Roman" w:hAnsi="Times New Roman" w:eastAsia="Batang" w:cs="Times New Roman"/>
          <w:szCs w:val="20"/>
        </w:rPr>
        <w:br w:type="textWrapping"/>
      </w:r>
      <w:r>
        <w:rPr>
          <w:rFonts w:ascii="Times New Roman" w:hAnsi="Times New Roman" w:cs="Times New Roman"/>
        </w:rPr>
        <w:t xml:space="preserve">RAN1 agreements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The FLS for the initial discussion on the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and the resulting initial draft RRC parameter list is available in </w:t>
      </w:r>
      <w:r>
        <w:rPr>
          <w:rFonts w:ascii="Times New Roman" w:hAnsi="Times New Roman" w:cs="Times New Roman"/>
        </w:rPr>
        <w:fldChar w:fldCharType="begin"/>
      </w:r>
      <w:r>
        <w:rPr>
          <w:rFonts w:ascii="Times New Roman" w:hAnsi="Times New Roman" w:cs="Times New Roman"/>
        </w:rPr>
        <w:instrText xml:space="preserve"> REF _Ref84445837 \r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eastAsia="Batang" w:cs="Times New Roman"/>
          <w:szCs w:val="20"/>
        </w:rPr>
        <w:t xml:space="preserve">The issues that are in the focus of this round of the discussion in this meeting are tagged </w:t>
      </w:r>
      <w:r>
        <w:rPr>
          <w:rFonts w:ascii="Times New Roman" w:hAnsi="Times New Roman" w:eastAsia="Batang" w:cs="Times New Roman"/>
          <w:color w:val="FF0000"/>
          <w:szCs w:val="20"/>
        </w:rPr>
        <w:t>FL1</w:t>
      </w:r>
      <w:r>
        <w:rPr>
          <w:rFonts w:ascii="Times New Roman" w:hAnsi="Times New Roman" w:eastAsia="Batang" w:cs="Times New Roman"/>
          <w:szCs w:val="20"/>
        </w:rPr>
        <w:t xml:space="preserve">. </w:t>
      </w:r>
    </w:p>
    <w:p>
      <w:pPr>
        <w:jc w:val="both"/>
        <w:rPr>
          <w:rFonts w:ascii="Times New Roman" w:hAnsi="Times New Roman" w:cs="Times New Roman"/>
          <w:szCs w:val="20"/>
        </w:rPr>
      </w:pPr>
      <w:r>
        <w:rPr>
          <w:rFonts w:ascii="Times New Roman" w:hAnsi="Times New Roman" w:cs="Times New Roman"/>
          <w:szCs w:val="20"/>
        </w:rPr>
        <w:t>Follow the naming convention in this example:</w:t>
      </w:r>
    </w:p>
    <w:p>
      <w:pPr>
        <w:pStyle w:val="133"/>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RedCapParamFLS-v000.docx</w:t>
      </w:r>
    </w:p>
    <w:p>
      <w:pPr>
        <w:pStyle w:val="133"/>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RedCapParamFLS-v001-CompanyA.docx</w:t>
      </w:r>
    </w:p>
    <w:p>
      <w:pPr>
        <w:pStyle w:val="133"/>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RedCapParamFLS-v002-CompanyA-CompanyB.docx</w:t>
      </w:r>
    </w:p>
    <w:p>
      <w:pPr>
        <w:pStyle w:val="133"/>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RedCapParamFLS-v003-CompanyB-CompanyC.docx</w:t>
      </w:r>
    </w:p>
    <w:p>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pPr>
        <w:pStyle w:val="133"/>
        <w:numPr>
          <w:ilvl w:val="0"/>
          <w:numId w:val="16"/>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RedCapParamFLS-v002-CompanyA-CompanyB.docx</w:t>
      </w:r>
      <w:r>
        <w:rPr>
          <w:rFonts w:ascii="Times New Roman" w:hAnsi="Times New Roman" w:eastAsia="Times New Roman" w:cs="Times New Roman"/>
          <w:sz w:val="20"/>
          <w:szCs w:val="20"/>
          <w:lang w:val="en-US"/>
        </w:rPr>
        <w:t>.</w:t>
      </w:r>
    </w:p>
    <w:p>
      <w:pPr>
        <w:pStyle w:val="133"/>
        <w:numPr>
          <w:ilvl w:val="0"/>
          <w:numId w:val="16"/>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RedCapParamFLS-v003-CompanyB-CompanyC</w:t>
      </w:r>
      <w:r>
        <w:rPr>
          <w:rFonts w:ascii="Times New Roman" w:hAnsi="Times New Roman" w:eastAsia="Times New Roman" w:cs="Times New Roman"/>
          <w:i/>
          <w:iCs/>
          <w:color w:val="FF0000"/>
          <w:sz w:val="20"/>
          <w:szCs w:val="20"/>
          <w:lang w:val="en-US"/>
        </w:rPr>
        <w:t>.checkout</w:t>
      </w:r>
    </w:p>
    <w:p>
      <w:pPr>
        <w:pStyle w:val="133"/>
        <w:numPr>
          <w:ilvl w:val="0"/>
          <w:numId w:val="16"/>
        </w:numPr>
        <w:spacing w:after="180" w:line="252" w:lineRule="auto"/>
        <w:contextualSpacing/>
        <w:jc w:val="both"/>
        <w:rPr>
          <w:rFonts w:ascii="Times New Roman" w:hAnsi="Times New Roman" w:eastAsia="Times New Roman" w:cs="Times New Roman"/>
          <w:sz w:val="20"/>
          <w:szCs w:val="20"/>
          <w:lang w:val="en-US" w:eastAsia="ja-JP"/>
        </w:rPr>
      </w:pPr>
      <w:r>
        <w:rPr>
          <w:rFonts w:ascii="Times New Roman" w:hAnsi="Times New Roman" w:eastAsia="Times New Roman" w:cs="Times New Roman"/>
          <w:sz w:val="20"/>
          <w:szCs w:val="20"/>
        </w:rPr>
        <w:t xml:space="preserve">CompanyC </w:t>
      </w:r>
      <w:r>
        <w:rPr>
          <w:rFonts w:ascii="Times New Roman" w:hAnsi="Times New Roman" w:eastAsia="Times New Roman" w:cs="Times New Roman"/>
          <w:color w:val="FF0000"/>
          <w:sz w:val="20"/>
          <w:szCs w:val="20"/>
        </w:rPr>
        <w:t>checks that no one else has created a checkout file simultaneously</w:t>
      </w:r>
      <w:r>
        <w:rPr>
          <w:rFonts w:ascii="Times New Roman" w:hAnsi="Times New Roman" w:eastAsia="Times New Roman" w:cs="Times New Roman"/>
          <w:sz w:val="20"/>
          <w:szCs w:val="20"/>
        </w:rPr>
        <w:t xml:space="preserve">, and if there is a collision, CompanyC tries to coordinate with the company who made the other checkout (see, e.g., contact list </w:t>
      </w:r>
      <w:r>
        <w:rPr>
          <w:rFonts w:ascii="Times New Roman" w:hAnsi="Times New Roman" w:eastAsia="Times New Roman" w:cs="Times New Roman"/>
          <w:sz w:val="20"/>
          <w:szCs w:val="20"/>
          <w:lang w:val="sv-SE"/>
        </w:rPr>
        <w:t>below</w:t>
      </w:r>
      <w:r>
        <w:rPr>
          <w:rFonts w:ascii="Times New Roman" w:hAnsi="Times New Roman" w:eastAsia="Times New Roman" w:cs="Times New Roman"/>
          <w:sz w:val="20"/>
          <w:szCs w:val="20"/>
        </w:rPr>
        <w:t>).</w:t>
      </w:r>
    </w:p>
    <w:p>
      <w:pPr>
        <w:pStyle w:val="133"/>
        <w:numPr>
          <w:ilvl w:val="0"/>
          <w:numId w:val="16"/>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RedCapParamFLS-v003-CompanyB-CompanyC</w:t>
      </w:r>
      <w:r>
        <w:rPr>
          <w:rFonts w:ascii="Times New Roman" w:hAnsi="Times New Roman" w:eastAsia="Times New Roman" w:cs="Times New Roman"/>
          <w:i/>
          <w:iCs/>
          <w:color w:val="FF0000"/>
          <w:sz w:val="20"/>
          <w:szCs w:val="20"/>
          <w:lang w:val="en-US"/>
        </w:rPr>
        <w:t>.docx</w:t>
      </w:r>
    </w:p>
    <w:p>
      <w:pPr>
        <w:pStyle w:val="133"/>
        <w:numPr>
          <w:ilvl w:val="0"/>
          <w:numId w:val="16"/>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133"/>
        <w:numPr>
          <w:ilvl w:val="0"/>
          <w:numId w:val="16"/>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ascii="Times New Roman" w:hAnsi="Times New Roman" w:eastAsia="Times New Roman" w:cs="Times New Roman"/>
          <w:color w:val="FF0000"/>
          <w:szCs w:val="20"/>
        </w:rPr>
      </w:pPr>
      <w:r>
        <w:rPr>
          <w:rFonts w:ascii="Times New Roman" w:hAnsi="Times New Roman" w:eastAsia="Times New Roman" w:cs="Times New Roman"/>
          <w:color w:val="FF0000"/>
          <w:szCs w:val="20"/>
        </w:rPr>
        <w:t>In file names, please use the hyphen character (not the underline character) and include ‘v’ in front of the version number</w:t>
      </w:r>
      <w:r>
        <w:rPr>
          <w:rFonts w:ascii="Times New Roman" w:hAnsi="Times New Roman" w:eastAsia="Times New Roman" w:cs="Times New Roman"/>
          <w:szCs w:val="20"/>
        </w:rPr>
        <w:t>, as in the examples above and in line with the general recommendation (see slide 10 in</w:t>
      </w:r>
      <w:r>
        <w:rPr>
          <w:rFonts w:ascii="Times New Roman" w:hAnsi="Times New Roman" w:cs="Times New Roman"/>
          <w:szCs w:val="20"/>
        </w:rPr>
        <w:t xml:space="preserve"> </w:t>
      </w:r>
      <w:r>
        <w:fldChar w:fldCharType="begin"/>
      </w:r>
      <w:r>
        <w:instrText xml:space="preserve"> HYPERLINK "https://www.3gpp.org/ftp/TSG_RAN/WG1_RL1/TSGR1_106b-e/Docs/R1-2108693.zip" </w:instrText>
      </w:r>
      <w:r>
        <w:fldChar w:fldCharType="separate"/>
      </w:r>
      <w:r>
        <w:rPr>
          <w:rStyle w:val="58"/>
          <w:rFonts w:ascii="Times New Roman" w:hAnsi="Times New Roman" w:cs="Times New Roman"/>
          <w:szCs w:val="20"/>
        </w:rPr>
        <w:t>R1-2108693</w:t>
      </w:r>
      <w:r>
        <w:rPr>
          <w:rStyle w:val="58"/>
          <w:rFonts w:ascii="Times New Roman" w:hAnsi="Times New Roman" w:cs="Times New Roman"/>
          <w:szCs w:val="20"/>
        </w:rPr>
        <w:fldChar w:fldCharType="end"/>
      </w:r>
      <w:r>
        <w:rPr>
          <w:rFonts w:ascii="Times New Roman" w:hAnsi="Times New Roman" w:eastAsia="Times New Roman" w:cs="Times New Roman"/>
          <w:szCs w:val="20"/>
        </w:rPr>
        <w:t>), otherwise the sorting of the files will be messed up (which can only be fixed by the RAN1 secretary).</w:t>
      </w:r>
    </w:p>
    <w:p>
      <w:pPr>
        <w:jc w:val="both"/>
        <w:rPr>
          <w:rFonts w:ascii="Times New Roman" w:hAnsi="Times New Roman" w:eastAsia="Times New Roman" w:cs="Times New Roman"/>
          <w:szCs w:val="20"/>
        </w:rPr>
      </w:pPr>
      <w:r>
        <w:rPr>
          <w:rFonts w:ascii="Times New Roman" w:hAnsi="Times New Roman" w:eastAsia="Times New Roman" w:cs="Times New Roman"/>
          <w:szCs w:val="20"/>
        </w:rPr>
        <w:t xml:space="preserve">To avoid excessive email load on the RAN1 email reflector, please note that </w:t>
      </w:r>
      <w:r>
        <w:rPr>
          <w:rFonts w:ascii="Times New Roman" w:hAnsi="Times New Roman" w:eastAsia="Times New Roman" w:cs="Times New Roman"/>
          <w:color w:val="FF0000"/>
          <w:szCs w:val="20"/>
        </w:rPr>
        <w:t xml:space="preserve">there is NO need to send an info email </w:t>
      </w:r>
      <w:r>
        <w:rPr>
          <w:rFonts w:ascii="Times New Roman" w:hAnsi="Times New Roman" w:eastAsia="Times New Roman" w:cs="Times New Roman"/>
          <w:szCs w:val="20"/>
        </w:rPr>
        <w:t>to the reflector just to inform that you have uploaded a new version of this document. Companies are invited to enter the contact info in the table below.</w:t>
      </w:r>
    </w:p>
    <w:p>
      <w:pPr>
        <w:spacing w:after="100" w:afterAutospacing="1" w:line="256" w:lineRule="auto"/>
        <w:jc w:val="both"/>
        <w:rPr>
          <w:rFonts w:ascii="Times" w:hAnsi="Times" w:eastAsia="Batang" w:cs="Times New Roman"/>
          <w:b/>
          <w:szCs w:val="24"/>
        </w:rPr>
      </w:pPr>
      <w:r>
        <w:rPr>
          <w:rFonts w:ascii="Times" w:hAnsi="Times" w:eastAsia="Batang" w:cs="Times New Roman"/>
          <w:b/>
          <w:szCs w:val="24"/>
        </w:rPr>
        <w:t>FL1 Question 1-1: Please consider entering contact info below for the points of contact for this email discussion.</w:t>
      </w:r>
    </w:p>
    <w:tbl>
      <w:tblPr>
        <w:tblStyle w:val="16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BFBFBF"/>
          </w:tcPr>
          <w:p>
            <w:pPr>
              <w:spacing w:after="0" w:line="256" w:lineRule="auto"/>
              <w:jc w:val="center"/>
              <w:rPr>
                <w:rFonts w:ascii="Times New Roman" w:hAnsi="Times New Roman" w:eastAsia="Batang" w:cs="Times New Roman"/>
                <w:b/>
                <w:szCs w:val="20"/>
              </w:rPr>
            </w:pPr>
            <w:r>
              <w:rPr>
                <w:rFonts w:ascii="Times New Roman" w:hAnsi="Times New Roman" w:eastAsia="Batang" w:cs="Times New Roman"/>
                <w:b/>
                <w:szCs w:val="20"/>
              </w:rPr>
              <w:t>Company</w:t>
            </w:r>
          </w:p>
        </w:tc>
        <w:tc>
          <w:tcPr>
            <w:tcW w:w="2410" w:type="dxa"/>
            <w:tcBorders>
              <w:top w:val="single" w:color="auto" w:sz="4" w:space="0"/>
              <w:left w:val="single" w:color="auto" w:sz="4" w:space="0"/>
              <w:bottom w:val="single" w:color="auto" w:sz="4" w:space="0"/>
              <w:right w:val="single" w:color="auto" w:sz="4" w:space="0"/>
            </w:tcBorders>
            <w:shd w:val="clear" w:color="auto" w:fill="BFBFBF"/>
          </w:tcPr>
          <w:p>
            <w:pPr>
              <w:spacing w:after="0" w:line="256" w:lineRule="auto"/>
              <w:jc w:val="center"/>
              <w:rPr>
                <w:rFonts w:ascii="Times New Roman" w:hAnsi="Times New Roman" w:eastAsia="Batang" w:cs="Times New Roman"/>
                <w:b/>
                <w:szCs w:val="20"/>
              </w:rPr>
            </w:pPr>
            <w:r>
              <w:rPr>
                <w:rFonts w:ascii="Times New Roman" w:hAnsi="Times New Roman" w:eastAsia="Batang" w:cs="Times New Roman"/>
                <w:b/>
                <w:szCs w:val="20"/>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FBFBF"/>
          </w:tcPr>
          <w:p>
            <w:pPr>
              <w:spacing w:after="0" w:line="256" w:lineRule="auto"/>
              <w:jc w:val="center"/>
              <w:rPr>
                <w:rFonts w:ascii="Times New Roman" w:hAnsi="Times New Roman" w:eastAsia="Batang" w:cs="Times New Roman"/>
                <w:b/>
                <w:szCs w:val="20"/>
              </w:rPr>
            </w:pPr>
            <w:r>
              <w:rPr>
                <w:rFonts w:ascii="Times New Roman" w:hAnsi="Times New Roman" w:eastAsia="Batang" w:cs="Times New Roman"/>
                <w:b/>
                <w:szCs w:val="20"/>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r>
              <w:rPr>
                <w:rFonts w:ascii="Times New Roman" w:hAnsi="Times New Roman" w:eastAsia="Batang" w:cs="Times New Roman"/>
                <w:szCs w:val="20"/>
              </w:rPr>
              <w:t>Huawei, HiSilicon</w:t>
            </w:r>
          </w:p>
        </w:tc>
        <w:tc>
          <w:tcPr>
            <w:tcW w:w="241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r>
              <w:rPr>
                <w:rFonts w:ascii="Times New Roman" w:hAnsi="Times New Roman" w:eastAsia="Batang" w:cs="Times New Roman"/>
                <w:szCs w:val="20"/>
              </w:rPr>
              <w:t>Wang Yi</w:t>
            </w:r>
          </w:p>
        </w:tc>
        <w:tc>
          <w:tcPr>
            <w:tcW w:w="4394"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r>
              <w:rPr>
                <w:rFonts w:ascii="Times New Roman" w:hAnsi="Times New Roman" w:eastAsia="Batang" w:cs="Times New Roman"/>
                <w:szCs w:val="20"/>
              </w:rPr>
              <w:t>wangyi6@huawei.com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等线" w:cs="Times New Roman"/>
                <w:szCs w:val="20"/>
                <w:lang w:eastAsia="zh-CN"/>
              </w:rPr>
            </w:pPr>
            <w:r>
              <w:rPr>
                <w:rFonts w:hint="eastAsia" w:ascii="Times New Roman" w:hAnsi="Times New Roman" w:eastAsia="等线" w:cs="Times New Roman"/>
                <w:szCs w:val="20"/>
                <w:lang w:eastAsia="zh-CN"/>
              </w:rPr>
              <w:t>v</w:t>
            </w:r>
            <w:r>
              <w:rPr>
                <w:rFonts w:ascii="Times New Roman" w:hAnsi="Times New Roman" w:eastAsia="等线" w:cs="Times New Roman"/>
                <w:szCs w:val="20"/>
                <w:lang w:eastAsia="zh-CN"/>
              </w:rPr>
              <w:t>ivo</w:t>
            </w:r>
          </w:p>
        </w:tc>
        <w:tc>
          <w:tcPr>
            <w:tcW w:w="241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等线" w:cs="Times New Roman"/>
                <w:szCs w:val="20"/>
                <w:lang w:eastAsia="zh-CN"/>
              </w:rPr>
            </w:pPr>
            <w:r>
              <w:rPr>
                <w:rFonts w:hint="eastAsia" w:ascii="Times New Roman" w:hAnsi="Times New Roman" w:eastAsia="等线" w:cs="Times New Roman"/>
                <w:szCs w:val="20"/>
                <w:lang w:eastAsia="zh-CN"/>
              </w:rPr>
              <w:t>X</w:t>
            </w:r>
            <w:r>
              <w:rPr>
                <w:rFonts w:ascii="Times New Roman" w:hAnsi="Times New Roman" w:eastAsia="等线" w:cs="Times New Roman"/>
                <w:szCs w:val="20"/>
                <w:lang w:eastAsia="zh-CN"/>
              </w:rPr>
              <w:t>ueming Pan</w:t>
            </w:r>
          </w:p>
        </w:tc>
        <w:tc>
          <w:tcPr>
            <w:tcW w:w="4394"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等线" w:cs="Times New Roman"/>
                <w:szCs w:val="20"/>
                <w:lang w:eastAsia="zh-CN"/>
              </w:rPr>
            </w:pPr>
            <w:r>
              <w:rPr>
                <w:rFonts w:hint="eastAsia" w:ascii="Times New Roman" w:hAnsi="Times New Roman" w:eastAsia="等线" w:cs="Times New Roman"/>
                <w:szCs w:val="20"/>
                <w:lang w:eastAsia="zh-CN"/>
              </w:rPr>
              <w:t>p</w:t>
            </w:r>
            <w:r>
              <w:rPr>
                <w:rFonts w:ascii="Times New Roman" w:hAnsi="Times New Roman" w:eastAsia="等线" w:cs="Times New Roman"/>
                <w:szCs w:val="20"/>
                <w:lang w:eastAsia="zh-CN"/>
              </w:rPr>
              <w:t>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Yu Mincho" w:cs="Times New Roman"/>
                <w:szCs w:val="20"/>
                <w:lang w:eastAsia="ja-JP"/>
              </w:rPr>
            </w:pPr>
            <w:r>
              <w:rPr>
                <w:rFonts w:ascii="Times New Roman" w:hAnsi="Times New Roman" w:eastAsia="Yu Mincho" w:cs="Times New Roman"/>
                <w:szCs w:val="20"/>
                <w:lang w:eastAsia="ja-JP"/>
              </w:rPr>
              <w:t>Intel Corporation</w:t>
            </w:r>
          </w:p>
        </w:tc>
        <w:tc>
          <w:tcPr>
            <w:tcW w:w="241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Yu Mincho" w:cs="Times New Roman"/>
                <w:szCs w:val="20"/>
                <w:lang w:eastAsia="ja-JP"/>
              </w:rPr>
            </w:pPr>
            <w:r>
              <w:rPr>
                <w:rFonts w:ascii="Times New Roman" w:hAnsi="Times New Roman" w:eastAsia="Yu Mincho" w:cs="Times New Roman"/>
                <w:szCs w:val="20"/>
                <w:lang w:eastAsia="ja-JP"/>
              </w:rPr>
              <w:t>Debdeep Chatterjee</w:t>
            </w:r>
          </w:p>
        </w:tc>
        <w:tc>
          <w:tcPr>
            <w:tcW w:w="4394"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r>
              <w:rPr>
                <w:rFonts w:ascii="Times New Roman" w:hAnsi="Times New Roman" w:eastAsia="Batang" w:cs="Times New Roman"/>
                <w:szCs w:val="20"/>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等线" w:cs="Times New Roman"/>
                <w:szCs w:val="20"/>
                <w:lang w:eastAsia="zh-CN"/>
              </w:rPr>
            </w:pPr>
            <w:r>
              <w:rPr>
                <w:rFonts w:ascii="Times New Roman" w:hAnsi="Times New Roman" w:eastAsia="Yu Mincho" w:cs="Times New Roman"/>
                <w:szCs w:val="20"/>
                <w:lang w:eastAsia="ja-JP"/>
              </w:rPr>
              <w:t>Futurewei</w:t>
            </w:r>
          </w:p>
        </w:tc>
        <w:tc>
          <w:tcPr>
            <w:tcW w:w="241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等线" w:cs="Times New Roman"/>
                <w:szCs w:val="20"/>
                <w:lang w:eastAsia="zh-CN"/>
              </w:rPr>
            </w:pPr>
            <w:r>
              <w:rPr>
                <w:rFonts w:ascii="Times New Roman" w:hAnsi="Times New Roman" w:eastAsia="Yu Mincho" w:cs="Times New Roman"/>
                <w:szCs w:val="20"/>
                <w:lang w:eastAsia="ja-JP"/>
              </w:rPr>
              <w:t>Vip Desai</w:t>
            </w:r>
          </w:p>
        </w:tc>
        <w:tc>
          <w:tcPr>
            <w:tcW w:w="4394"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等线" w:cs="Times New Roman"/>
                <w:szCs w:val="20"/>
                <w:lang w:eastAsia="zh-CN"/>
              </w:rPr>
            </w:pPr>
            <w:r>
              <w:rPr>
                <w:rFonts w:ascii="Times New Roman" w:hAnsi="Times New Roman" w:eastAsia="Batang" w:cs="Times New Roman"/>
                <w:szCs w:val="20"/>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line="256" w:lineRule="auto"/>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ZTE, Sanechips</w:t>
            </w:r>
          </w:p>
        </w:tc>
        <w:tc>
          <w:tcPr>
            <w:tcW w:w="2410" w:type="dxa"/>
            <w:tcBorders>
              <w:top w:val="single" w:color="auto" w:sz="4" w:space="0"/>
              <w:left w:val="single" w:color="auto" w:sz="4" w:space="0"/>
              <w:bottom w:val="single" w:color="auto" w:sz="4" w:space="0"/>
              <w:right w:val="single" w:color="auto" w:sz="4" w:space="0"/>
            </w:tcBorders>
          </w:tcPr>
          <w:p>
            <w:pPr>
              <w:spacing w:after="0" w:line="256" w:lineRule="auto"/>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Youjun Hu</w:t>
            </w:r>
          </w:p>
        </w:tc>
        <w:tc>
          <w:tcPr>
            <w:tcW w:w="4394" w:type="dxa"/>
            <w:tcBorders>
              <w:top w:val="single" w:color="auto" w:sz="4" w:space="0"/>
              <w:left w:val="single" w:color="auto" w:sz="4" w:space="0"/>
              <w:bottom w:val="single" w:color="auto" w:sz="4" w:space="0"/>
              <w:right w:val="single" w:color="auto" w:sz="4" w:space="0"/>
            </w:tcBorders>
          </w:tcPr>
          <w:p>
            <w:pPr>
              <w:spacing w:after="0" w:line="256" w:lineRule="auto"/>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c>
          <w:tcPr>
            <w:tcW w:w="241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c>
          <w:tcPr>
            <w:tcW w:w="4394"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c>
          <w:tcPr>
            <w:tcW w:w="241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c>
          <w:tcPr>
            <w:tcW w:w="4394"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c>
          <w:tcPr>
            <w:tcW w:w="241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c>
          <w:tcPr>
            <w:tcW w:w="4394"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c>
          <w:tcPr>
            <w:tcW w:w="241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c>
          <w:tcPr>
            <w:tcW w:w="4394"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c>
          <w:tcPr>
            <w:tcW w:w="241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c>
          <w:tcPr>
            <w:tcW w:w="4394"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c>
          <w:tcPr>
            <w:tcW w:w="2410"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c>
          <w:tcPr>
            <w:tcW w:w="4394" w:type="dxa"/>
            <w:tcBorders>
              <w:top w:val="single" w:color="auto" w:sz="4" w:space="0"/>
              <w:left w:val="single" w:color="auto" w:sz="4" w:space="0"/>
              <w:bottom w:val="single" w:color="auto" w:sz="4" w:space="0"/>
              <w:right w:val="single" w:color="auto" w:sz="4" w:space="0"/>
            </w:tcBorders>
          </w:tcPr>
          <w:p>
            <w:pPr>
              <w:spacing w:after="0" w:line="256" w:lineRule="auto"/>
              <w:rPr>
                <w:rFonts w:ascii="Times New Roman" w:hAnsi="Times New Roman" w:eastAsia="Batang" w:cs="Times New Roman"/>
                <w:szCs w:val="20"/>
              </w:rPr>
            </w:pPr>
          </w:p>
        </w:tc>
      </w:tr>
    </w:tbl>
    <w:p>
      <w:pPr>
        <w:pStyle w:val="15"/>
        <w:rPr>
          <w:rFonts w:cs="Arial"/>
        </w:rPr>
      </w:pPr>
    </w:p>
    <w:p>
      <w:pPr>
        <w:pStyle w:val="2"/>
      </w:pPr>
      <w:bookmarkStart w:id="0" w:name="_In-sequence_SDU_delivery"/>
      <w:bookmarkEnd w:id="0"/>
      <w:r>
        <w:t>References</w:t>
      </w:r>
    </w:p>
    <w:p>
      <w:pPr>
        <w:pStyle w:val="67"/>
        <w:jc w:val="left"/>
        <w:rPr>
          <w:rFonts w:ascii="Times New Roman" w:hAnsi="Times New Roman" w:cs="Times New Roman"/>
        </w:rPr>
      </w:pPr>
      <w:bookmarkStart w:id="1" w:name="_Ref65143491"/>
      <w:bookmarkStart w:id="2" w:name="_Ref71040330"/>
      <w:bookmarkStart w:id="3" w:name="_Ref174151459"/>
      <w:bookmarkStart w:id="4" w:name="_Ref189809556"/>
      <w:r>
        <w:rPr>
          <w:rFonts w:ascii="Times New Roman" w:hAnsi="Times New Roman" w:cs="Times New Roman"/>
        </w:rPr>
        <w:fldChar w:fldCharType="begin"/>
      </w:r>
      <w:r>
        <w:rPr>
          <w:rFonts w:ascii="Times New Roman" w:hAnsi="Times New Roman" w:cs="Times New Roman"/>
        </w:rPr>
        <w:instrText xml:space="preserve">HYPERLINK "https://www.3gpp.org/ftp/TSG_RAN/TSG_RAN/TSGR_92e/Docs/RP-211574.zip"</w:instrText>
      </w:r>
      <w:r>
        <w:rPr>
          <w:rFonts w:ascii="Times New Roman" w:hAnsi="Times New Roman" w:cs="Times New Roman"/>
        </w:rPr>
        <w:fldChar w:fldCharType="separate"/>
      </w:r>
      <w:r>
        <w:rPr>
          <w:rStyle w:val="58"/>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p>
      <w:pPr>
        <w:pStyle w:val="67"/>
        <w:jc w:val="left"/>
        <w:rPr>
          <w:rFonts w:ascii="Times New Roman" w:hAnsi="Times New Roman" w:cs="Times New Roman"/>
        </w:rPr>
      </w:pPr>
      <w:bookmarkStart w:id="5" w:name="_Ref83717123"/>
      <w:bookmarkStart w:id="6" w:name="_Ref83735859"/>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58"/>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5"/>
      <w:bookmarkEnd w:id="6"/>
    </w:p>
    <w:p>
      <w:pPr>
        <w:pStyle w:val="67"/>
        <w:jc w:val="left"/>
        <w:rPr>
          <w:rFonts w:ascii="Times New Roman" w:hAnsi="Times New Roman" w:cs="Times New Roman"/>
        </w:rPr>
      </w:pPr>
      <w:bookmarkStart w:id="7" w:name="_Ref84445798"/>
      <w:r>
        <w:fldChar w:fldCharType="begin"/>
      </w:r>
      <w:r>
        <w:instrText xml:space="preserve"> HYPERLINK "https://www.3gpp.org/ftp/tsg_ran/WG1_RL1/TSGR1_106-e/Docs/R1-2108669.zip" </w:instrText>
      </w:r>
      <w:r>
        <w:fldChar w:fldCharType="separate"/>
      </w:r>
      <w:r>
        <w:rPr>
          <w:rStyle w:val="58"/>
          <w:rFonts w:ascii="Times New Roman" w:hAnsi="Times New Roman" w:cs="Times New Roman"/>
        </w:rPr>
        <w:t>R1-2108669</w:t>
      </w:r>
      <w:r>
        <w:rPr>
          <w:rStyle w:val="58"/>
          <w:rFonts w:ascii="Times New Roman" w:hAnsi="Times New Roman" w:cs="Times New Roman"/>
        </w:rPr>
        <w:fldChar w:fldCharType="end"/>
      </w:r>
      <w:r>
        <w:rPr>
          <w:rFonts w:ascii="Times New Roman" w:hAnsi="Times New Roman" w:cs="Times New Roman"/>
        </w:rPr>
        <w:t>, “FL summary on RAN1 RRC parameter list for RedCap”, Moderator (Ericsson)</w:t>
      </w:r>
      <w:bookmarkEnd w:id="7"/>
    </w:p>
    <w:p>
      <w:pPr>
        <w:pStyle w:val="67"/>
        <w:jc w:val="left"/>
        <w:rPr>
          <w:rFonts w:ascii="Times New Roman" w:hAnsi="Times New Roman" w:cs="Times New Roman"/>
        </w:rPr>
      </w:pPr>
      <w:bookmarkStart w:id="8" w:name="_Ref84445837"/>
      <w:r>
        <w:fldChar w:fldCharType="begin"/>
      </w:r>
      <w:r>
        <w:instrText xml:space="preserve"> HYPERLINK "https://www.3gpp.org/ftp/tsg_ran/WG1_RL1/TSGR1_106-e/Docs/R1-2108670.zip" </w:instrText>
      </w:r>
      <w:r>
        <w:fldChar w:fldCharType="separate"/>
      </w:r>
      <w:r>
        <w:rPr>
          <w:rStyle w:val="58"/>
          <w:rFonts w:ascii="Times New Roman" w:hAnsi="Times New Roman" w:cs="Times New Roman"/>
        </w:rPr>
        <w:t>R1-2108670</w:t>
      </w:r>
      <w:bookmarkEnd w:id="3"/>
      <w:bookmarkEnd w:id="4"/>
      <w:r>
        <w:rPr>
          <w:rStyle w:val="58"/>
          <w:rFonts w:ascii="Times New Roman" w:hAnsi="Times New Roman" w:cs="Times New Roman"/>
        </w:rPr>
        <w:fldChar w:fldCharType="end"/>
      </w:r>
      <w:r>
        <w:rPr>
          <w:rFonts w:ascii="Times New Roman" w:hAnsi="Times New Roman" w:cs="Times New Roman"/>
        </w:rPr>
        <w:t>, “Initial draft RAN1 RRC parameter list for RedCap”, Moderator (Ericsson)</w:t>
      </w:r>
      <w:bookmarkEnd w:id="8"/>
    </w:p>
    <w:p>
      <w:pPr>
        <w:pStyle w:val="67"/>
        <w:jc w:val="left"/>
        <w:rPr>
          <w:rFonts w:ascii="Times New Roman" w:hAnsi="Times New Roman" w:cs="Times New Roman"/>
        </w:rPr>
      </w:pPr>
      <w:bookmarkStart w:id="9" w:name="_Ref84574992"/>
      <w:r>
        <w:rPr>
          <w:rFonts w:ascii="Times New Roman" w:hAnsi="Times New Roman" w:cs="Times New Roman"/>
        </w:rPr>
        <w:fldChar w:fldCharType="begin"/>
      </w:r>
      <w:r>
        <w:rPr>
          <w:rFonts w:ascii="Times New Roman" w:hAnsi="Times New Roman" w:cs="Times New Roman"/>
        </w:rPr>
        <w:instrText xml:space="preserve">HYPERLINK "https://www.3gpp.org/ftp/tsg_ran/WG1_RL1/TSGR1_106b-e/Docs/R1-2110415.zip"</w:instrText>
      </w:r>
      <w:r>
        <w:rPr>
          <w:rFonts w:ascii="Times New Roman" w:hAnsi="Times New Roman" w:cs="Times New Roman"/>
        </w:rPr>
        <w:fldChar w:fldCharType="separate"/>
      </w:r>
      <w:r>
        <w:rPr>
          <w:rStyle w:val="58"/>
          <w:rFonts w:ascii="Times New Roman" w:hAnsi="Times New Roman" w:cs="Times New Roman"/>
        </w:rPr>
        <w:t>R1-2110415</w:t>
      </w:r>
      <w:r>
        <w:rPr>
          <w:rFonts w:ascii="Times New Roman" w:hAnsi="Times New Roman" w:cs="Times New Roman"/>
        </w:rPr>
        <w:fldChar w:fldCharType="end"/>
      </w:r>
      <w:r>
        <w:rPr>
          <w:rFonts w:ascii="Times New Roman" w:hAnsi="Times New Roman" w:cs="Times New Roman"/>
        </w:rPr>
        <w:t xml:space="preserve"> (</w:t>
      </w:r>
      <w:r>
        <w:fldChar w:fldCharType="begin"/>
      </w:r>
      <w:r>
        <w:instrText xml:space="preserve"> HYPERLINK "https://www.3gpp.org/ftp/tsg_ran/WG1_RL1/TSGR1_106b-e/Inbox/R1-2110415.zip" </w:instrText>
      </w:r>
      <w:r>
        <w:fldChar w:fldCharType="separate"/>
      </w:r>
      <w:r>
        <w:rPr>
          <w:rStyle w:val="58"/>
          <w:rFonts w:ascii="Times New Roman" w:hAnsi="Times New Roman" w:cs="Times New Roman"/>
        </w:rPr>
        <w:t>Inbox</w:t>
      </w:r>
      <w:r>
        <w:rPr>
          <w:rStyle w:val="58"/>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9"/>
    </w:p>
    <w:p>
      <w:pPr>
        <w:pStyle w:val="67"/>
        <w:numPr>
          <w:ilvl w:val="0"/>
          <w:numId w:val="0"/>
        </w:numPr>
        <w:jc w:val="left"/>
        <w:rPr>
          <w:rFonts w:ascii="Times New Roman" w:hAnsi="Times New Roman" w:cs="Times New Roman"/>
        </w:rPr>
      </w:pPr>
    </w:p>
    <w:p>
      <w:pPr>
        <w:pStyle w:val="67"/>
        <w:jc w:val="left"/>
        <w:sectPr>
          <w:footerReference r:id="rId4" w:type="default"/>
          <w:headerReference r:id="rId3" w:type="even"/>
          <w:footnotePr>
            <w:numRestart w:val="eachSect"/>
          </w:footnotePr>
          <w:pgSz w:w="11907" w:h="16840"/>
          <w:pgMar w:top="1418" w:right="1134" w:bottom="1134" w:left="1134" w:header="680" w:footer="567" w:gutter="0"/>
          <w:cols w:space="720" w:num="1"/>
        </w:sectPr>
      </w:pPr>
      <w:bookmarkStart w:id="10" w:name="_Ref84447247"/>
    </w:p>
    <w:bookmarkEnd w:id="10"/>
    <w:p>
      <w:pPr>
        <w:pStyle w:val="2"/>
      </w:pPr>
      <w:r>
        <w:t>2</w:t>
      </w:r>
      <w:r>
        <w:tab/>
      </w:r>
      <w:r>
        <w:t>PRACH configuration</w:t>
      </w:r>
    </w:p>
    <w:p>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1043"/>
        <w:gridCol w:w="1325"/>
        <w:gridCol w:w="900"/>
        <w:gridCol w:w="1277"/>
        <w:gridCol w:w="1110"/>
        <w:gridCol w:w="1256"/>
        <w:gridCol w:w="1047"/>
        <w:gridCol w:w="1675"/>
        <w:gridCol w:w="2676"/>
        <w:gridCol w:w="1264"/>
        <w:gridCol w:w="1011"/>
        <w:gridCol w:w="916"/>
        <w:gridCol w:w="1199"/>
        <w:gridCol w:w="1338"/>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27" w:type="dxa"/>
          </w:tcPr>
          <w:p>
            <w:pPr>
              <w:spacing w:after="120" w:afterLines="5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1127" w:type="dxa"/>
          </w:tcPr>
          <w:p>
            <w:pPr>
              <w:spacing w:after="120" w:afterLines="50" w:line="240" w:lineRule="auto"/>
              <w:rPr>
                <w:rFonts w:eastAsia="MS Mincho" w:cs="Arial"/>
                <w:sz w:val="18"/>
                <w:szCs w:val="18"/>
                <w:lang w:eastAsia="ja-JP"/>
              </w:rPr>
            </w:pPr>
            <w:r>
              <w:rPr>
                <w:rFonts w:eastAsia="MS Mincho" w:cs="Arial"/>
                <w:sz w:val="18"/>
                <w:szCs w:val="18"/>
                <w:lang w:eastAsia="ja-JP"/>
              </w:rPr>
              <w:t>NR_redcap</w:t>
            </w:r>
          </w:p>
        </w:tc>
        <w:tc>
          <w:tcPr>
            <w:tcW w:w="1043" w:type="dxa"/>
          </w:tcPr>
          <w:p>
            <w:pPr>
              <w:spacing w:after="120" w:afterLines="50" w:line="240" w:lineRule="auto"/>
              <w:rPr>
                <w:rFonts w:eastAsia="MS Mincho" w:cs="Arial"/>
                <w:sz w:val="18"/>
                <w:szCs w:val="18"/>
                <w:lang w:eastAsia="ja-JP"/>
              </w:rPr>
            </w:pPr>
            <w:r>
              <w:rPr>
                <w:rFonts w:eastAsia="MS Mincho" w:cs="Arial"/>
                <w:sz w:val="18"/>
                <w:szCs w:val="18"/>
                <w:lang w:eastAsia="ja-JP"/>
              </w:rPr>
              <w:t>RedCap UE</w:t>
            </w:r>
          </w:p>
        </w:tc>
        <w:tc>
          <w:tcPr>
            <w:tcW w:w="1325" w:type="dxa"/>
          </w:tcPr>
          <w:p>
            <w:pPr>
              <w:spacing w:after="120" w:afterLines="50" w:line="240" w:lineRule="auto"/>
              <w:rPr>
                <w:rFonts w:eastAsia="MS Mincho" w:cs="Arial"/>
                <w:sz w:val="18"/>
                <w:szCs w:val="18"/>
                <w:lang w:eastAsia="ja-JP"/>
              </w:rPr>
            </w:pPr>
            <w:r>
              <w:rPr>
                <w:rFonts w:eastAsia="MS Mincho" w:cs="Arial"/>
                <w:sz w:val="18"/>
                <w:szCs w:val="18"/>
                <w:lang w:eastAsia="ja-JP"/>
              </w:rPr>
              <w:t>38.213</w:t>
            </w:r>
          </w:p>
        </w:tc>
        <w:tc>
          <w:tcPr>
            <w:tcW w:w="900"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1277"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1110"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1256"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1047" w:type="dxa"/>
          </w:tcPr>
          <w:p>
            <w:pPr>
              <w:spacing w:after="120" w:afterLines="50" w:line="240" w:lineRule="auto"/>
              <w:rPr>
                <w:rFonts w:eastAsia="MS Mincho" w:cs="Arial"/>
                <w:sz w:val="18"/>
                <w:szCs w:val="18"/>
                <w:lang w:eastAsia="ja-JP"/>
              </w:rPr>
            </w:pPr>
            <w:r>
              <w:rPr>
                <w:rFonts w:eastAsia="MS Mincho" w:cs="Arial"/>
                <w:sz w:val="18"/>
                <w:szCs w:val="18"/>
                <w:lang w:eastAsia="ja-JP"/>
              </w:rPr>
              <w:t>New</w:t>
            </w:r>
          </w:p>
        </w:tc>
        <w:tc>
          <w:tcPr>
            <w:tcW w:w="1675" w:type="dxa"/>
          </w:tcPr>
          <w:p>
            <w:pPr>
              <w:spacing w:after="120" w:afterLines="50" w:line="240" w:lineRule="auto"/>
              <w:rPr>
                <w:rFonts w:eastAsia="MS Mincho" w:cs="Arial"/>
                <w:sz w:val="18"/>
                <w:szCs w:val="18"/>
                <w:lang w:eastAsia="ja-JP"/>
              </w:rPr>
            </w:pPr>
            <w:r>
              <w:rPr>
                <w:rFonts w:eastAsia="MS Mincho" w:cs="Arial"/>
                <w:sz w:val="18"/>
                <w:szCs w:val="18"/>
                <w:lang w:eastAsia="ja-JP"/>
              </w:rPr>
              <w:t>[RedCap-specific PRACH configuration]</w:t>
            </w:r>
          </w:p>
        </w:tc>
        <w:tc>
          <w:tcPr>
            <w:tcW w:w="2676" w:type="dxa"/>
          </w:tcPr>
          <w:p>
            <w:pPr>
              <w:spacing w:after="120" w:afterLines="50" w:line="240" w:lineRule="auto"/>
              <w:rPr>
                <w:rFonts w:eastAsia="MS Mincho" w:cs="Arial"/>
                <w:sz w:val="18"/>
                <w:szCs w:val="18"/>
                <w:lang w:eastAsia="ja-JP"/>
              </w:rPr>
            </w:pPr>
            <w:r>
              <w:rPr>
                <w:rFonts w:eastAsia="MS Mincho" w:cs="Arial"/>
                <w:sz w:val="18"/>
                <w:szCs w:val="18"/>
                <w:lang w:eastAsia="ja-JP"/>
              </w:rPr>
              <w:t>When this configuration is present, it configures a RedCap-specific PRACH configuration [using a separate PRACH resource and/or PRACH preamble partitioning at least for 4-step RACH, FFS for 2-step RACH], where usage of the RedCap-specific PRACH configuration serves as an early RedCap UE indication. If the parameter is not present, RedCap UEs use the same PRACH configuration as non-RedCap UEs.</w:t>
            </w:r>
          </w:p>
        </w:tc>
        <w:tc>
          <w:tcPr>
            <w:tcW w:w="1264" w:type="dxa"/>
          </w:tcPr>
          <w:p>
            <w:pPr>
              <w:spacing w:after="120" w:afterLines="50" w:line="240" w:lineRule="auto"/>
              <w:rPr>
                <w:rFonts w:eastAsia="MS Mincho" w:cs="Arial"/>
                <w:sz w:val="18"/>
                <w:szCs w:val="18"/>
                <w:lang w:eastAsia="ja-JP"/>
              </w:rPr>
            </w:pPr>
            <w:r>
              <w:rPr>
                <w:rFonts w:eastAsia="MS Mincho" w:cs="Arial"/>
                <w:sz w:val="18"/>
                <w:szCs w:val="18"/>
                <w:lang w:eastAsia="ja-JP"/>
              </w:rPr>
              <w:t>FFS</w:t>
            </w:r>
          </w:p>
        </w:tc>
        <w:tc>
          <w:tcPr>
            <w:tcW w:w="1011"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882" w:type="dxa"/>
          </w:tcPr>
          <w:p>
            <w:pPr>
              <w:spacing w:after="120" w:afterLines="50" w:line="240" w:lineRule="auto"/>
              <w:rPr>
                <w:rFonts w:eastAsia="MS Mincho" w:cs="Arial"/>
                <w:sz w:val="18"/>
                <w:szCs w:val="18"/>
                <w:lang w:eastAsia="ja-JP"/>
              </w:rPr>
            </w:pPr>
            <w:r>
              <w:rPr>
                <w:rFonts w:eastAsia="MS Mincho" w:cs="Arial"/>
                <w:sz w:val="18"/>
                <w:szCs w:val="18"/>
                <w:lang w:eastAsia="ja-JP"/>
              </w:rPr>
              <w:t>Per cell</w:t>
            </w:r>
          </w:p>
        </w:tc>
        <w:tc>
          <w:tcPr>
            <w:tcW w:w="1199" w:type="dxa"/>
          </w:tcPr>
          <w:p>
            <w:pPr>
              <w:spacing w:after="120" w:afterLines="5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pPr>
              <w:spacing w:after="120" w:afterLines="50" w:line="240" w:lineRule="auto"/>
              <w:rPr>
                <w:rFonts w:eastAsia="MS Mincho" w:cs="Arial"/>
                <w:sz w:val="18"/>
                <w:szCs w:val="18"/>
                <w:lang w:eastAsia="ja-JP"/>
              </w:rPr>
            </w:pPr>
            <w:r>
              <w:rPr>
                <w:rFonts w:eastAsia="MS Mincho" w:cs="Arial"/>
                <w:sz w:val="18"/>
                <w:szCs w:val="18"/>
                <w:lang w:eastAsia="ja-JP"/>
              </w:rPr>
              <w:t>38.331</w:t>
            </w:r>
          </w:p>
        </w:tc>
        <w:tc>
          <w:tcPr>
            <w:tcW w:w="2119" w:type="dxa"/>
          </w:tcPr>
          <w:p>
            <w:pPr>
              <w:spacing w:after="120" w:afterLines="50" w:line="240" w:lineRule="auto"/>
              <w:rPr>
                <w:rFonts w:eastAsia="MS Mincho" w:cs="Arial"/>
                <w:sz w:val="18"/>
                <w:szCs w:val="18"/>
                <w:lang w:eastAsia="ja-JP"/>
              </w:rPr>
            </w:pPr>
            <w:bookmarkStart w:id="11" w:name="RANGE!P2"/>
            <w:r>
              <w:rPr>
                <w:rFonts w:eastAsia="MS Mincho" w:cs="Arial"/>
                <w:sz w:val="18"/>
                <w:szCs w:val="18"/>
                <w:lang w:eastAsia="ja-JP"/>
              </w:rPr>
              <w:t>See agreements listed in R1-2108271 section 6.</w:t>
            </w:r>
            <w:r>
              <w:rPr>
                <w:rFonts w:eastAsia="MS Mincho" w:cs="Arial"/>
                <w:sz w:val="18"/>
                <w:szCs w:val="18"/>
                <w:lang w:eastAsia="ja-JP"/>
              </w:rPr>
              <w:br w:type="textWrapping"/>
            </w:r>
            <w:r>
              <w:rPr>
                <w:rFonts w:eastAsia="MS Mincho" w:cs="Arial"/>
                <w:sz w:val="18"/>
                <w:szCs w:val="18"/>
                <w:lang w:eastAsia="ja-JP"/>
              </w:rPr>
              <w:br w:type="textWrapping"/>
            </w:r>
            <w:r>
              <w:rPr>
                <w:rFonts w:eastAsia="MS Mincho" w:cs="Arial"/>
                <w:sz w:val="18"/>
                <w:szCs w:val="18"/>
                <w:lang w:eastAsia="ja-JP"/>
              </w:rPr>
              <w:t>Note: The relation between [RedCap-specific PRACH configuration] and [RedCap-specific initial UL BWP configuration] may need further discussion. Furthermore, the relation between PRACH configurations for different features is under discussion in RAN2.</w:t>
            </w:r>
            <w:bookmarkEnd w:id="11"/>
          </w:p>
        </w:tc>
      </w:tr>
    </w:tbl>
    <w:p>
      <w:pPr>
        <w:spacing w:after="120" w:afterLines="50" w:line="240" w:lineRule="auto"/>
        <w:jc w:val="both"/>
        <w:rPr>
          <w:rFonts w:ascii="Times New Roman" w:hAnsi="Times New Roman" w:eastAsia="MS Mincho" w:cs="Times New Roman"/>
          <w:szCs w:val="20"/>
          <w:lang w:val="en-GB" w:eastAsia="ja-JP"/>
        </w:rPr>
      </w:pPr>
    </w:p>
    <w:p>
      <w:pPr>
        <w:spacing w:after="120" w:afterLines="50" w:line="240" w:lineRule="auto"/>
        <w:jc w:val="both"/>
        <w:rPr>
          <w:rFonts w:ascii="Times New Roman" w:hAnsi="Times New Roman" w:eastAsia="MS Mincho" w:cs="Times New Roman"/>
          <w:b/>
          <w:bCs/>
          <w:szCs w:val="20"/>
          <w:lang w:val="en-GB" w:eastAsia="ja-JP"/>
        </w:rPr>
      </w:pPr>
      <w:r>
        <w:rPr>
          <w:rFonts w:ascii="Times New Roman" w:hAnsi="Times New Roman" w:eastAsia="MS Mincho" w:cs="Times New Roman"/>
          <w:b/>
          <w:bCs/>
          <w:szCs w:val="20"/>
          <w:lang w:val="en-GB" w:eastAsia="ja-JP"/>
        </w:rPr>
        <w:t>FL1 Question 2-1: Companies are invited to comment on the above parameter for PRACH configuration.</w:t>
      </w:r>
    </w:p>
    <w:tbl>
      <w:tblPr>
        <w:tblStyle w:val="52"/>
        <w:tblW w:w="21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9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22" w:type="dxa"/>
            <w:shd w:val="clear" w:color="auto" w:fill="D8D8D8" w:themeFill="background1" w:themeFillShade="D9"/>
          </w:tcPr>
          <w:p>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8D8D8" w:themeFill="background1" w:themeFillShade="D9"/>
          </w:tcPr>
          <w:p>
            <w:pPr>
              <w:rPr>
                <w:rFonts w:ascii="Times New Roman" w:hAnsi="Times New Roman" w:cs="Times New Roman"/>
                <w:b/>
                <w:bCs/>
                <w:sz w:val="20"/>
                <w:szCs w:val="20"/>
              </w:rPr>
            </w:pPr>
            <w:r>
              <w:rPr>
                <w:rFonts w:ascii="Times New Roman" w:hAnsi="Times New Roman" w:cs="Times New Roman"/>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pPr>
              <w:rPr>
                <w:rFonts w:ascii="Times New Roman" w:hAnsi="Times New Roman" w:cs="Times New Roman"/>
                <w:sz w:val="20"/>
                <w:szCs w:val="20"/>
                <w:lang w:eastAsia="ko-KR"/>
              </w:rPr>
            </w:pPr>
            <w:r>
              <w:rPr>
                <w:rFonts w:ascii="Times New Roman" w:hAnsi="Times New Roman" w:cs="Times New Roman"/>
                <w:sz w:val="20"/>
                <w:szCs w:val="20"/>
                <w:lang w:eastAsia="ko-KR"/>
              </w:rPr>
              <w:t>Per the guidance in [5], add in column M of “</w:t>
            </w:r>
            <w:r>
              <w:rPr>
                <w:rStyle w:val="170"/>
              </w:rPr>
              <w:t>In BWP-UplinkCommon</w:t>
            </w:r>
            <w:r>
              <w:rPr>
                <w:rFonts w:ascii="Times New Roman" w:hAnsi="Times New Roman" w:cs="Times New Roman"/>
                <w:sz w:val="20"/>
                <w:szCs w:val="20"/>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19136" w:type="dxa"/>
          </w:tcPr>
          <w:p>
            <w:pPr>
              <w:spacing w:after="180" w:line="252" w:lineRule="auto"/>
              <w:contextualSpacing/>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 xml:space="preserve">ine in general.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Intel</w:t>
            </w:r>
          </w:p>
        </w:tc>
        <w:tc>
          <w:tcPr>
            <w:tcW w:w="19136" w:type="dxa"/>
          </w:tcPr>
          <w:p>
            <w:pPr>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Fine with the proposed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2" w:type="dxa"/>
          </w:tcPr>
          <w:p>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pPr>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The description column should include the possibility of RedCap and non-RedCap UEs of sharing RACH resources. </w:t>
            </w:r>
          </w:p>
          <w:p>
            <w:pPr>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A clarification of early indication should be added: “usage of the RedCap-specific PRACH configuration </w:t>
            </w:r>
            <w:r>
              <w:rPr>
                <w:rFonts w:ascii="Times New Roman" w:hAnsi="Times New Roman" w:eastAsia="宋体" w:cs="Times New Roman"/>
                <w:color w:val="FF0000"/>
                <w:sz w:val="20"/>
                <w:szCs w:val="20"/>
                <w:lang w:eastAsia="zh-CN"/>
              </w:rPr>
              <w:t xml:space="preserve">implicitly </w:t>
            </w:r>
            <w:r>
              <w:rPr>
                <w:rFonts w:ascii="Times New Roman" w:hAnsi="Times New Roman" w:eastAsia="宋体" w:cs="Times New Roman"/>
                <w:sz w:val="20"/>
                <w:szCs w:val="20"/>
                <w:lang w:eastAsia="zh-CN"/>
              </w:rPr>
              <w:t xml:space="preserve">serves as an early RedCap UE indication </w:t>
            </w:r>
            <w:r>
              <w:rPr>
                <w:rFonts w:ascii="Times New Roman" w:hAnsi="Times New Roman" w:eastAsia="宋体" w:cs="Times New Roman"/>
                <w:color w:val="FF0000"/>
                <w:sz w:val="20"/>
                <w:szCs w:val="20"/>
                <w:lang w:eastAsia="zh-CN"/>
              </w:rPr>
              <w:t>if no other UEs are also configured to use the resources</w:t>
            </w:r>
            <w:r>
              <w:rPr>
                <w:rFonts w:ascii="Times New Roman" w:hAnsi="Times New Roman" w:eastAsia="宋体" w:cs="Times New Roman"/>
                <w:sz w:val="20"/>
                <w:szCs w:val="20"/>
                <w:lang w:eastAsia="zh-CN"/>
              </w:rPr>
              <w:t>”</w:t>
            </w:r>
          </w:p>
          <w:p>
            <w:pPr>
              <w:rPr>
                <w:rFonts w:ascii="Times New Roman" w:hAnsi="Times New Roman" w:cs="Times New Roman"/>
                <w:sz w:val="20"/>
                <w:szCs w:val="20"/>
                <w:lang w:eastAsia="ko-KR"/>
              </w:rPr>
            </w:pPr>
            <w:r>
              <w:rPr>
                <w:rFonts w:ascii="Times New Roman" w:hAnsi="Times New Roman" w:eastAsia="宋体" w:cs="Times New Roman"/>
                <w:sz w:val="20"/>
                <w:szCs w:val="20"/>
                <w:lang w:eastAsia="zh-CN"/>
              </w:rPr>
              <w:t>A clarification of different features should be added: “</w:t>
            </w:r>
            <w:r>
              <w:rPr>
                <w:rFonts w:ascii="Times New Roman" w:hAnsi="Times New Roman" w:eastAsia="宋体" w:cs="Times New Roman"/>
                <w:color w:val="FF0000"/>
                <w:sz w:val="20"/>
                <w:szCs w:val="20"/>
                <w:lang w:eastAsia="zh-CN"/>
              </w:rPr>
              <w:t>The WID note allows RedCap UEs to consider CE and that may need discussion in RAN1</w:t>
            </w:r>
            <w:r>
              <w:rPr>
                <w:rFonts w:ascii="Times New Roman" w:hAnsi="Times New Roman" w:eastAsia="宋体" w:cs="Times New Roman"/>
                <w:sz w:val="20"/>
                <w:szCs w:val="20"/>
                <w:lang w:eastAsia="zh-CN"/>
              </w:rPr>
              <w:t>. Furthermore, the relation between PRACH configurations for different features is under discussion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Times New Roman" w:hAnsi="Times New Roman" w:eastAsia="宋体" w:cs="Times New Roman"/>
                <w:sz w:val="20"/>
                <w:szCs w:val="20"/>
                <w:lang w:val="en-US" w:eastAsia="ko-KR" w:bidi="ar-SA"/>
              </w:rPr>
            </w:pPr>
            <w:r>
              <w:rPr>
                <w:rFonts w:hint="eastAsia" w:ascii="Times New Roman" w:hAnsi="Times New Roman" w:eastAsia="宋体" w:cs="Times New Roman"/>
                <w:sz w:val="20"/>
                <w:szCs w:val="20"/>
                <w:lang w:val="en-US" w:eastAsia="zh-CN"/>
              </w:rPr>
              <w:t>ZTE, Sanechips</w:t>
            </w:r>
          </w:p>
        </w:tc>
        <w:tc>
          <w:tcPr>
            <w:tcW w:w="19136" w:type="dxa"/>
            <w:vAlign w:val="top"/>
          </w:tcPr>
          <w:p>
            <w:pPr>
              <w:rPr>
                <w:rFonts w:hint="default" w:ascii="Times New Roman" w:hAnsi="Times New Roman" w:eastAsia="宋体" w:cs="Times New Roman"/>
                <w:sz w:val="20"/>
                <w:szCs w:val="20"/>
                <w:lang w:val="en-US" w:eastAsia="zh-CN" w:bidi="ar-SA"/>
              </w:rPr>
            </w:pPr>
            <w:r>
              <w:rPr>
                <w:rFonts w:hint="eastAsia" w:ascii="Times New Roman" w:hAnsi="Times New Roman" w:eastAsia="宋体" w:cs="Times New Roman"/>
                <w:sz w:val="20"/>
                <w:szCs w:val="20"/>
                <w:lang w:val="en-US" w:eastAsia="zh-CN" w:bidi="ar-SA"/>
              </w:rPr>
              <w:t xml:space="preserve">Whether </w:t>
            </w:r>
            <w:r>
              <w:rPr>
                <w:rFonts w:hint="default" w:ascii="Times New Roman" w:hAnsi="Times New Roman" w:eastAsia="宋体" w:cs="Times New Roman"/>
                <w:sz w:val="20"/>
                <w:szCs w:val="20"/>
                <w:lang w:val="en-US" w:eastAsia="zh-CN" w:bidi="ar-SA"/>
              </w:rPr>
              <w:t>RedCap-specific PRACH configuration</w:t>
            </w:r>
            <w:r>
              <w:rPr>
                <w:rFonts w:hint="eastAsia" w:ascii="Times New Roman" w:hAnsi="Times New Roman" w:eastAsia="宋体" w:cs="Times New Roman"/>
                <w:sz w:val="20"/>
                <w:szCs w:val="20"/>
                <w:lang w:val="en-US" w:eastAsia="zh-CN" w:bidi="ar-SA"/>
              </w:rPr>
              <w:t xml:space="preserve"> is applied for RedCap UE with CE and RedCap UE without CE, or just applied for </w:t>
            </w:r>
            <w:r>
              <w:rPr>
                <w:rFonts w:hint="eastAsia" w:ascii="Times New Roman" w:hAnsi="Times New Roman" w:eastAsia="宋体" w:cs="Times New Roman"/>
                <w:sz w:val="20"/>
                <w:szCs w:val="20"/>
                <w:lang w:val="en-US" w:eastAsia="zh-CN" w:bidi="ar-SA"/>
              </w:rPr>
              <w:t>RedCap UE without CE, need to be clarified in the description column.</w:t>
            </w:r>
            <w:r>
              <w:rPr>
                <w:rFonts w:hint="eastAsia" w:ascii="Times New Roman" w:hAnsi="Times New Roman" w:eastAsia="宋体" w:cs="Times New Roman"/>
                <w:sz w:val="20"/>
                <w:szCs w:val="20"/>
                <w:lang w:val="en-US" w:eastAsia="zh-CN" w:bidi="ar-SA"/>
              </w:rPr>
              <w:t xml:space="preserve"> </w:t>
            </w:r>
          </w:p>
        </w:tc>
      </w:tr>
    </w:tbl>
    <w:p>
      <w:pPr>
        <w:spacing w:after="120" w:afterLines="50" w:line="240" w:lineRule="auto"/>
        <w:jc w:val="both"/>
        <w:rPr>
          <w:rFonts w:ascii="Times New Roman" w:hAnsi="Times New Roman" w:eastAsia="MS Mincho" w:cs="Times New Roman"/>
          <w:szCs w:val="20"/>
          <w:lang w:val="en-GB" w:eastAsia="ja-JP"/>
        </w:rPr>
      </w:pPr>
    </w:p>
    <w:p>
      <w:pPr>
        <w:pStyle w:val="2"/>
      </w:pPr>
      <w:r>
        <w:t>3</w:t>
      </w:r>
      <w:r>
        <w:tab/>
      </w:r>
      <w:r>
        <w:t>Initial DL BWP configuration</w:t>
      </w:r>
    </w:p>
    <w:p>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1043"/>
        <w:gridCol w:w="1325"/>
        <w:gridCol w:w="900"/>
        <w:gridCol w:w="1277"/>
        <w:gridCol w:w="1110"/>
        <w:gridCol w:w="1256"/>
        <w:gridCol w:w="1047"/>
        <w:gridCol w:w="1675"/>
        <w:gridCol w:w="2676"/>
        <w:gridCol w:w="1264"/>
        <w:gridCol w:w="1011"/>
        <w:gridCol w:w="916"/>
        <w:gridCol w:w="1199"/>
        <w:gridCol w:w="1338"/>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27" w:type="dxa"/>
          </w:tcPr>
          <w:p>
            <w:pPr>
              <w:spacing w:after="120" w:afterLines="5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1127" w:type="dxa"/>
          </w:tcPr>
          <w:p>
            <w:pPr>
              <w:spacing w:after="120" w:afterLines="50" w:line="240" w:lineRule="auto"/>
              <w:rPr>
                <w:rFonts w:eastAsia="MS Mincho" w:cs="Arial"/>
                <w:sz w:val="18"/>
                <w:szCs w:val="18"/>
                <w:lang w:eastAsia="ja-JP"/>
              </w:rPr>
            </w:pPr>
            <w:r>
              <w:rPr>
                <w:rFonts w:eastAsia="MS Mincho" w:cs="Arial"/>
                <w:sz w:val="18"/>
                <w:szCs w:val="18"/>
                <w:lang w:eastAsia="ja-JP"/>
              </w:rPr>
              <w:t>NR_redcap</w:t>
            </w:r>
          </w:p>
        </w:tc>
        <w:tc>
          <w:tcPr>
            <w:tcW w:w="1043" w:type="dxa"/>
          </w:tcPr>
          <w:p>
            <w:pPr>
              <w:spacing w:after="120" w:afterLines="50" w:line="240" w:lineRule="auto"/>
              <w:rPr>
                <w:rFonts w:eastAsia="MS Mincho" w:cs="Arial"/>
                <w:sz w:val="18"/>
                <w:szCs w:val="18"/>
                <w:lang w:eastAsia="ja-JP"/>
              </w:rPr>
            </w:pPr>
            <w:r>
              <w:rPr>
                <w:rFonts w:eastAsia="MS Mincho" w:cs="Arial"/>
                <w:sz w:val="18"/>
                <w:szCs w:val="18"/>
                <w:lang w:eastAsia="ja-JP"/>
              </w:rPr>
              <w:t>RedCap UE</w:t>
            </w:r>
          </w:p>
        </w:tc>
        <w:tc>
          <w:tcPr>
            <w:tcW w:w="1325" w:type="dxa"/>
          </w:tcPr>
          <w:p>
            <w:pPr>
              <w:spacing w:after="120" w:afterLines="50" w:line="240" w:lineRule="auto"/>
              <w:rPr>
                <w:rFonts w:eastAsia="MS Mincho" w:cs="Arial"/>
                <w:sz w:val="18"/>
                <w:szCs w:val="18"/>
                <w:lang w:eastAsia="ja-JP"/>
              </w:rPr>
            </w:pPr>
            <w:r>
              <w:rPr>
                <w:rFonts w:eastAsia="MS Mincho" w:cs="Arial"/>
                <w:sz w:val="18"/>
                <w:szCs w:val="18"/>
                <w:lang w:eastAsia="ja-JP"/>
              </w:rPr>
              <w:t>38.213</w:t>
            </w:r>
          </w:p>
        </w:tc>
        <w:tc>
          <w:tcPr>
            <w:tcW w:w="900"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1277"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1110"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1256"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1047" w:type="dxa"/>
          </w:tcPr>
          <w:p>
            <w:pPr>
              <w:spacing w:after="120" w:afterLines="50" w:line="240" w:lineRule="auto"/>
              <w:rPr>
                <w:rFonts w:eastAsia="MS Mincho" w:cs="Arial"/>
                <w:sz w:val="18"/>
                <w:szCs w:val="18"/>
                <w:lang w:eastAsia="ja-JP"/>
              </w:rPr>
            </w:pPr>
            <w:r>
              <w:rPr>
                <w:rFonts w:eastAsia="MS Mincho" w:cs="Arial"/>
                <w:sz w:val="18"/>
                <w:szCs w:val="18"/>
                <w:lang w:eastAsia="ja-JP"/>
              </w:rPr>
              <w:t>New</w:t>
            </w:r>
          </w:p>
        </w:tc>
        <w:tc>
          <w:tcPr>
            <w:tcW w:w="1675" w:type="dxa"/>
          </w:tcPr>
          <w:p>
            <w:pPr>
              <w:spacing w:after="120" w:afterLines="50" w:line="240" w:lineRule="auto"/>
              <w:rPr>
                <w:rFonts w:eastAsia="MS Mincho" w:cs="Arial"/>
                <w:sz w:val="18"/>
                <w:szCs w:val="18"/>
                <w:lang w:eastAsia="ja-JP"/>
              </w:rPr>
            </w:pPr>
            <w:r>
              <w:rPr>
                <w:rFonts w:eastAsia="MS Mincho" w:cs="Arial"/>
                <w:sz w:val="18"/>
                <w:szCs w:val="18"/>
                <w:lang w:eastAsia="ja-JP"/>
              </w:rPr>
              <w:t>[RedCap-specific initial DL BWP configuration]</w:t>
            </w:r>
          </w:p>
        </w:tc>
        <w:tc>
          <w:tcPr>
            <w:tcW w:w="2676" w:type="dxa"/>
          </w:tcPr>
          <w:p>
            <w:pPr>
              <w:spacing w:after="120" w:afterLines="50" w:line="240" w:lineRule="auto"/>
              <w:rPr>
                <w:rFonts w:eastAsia="MS Mincho" w:cs="Arial"/>
                <w:sz w:val="18"/>
                <w:szCs w:val="18"/>
                <w:lang w:eastAsia="ja-JP"/>
              </w:rPr>
            </w:pPr>
            <w:r>
              <w:rPr>
                <w:rFonts w:eastAsia="MS Mincho" w:cs="Arial"/>
                <w:sz w:val="18"/>
                <w:szCs w:val="18"/>
                <w:lang w:eastAsia="ja-JP"/>
              </w:rPr>
              <w:t>When this configuration is present, it configures a separate initial DL BWP for RedCap UEs including bandwidth and location [CORESET, search space, and other details FFS]. If the parameter is not present, RedCap UEs use the same SIB-configured initial DL BWP as non-RedCap UEs if it is not larger than the RedCap UE bandwidth, otherwise the RedCap UEs will continue using the MIB-configured initial DL BWP.</w:t>
            </w:r>
          </w:p>
        </w:tc>
        <w:tc>
          <w:tcPr>
            <w:tcW w:w="1264" w:type="dxa"/>
          </w:tcPr>
          <w:p>
            <w:pPr>
              <w:spacing w:after="120" w:afterLines="50" w:line="240" w:lineRule="auto"/>
              <w:rPr>
                <w:rFonts w:eastAsia="MS Mincho" w:cs="Arial"/>
                <w:sz w:val="18"/>
                <w:szCs w:val="18"/>
                <w:lang w:eastAsia="ja-JP"/>
              </w:rPr>
            </w:pPr>
            <w:r>
              <w:rPr>
                <w:rFonts w:eastAsia="MS Mincho" w:cs="Arial"/>
                <w:sz w:val="18"/>
                <w:szCs w:val="18"/>
                <w:lang w:eastAsia="ja-JP"/>
              </w:rPr>
              <w:t>FFS</w:t>
            </w:r>
          </w:p>
        </w:tc>
        <w:tc>
          <w:tcPr>
            <w:tcW w:w="1011"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882" w:type="dxa"/>
          </w:tcPr>
          <w:p>
            <w:pPr>
              <w:spacing w:after="120" w:afterLines="50" w:line="240" w:lineRule="auto"/>
              <w:rPr>
                <w:rFonts w:eastAsia="MS Mincho" w:cs="Arial"/>
                <w:sz w:val="18"/>
                <w:szCs w:val="18"/>
                <w:lang w:eastAsia="ja-JP"/>
              </w:rPr>
            </w:pPr>
            <w:r>
              <w:rPr>
                <w:rFonts w:eastAsia="MS Mincho" w:cs="Arial"/>
                <w:sz w:val="18"/>
                <w:szCs w:val="18"/>
                <w:lang w:eastAsia="ja-JP"/>
              </w:rPr>
              <w:t>Per cell</w:t>
            </w:r>
          </w:p>
        </w:tc>
        <w:tc>
          <w:tcPr>
            <w:tcW w:w="1199" w:type="dxa"/>
          </w:tcPr>
          <w:p>
            <w:pPr>
              <w:spacing w:after="120" w:afterLines="5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pPr>
              <w:spacing w:after="120" w:afterLines="50" w:line="240" w:lineRule="auto"/>
              <w:rPr>
                <w:rFonts w:eastAsia="MS Mincho" w:cs="Arial"/>
                <w:sz w:val="18"/>
                <w:szCs w:val="18"/>
                <w:lang w:eastAsia="ja-JP"/>
              </w:rPr>
            </w:pPr>
            <w:r>
              <w:rPr>
                <w:rFonts w:eastAsia="MS Mincho" w:cs="Arial"/>
                <w:sz w:val="18"/>
                <w:szCs w:val="18"/>
                <w:lang w:eastAsia="ja-JP"/>
              </w:rPr>
              <w:t>38.331</w:t>
            </w:r>
          </w:p>
        </w:tc>
        <w:tc>
          <w:tcPr>
            <w:tcW w:w="2119" w:type="dxa"/>
          </w:tcPr>
          <w:p>
            <w:pPr>
              <w:spacing w:after="120" w:afterLines="50" w:line="240" w:lineRule="auto"/>
              <w:rPr>
                <w:rFonts w:eastAsia="MS Mincho" w:cs="Arial"/>
                <w:sz w:val="18"/>
                <w:szCs w:val="18"/>
                <w:lang w:eastAsia="ja-JP"/>
              </w:rPr>
            </w:pPr>
            <w:r>
              <w:rPr>
                <w:rFonts w:eastAsia="MS Mincho" w:cs="Arial"/>
                <w:sz w:val="18"/>
                <w:szCs w:val="18"/>
                <w:lang w:eastAsia="ja-JP"/>
              </w:rPr>
              <w:t>See agreements and working assumptions listed in R1-2108271 section 1.</w:t>
            </w:r>
          </w:p>
        </w:tc>
      </w:tr>
    </w:tbl>
    <w:p>
      <w:pPr>
        <w:spacing w:after="120" w:afterLines="50" w:line="240" w:lineRule="auto"/>
        <w:jc w:val="both"/>
        <w:rPr>
          <w:rFonts w:ascii="Times New Roman" w:hAnsi="Times New Roman" w:eastAsia="MS Mincho" w:cs="Times New Roman"/>
          <w:szCs w:val="20"/>
          <w:lang w:val="en-GB" w:eastAsia="ja-JP"/>
        </w:rPr>
      </w:pPr>
    </w:p>
    <w:p>
      <w:pPr>
        <w:spacing w:after="120" w:afterLines="50" w:line="240" w:lineRule="auto"/>
        <w:jc w:val="both"/>
        <w:rPr>
          <w:rFonts w:ascii="Times New Roman" w:hAnsi="Times New Roman" w:eastAsia="MS Mincho" w:cs="Times New Roman"/>
          <w:b/>
          <w:bCs/>
          <w:szCs w:val="20"/>
          <w:lang w:val="en-GB" w:eastAsia="ja-JP"/>
        </w:rPr>
      </w:pPr>
      <w:r>
        <w:rPr>
          <w:rFonts w:ascii="Times New Roman" w:hAnsi="Times New Roman" w:eastAsia="MS Mincho" w:cs="Times New Roman"/>
          <w:b/>
          <w:bCs/>
          <w:szCs w:val="20"/>
          <w:lang w:val="en-GB" w:eastAsia="ja-JP"/>
        </w:rPr>
        <w:t>FL1 Question 3-1: Companies are invited to comment on the above parameter for initial DL BWP configuration.</w:t>
      </w:r>
    </w:p>
    <w:tbl>
      <w:tblPr>
        <w:tblStyle w:val="52"/>
        <w:tblW w:w="21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9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22" w:type="dxa"/>
            <w:shd w:val="clear" w:color="auto" w:fill="D8D8D8" w:themeFill="background1" w:themeFillShade="D9"/>
          </w:tcPr>
          <w:p>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8D8D8" w:themeFill="background1" w:themeFillShade="D9"/>
          </w:tcPr>
          <w:p>
            <w:pPr>
              <w:rPr>
                <w:rFonts w:ascii="Times New Roman" w:hAnsi="Times New Roman" w:cs="Times New Roman"/>
                <w:b/>
                <w:bCs/>
                <w:sz w:val="20"/>
                <w:szCs w:val="20"/>
              </w:rPr>
            </w:pPr>
            <w:r>
              <w:rPr>
                <w:rFonts w:ascii="Times New Roman" w:hAnsi="Times New Roman" w:cs="Times New Roman"/>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pPr>
              <w:rPr>
                <w:rFonts w:ascii="CourierNewPSMT" w:hAnsi="CourierNewPSMT"/>
                <w:i/>
                <w:color w:val="000000"/>
                <w:sz w:val="16"/>
                <w:szCs w:val="16"/>
              </w:rPr>
            </w:pPr>
            <w:r>
              <w:rPr>
                <w:rFonts w:ascii="Times New Roman" w:hAnsi="Times New Roman" w:cs="Times New Roman"/>
                <w:sz w:val="20"/>
                <w:szCs w:val="20"/>
                <w:lang w:eastAsia="ko-KR"/>
              </w:rPr>
              <w:t>Per the guidance in [5], add in column M of “</w:t>
            </w:r>
            <w:r>
              <w:rPr>
                <w:rStyle w:val="170"/>
              </w:rPr>
              <w:t xml:space="preserve">In </w:t>
            </w:r>
            <w:r>
              <w:rPr>
                <w:rFonts w:ascii="TimesNewRomanPS-ItalicMT" w:hAnsi="TimesNewRomanPS-ItalicMT"/>
                <w:iCs/>
                <w:color w:val="000000"/>
                <w:sz w:val="20"/>
                <w:szCs w:val="20"/>
              </w:rPr>
              <w:t>downlinkConfigCommon</w:t>
            </w:r>
            <w:r>
              <w:rPr>
                <w:rFonts w:ascii="Times New Roman" w:hAnsi="Times New Roman" w:cs="Times New Roman"/>
                <w:sz w:val="20"/>
                <w:szCs w:val="20"/>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19136" w:type="dxa"/>
          </w:tcPr>
          <w:p>
            <w:pPr>
              <w:spacing w:after="180" w:line="252" w:lineRule="auto"/>
              <w:contextualSpacing/>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w:t>
            </w:r>
            <w:r>
              <w:rPr>
                <w:rFonts w:ascii="Times New Roman" w:hAnsi="Times New Roman" w:eastAsia="等线" w:cs="Times New Roman"/>
                <w:sz w:val="20"/>
                <w:szCs w:val="20"/>
                <w:lang w:eastAsia="zh-CN"/>
              </w:rPr>
              <w:t xml:space="preserve">he consequence when the parameter is not configured should be discussed and decided first, especially when the </w:t>
            </w:r>
            <w:r>
              <w:rPr>
                <w:rFonts w:eastAsia="MS Mincho" w:cs="Arial"/>
                <w:sz w:val="18"/>
                <w:szCs w:val="18"/>
                <w:lang w:eastAsia="ja-JP"/>
              </w:rPr>
              <w:t xml:space="preserve">SIB-configured initial DL BWP for non-RedCap UEs is larger than the RedCap UE BW. </w:t>
            </w:r>
          </w:p>
          <w:p>
            <w:pPr>
              <w:spacing w:after="180" w:line="252" w:lineRule="auto"/>
              <w:contextualSpacing/>
              <w:rPr>
                <w:rFonts w:eastAsia="MS Mincho" w:cs="Arial"/>
                <w:sz w:val="18"/>
                <w:szCs w:val="18"/>
                <w:lang w:eastAsia="ja-JP"/>
              </w:rPr>
            </w:pPr>
            <w:r>
              <w:rPr>
                <w:rFonts w:hint="eastAsia" w:ascii="Times New Roman" w:hAnsi="Times New Roman" w:eastAsia="等线" w:cs="Times New Roman"/>
                <w:sz w:val="20"/>
                <w:szCs w:val="20"/>
                <w:lang w:eastAsia="zh-CN"/>
              </w:rPr>
              <w:t>T</w:t>
            </w:r>
            <w:r>
              <w:rPr>
                <w:rFonts w:ascii="Times New Roman" w:hAnsi="Times New Roman" w:eastAsia="等线" w:cs="Times New Roman"/>
                <w:sz w:val="20"/>
                <w:szCs w:val="20"/>
                <w:lang w:eastAsia="zh-CN"/>
              </w:rPr>
              <w:t>he behavior mentioned in the description is one possibility, i.e. “</w:t>
            </w:r>
            <w:r>
              <w:rPr>
                <w:rFonts w:eastAsia="MS Mincho" w:cs="Arial"/>
                <w:sz w:val="18"/>
                <w:szCs w:val="18"/>
                <w:lang w:eastAsia="ja-JP"/>
              </w:rPr>
              <w:t>If the parameter is not present, RedCap UEs use the same SIB-configured initial DL BWP as non-RedCap UEs if it is not larger than the RedCap UE bandwidth, otherwise the RedCap UEs will continue using the MIB-configured initial DL BWP.”</w:t>
            </w:r>
          </w:p>
          <w:p>
            <w:pPr>
              <w:spacing w:after="180" w:line="252" w:lineRule="auto"/>
              <w:contextualSpacing/>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w:t>
            </w:r>
            <w:r>
              <w:rPr>
                <w:rFonts w:ascii="Times New Roman" w:hAnsi="Times New Roman" w:eastAsia="等线" w:cs="Times New Roman"/>
                <w:sz w:val="20"/>
                <w:szCs w:val="20"/>
                <w:lang w:eastAsia="zh-CN"/>
              </w:rPr>
              <w:t xml:space="preserve">owever, there could be another possibilit, i.e. RedCap UEs are not supported in the cell if the parameter is not present and the </w:t>
            </w:r>
            <w:r>
              <w:rPr>
                <w:rFonts w:eastAsia="MS Mincho" w:cs="Arial"/>
                <w:sz w:val="18"/>
                <w:szCs w:val="18"/>
                <w:lang w:eastAsia="ja-JP"/>
              </w:rPr>
              <w:t>SIB-configured initial DL BWP for non-RedCap UEs is larger than the RedCap UE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Intel</w:t>
            </w:r>
          </w:p>
        </w:tc>
        <w:tc>
          <w:tcPr>
            <w:tcW w:w="19136" w:type="dxa"/>
          </w:tcPr>
          <w:p>
            <w:pPr>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We support the current version from the FL. </w:t>
            </w:r>
          </w:p>
          <w:p>
            <w:pPr>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To Vivo’s proposal, while technically feasible, we think it would be more important/useful to enable RedCap UEs to operate on the MIB-indicated CORESET #0 (i.e., ignore the locationAndBandwidth parameter for initial DL BWP via SIB1 if it exceeds max RedCap UE BW) when separate initial DL BWP for RedCap UEs may not be explicitly configured while still allow for larger BW for BWP #0 for non-RedCap UEs. Mechanisms for cell barring for RedCap UEs are anyway going to be in place, and further implicit indication mechanisms would be redundant.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cs="Times New Roman"/>
                <w:sz w:val="20"/>
                <w:szCs w:val="20"/>
                <w:lang w:eastAsia="ko-KR"/>
              </w:rPr>
            </w:pPr>
            <w:r>
              <w:rPr>
                <w:rFonts w:ascii="Times New Roman" w:hAnsi="Times New Roman" w:eastAsia="宋体" w:cs="Times New Roman"/>
                <w:sz w:val="20"/>
                <w:szCs w:val="20"/>
                <w:lang w:eastAsia="zh-CN"/>
              </w:rPr>
              <w:t>FUTUREWEI</w:t>
            </w:r>
          </w:p>
        </w:tc>
        <w:tc>
          <w:tcPr>
            <w:tcW w:w="19136" w:type="dxa"/>
          </w:tcPr>
          <w:p>
            <w:pPr>
              <w:rPr>
                <w:rFonts w:ascii="Times New Roman" w:hAnsi="Times New Roman" w:cs="Times New Roman"/>
                <w:sz w:val="20"/>
                <w:szCs w:val="20"/>
                <w:lang w:eastAsia="ko-KR"/>
              </w:rPr>
            </w:pPr>
            <w:r>
              <w:rPr>
                <w:rFonts w:ascii="Times New Roman" w:hAnsi="Times New Roman" w:eastAsia="宋体" w:cs="Times New Roman"/>
                <w:sz w:val="20"/>
                <w:szCs w:val="20"/>
                <w:lang w:eastAsia="zh-CN"/>
              </w:rPr>
              <w:t xml:space="preserve">Ok. Minor edit “RedCap UE </w:t>
            </w:r>
            <w:r>
              <w:rPr>
                <w:rFonts w:ascii="Times New Roman" w:hAnsi="Times New Roman" w:eastAsia="宋体" w:cs="Times New Roman"/>
                <w:color w:val="FF0000"/>
                <w:sz w:val="20"/>
                <w:szCs w:val="20"/>
                <w:lang w:eastAsia="zh-CN"/>
              </w:rPr>
              <w:t xml:space="preserve">maximum </w:t>
            </w:r>
            <w:r>
              <w:rPr>
                <w:rFonts w:ascii="Times New Roman" w:hAnsi="Times New Roman" w:eastAsia="宋体" w:cs="Times New Roman"/>
                <w:sz w:val="20"/>
                <w:szCs w:val="20"/>
                <w:lang w:eastAsia="zh-CN"/>
              </w:rPr>
              <w:t>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Times New Roman" w:hAnsi="Times New Roman" w:eastAsia="宋体" w:cs="Times New Roman"/>
                <w:sz w:val="20"/>
                <w:szCs w:val="20"/>
                <w:lang w:val="en-US" w:eastAsia="zh-CN" w:bidi="ar-SA"/>
              </w:rPr>
            </w:pPr>
            <w:r>
              <w:rPr>
                <w:rFonts w:hint="eastAsia" w:ascii="Times New Roman" w:hAnsi="Times New Roman" w:eastAsia="宋体" w:cs="Times New Roman"/>
                <w:sz w:val="20"/>
                <w:szCs w:val="20"/>
                <w:lang w:val="en-US" w:eastAsia="zh-CN"/>
              </w:rPr>
              <w:t>ZTE, Sanechips</w:t>
            </w:r>
          </w:p>
        </w:tc>
        <w:tc>
          <w:tcPr>
            <w:tcW w:w="19136" w:type="dxa"/>
            <w:vAlign w:val="top"/>
          </w:tcPr>
          <w:p>
            <w:pPr>
              <w:rPr>
                <w:rFonts w:hint="eastAsia" w:ascii="Times New Roman" w:hAnsi="Times New Roman" w:eastAsia="宋体" w:cs="Times New Roman"/>
                <w:sz w:val="20"/>
                <w:szCs w:val="20"/>
                <w:lang w:val="en-US" w:eastAsia="zh-CN" w:bidi="ar-SA"/>
              </w:rPr>
            </w:pPr>
            <w:r>
              <w:rPr>
                <w:rFonts w:hint="eastAsia" w:ascii="Times New Roman" w:hAnsi="Times New Roman" w:eastAsia="宋体" w:cs="Times New Roman"/>
                <w:sz w:val="20"/>
                <w:szCs w:val="20"/>
                <w:lang w:val="en-US" w:eastAsia="zh-CN"/>
              </w:rPr>
              <w:t xml:space="preserve">Agree with the comment from Intel. Additionally, two </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if</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 xml:space="preserve"> in the description would be a little vague for the </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otherwise</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 xml:space="preserve">. The following is suggested </w:t>
            </w:r>
            <w:r>
              <w:rPr>
                <w:rFonts w:hint="default" w:ascii="Times New Roman" w:hAnsi="Times New Roman" w:eastAsia="宋体" w:cs="Times New Roman"/>
                <w:sz w:val="20"/>
                <w:szCs w:val="20"/>
                <w:lang w:val="en-US" w:eastAsia="zh-CN"/>
              </w:rPr>
              <w:t>‘</w:t>
            </w:r>
            <w:r>
              <w:rPr>
                <w:rFonts w:eastAsia="MS Mincho" w:cs="Arial"/>
                <w:strike/>
                <w:dstrike w:val="0"/>
                <w:sz w:val="18"/>
                <w:szCs w:val="18"/>
                <w:lang w:eastAsia="ja-JP"/>
              </w:rPr>
              <w:t>If</w:t>
            </w:r>
            <w:r>
              <w:rPr>
                <w:rFonts w:hint="eastAsia" w:eastAsia="宋体" w:cs="Arial"/>
                <w:strike/>
                <w:dstrike w:val="0"/>
                <w:sz w:val="18"/>
                <w:szCs w:val="18"/>
                <w:lang w:val="en-US" w:eastAsia="zh-CN"/>
              </w:rPr>
              <w:t xml:space="preserve"> </w:t>
            </w:r>
            <w:r>
              <w:rPr>
                <w:rFonts w:hint="eastAsia" w:eastAsia="宋体" w:cs="Arial"/>
                <w:strike w:val="0"/>
                <w:dstrike w:val="0"/>
                <w:color w:val="FF0000"/>
                <w:sz w:val="18"/>
                <w:szCs w:val="18"/>
                <w:lang w:val="en-US" w:eastAsia="zh-CN"/>
              </w:rPr>
              <w:t>when</w:t>
            </w:r>
            <w:r>
              <w:rPr>
                <w:rFonts w:eastAsia="MS Mincho" w:cs="Arial"/>
                <w:sz w:val="18"/>
                <w:szCs w:val="18"/>
                <w:lang w:eastAsia="ja-JP"/>
              </w:rPr>
              <w:t xml:space="preserve"> the parameter is not present,</w:t>
            </w:r>
            <w:r>
              <w:rPr>
                <w:rFonts w:hint="default" w:eastAsia="宋体" w:cs="Arial"/>
                <w:sz w:val="18"/>
                <w:szCs w:val="18"/>
                <w:lang w:val="en-US" w:eastAsia="zh-CN"/>
              </w:rPr>
              <w:t>’</w:t>
            </w:r>
          </w:p>
        </w:tc>
      </w:tr>
    </w:tbl>
    <w:p>
      <w:pPr>
        <w:spacing w:after="120" w:afterLines="50" w:line="240" w:lineRule="auto"/>
        <w:jc w:val="both"/>
        <w:rPr>
          <w:rFonts w:ascii="Times New Roman" w:hAnsi="Times New Roman" w:eastAsia="MS Mincho" w:cs="Times New Roman"/>
          <w:szCs w:val="20"/>
          <w:lang w:val="en-GB" w:eastAsia="ja-JP"/>
        </w:rPr>
      </w:pPr>
    </w:p>
    <w:p>
      <w:pPr>
        <w:pStyle w:val="2"/>
      </w:pPr>
      <w:r>
        <w:t>4</w:t>
      </w:r>
      <w:r>
        <w:tab/>
      </w:r>
      <w:r>
        <w:t>Initial UL BWP configuration</w:t>
      </w:r>
    </w:p>
    <w:p>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1043"/>
        <w:gridCol w:w="1325"/>
        <w:gridCol w:w="900"/>
        <w:gridCol w:w="1277"/>
        <w:gridCol w:w="1110"/>
        <w:gridCol w:w="1256"/>
        <w:gridCol w:w="1047"/>
        <w:gridCol w:w="1675"/>
        <w:gridCol w:w="2676"/>
        <w:gridCol w:w="1264"/>
        <w:gridCol w:w="1011"/>
        <w:gridCol w:w="916"/>
        <w:gridCol w:w="1199"/>
        <w:gridCol w:w="1338"/>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27" w:type="dxa"/>
          </w:tcPr>
          <w:p>
            <w:pPr>
              <w:spacing w:after="120" w:afterLines="5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1127" w:type="dxa"/>
          </w:tcPr>
          <w:p>
            <w:pPr>
              <w:spacing w:after="120" w:afterLines="50" w:line="240" w:lineRule="auto"/>
              <w:rPr>
                <w:rFonts w:eastAsia="MS Mincho" w:cs="Arial"/>
                <w:sz w:val="18"/>
                <w:szCs w:val="18"/>
                <w:lang w:eastAsia="ja-JP"/>
              </w:rPr>
            </w:pPr>
            <w:r>
              <w:rPr>
                <w:rFonts w:eastAsia="MS Mincho" w:cs="Arial"/>
                <w:sz w:val="18"/>
                <w:szCs w:val="18"/>
                <w:lang w:eastAsia="ja-JP"/>
              </w:rPr>
              <w:t>NR_redcap</w:t>
            </w:r>
          </w:p>
        </w:tc>
        <w:tc>
          <w:tcPr>
            <w:tcW w:w="1043" w:type="dxa"/>
          </w:tcPr>
          <w:p>
            <w:pPr>
              <w:spacing w:after="120" w:afterLines="50" w:line="240" w:lineRule="auto"/>
              <w:rPr>
                <w:rFonts w:eastAsia="MS Mincho" w:cs="Arial"/>
                <w:sz w:val="18"/>
                <w:szCs w:val="18"/>
                <w:lang w:eastAsia="ja-JP"/>
              </w:rPr>
            </w:pPr>
            <w:r>
              <w:rPr>
                <w:rFonts w:eastAsia="MS Mincho" w:cs="Arial"/>
                <w:sz w:val="18"/>
                <w:szCs w:val="18"/>
                <w:lang w:eastAsia="ja-JP"/>
              </w:rPr>
              <w:t>RedCap UE</w:t>
            </w:r>
          </w:p>
        </w:tc>
        <w:tc>
          <w:tcPr>
            <w:tcW w:w="1325" w:type="dxa"/>
          </w:tcPr>
          <w:p>
            <w:pPr>
              <w:spacing w:after="120" w:afterLines="50" w:line="240" w:lineRule="auto"/>
              <w:rPr>
                <w:rFonts w:eastAsia="MS Mincho" w:cs="Arial"/>
                <w:sz w:val="18"/>
                <w:szCs w:val="18"/>
                <w:lang w:eastAsia="ja-JP"/>
              </w:rPr>
            </w:pPr>
            <w:r>
              <w:rPr>
                <w:rFonts w:eastAsia="MS Mincho" w:cs="Arial"/>
                <w:sz w:val="18"/>
                <w:szCs w:val="18"/>
                <w:lang w:eastAsia="ja-JP"/>
              </w:rPr>
              <w:t>3</w:t>
            </w:r>
          </w:p>
          <w:p>
            <w:pPr>
              <w:spacing w:after="120" w:afterLines="50" w:line="240" w:lineRule="auto"/>
              <w:rPr>
                <w:rFonts w:eastAsia="MS Mincho" w:cs="Arial"/>
                <w:sz w:val="18"/>
                <w:szCs w:val="18"/>
                <w:lang w:eastAsia="ja-JP"/>
              </w:rPr>
            </w:pPr>
            <w:r>
              <w:rPr>
                <w:rFonts w:eastAsia="MS Mincho" w:cs="Arial"/>
                <w:sz w:val="18"/>
                <w:szCs w:val="18"/>
                <w:lang w:eastAsia="ja-JP"/>
              </w:rPr>
              <w:t>8.213</w:t>
            </w:r>
          </w:p>
        </w:tc>
        <w:tc>
          <w:tcPr>
            <w:tcW w:w="900"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1277"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1110"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1256"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1047" w:type="dxa"/>
          </w:tcPr>
          <w:p>
            <w:pPr>
              <w:spacing w:after="120" w:afterLines="50" w:line="240" w:lineRule="auto"/>
              <w:rPr>
                <w:rFonts w:eastAsia="MS Mincho" w:cs="Arial"/>
                <w:sz w:val="18"/>
                <w:szCs w:val="18"/>
                <w:lang w:eastAsia="ja-JP"/>
              </w:rPr>
            </w:pPr>
            <w:r>
              <w:rPr>
                <w:rFonts w:eastAsia="MS Mincho" w:cs="Arial"/>
                <w:sz w:val="18"/>
                <w:szCs w:val="18"/>
                <w:lang w:eastAsia="ja-JP"/>
              </w:rPr>
              <w:t>New</w:t>
            </w:r>
          </w:p>
        </w:tc>
        <w:tc>
          <w:tcPr>
            <w:tcW w:w="1675" w:type="dxa"/>
          </w:tcPr>
          <w:p>
            <w:pPr>
              <w:spacing w:after="120" w:afterLines="50" w:line="240" w:lineRule="auto"/>
              <w:rPr>
                <w:rFonts w:eastAsia="MS Mincho" w:cs="Arial"/>
                <w:sz w:val="18"/>
                <w:szCs w:val="18"/>
                <w:lang w:eastAsia="ja-JP"/>
              </w:rPr>
            </w:pPr>
            <w:r>
              <w:rPr>
                <w:rFonts w:eastAsia="MS Mincho" w:cs="Arial"/>
                <w:sz w:val="18"/>
                <w:szCs w:val="18"/>
                <w:lang w:eastAsia="ja-JP"/>
              </w:rPr>
              <w:t>[RedCap-specific initial UL BWP configuration]</w:t>
            </w:r>
          </w:p>
        </w:tc>
        <w:tc>
          <w:tcPr>
            <w:tcW w:w="2676" w:type="dxa"/>
          </w:tcPr>
          <w:p>
            <w:pPr>
              <w:spacing w:after="120" w:afterLines="50" w:line="240" w:lineRule="auto"/>
              <w:rPr>
                <w:rFonts w:eastAsia="MS Mincho" w:cs="Arial"/>
                <w:sz w:val="18"/>
                <w:szCs w:val="18"/>
                <w:lang w:eastAsia="ja-JP"/>
              </w:rPr>
            </w:pPr>
            <w:r>
              <w:rPr>
                <w:rFonts w:eastAsia="MS Mincho" w:cs="Arial"/>
                <w:sz w:val="18"/>
                <w:szCs w:val="18"/>
                <w:lang w:eastAsia="ja-JP"/>
              </w:rPr>
              <w:t>When this configuration is present, it configures a separate initial UL BWP for RedCap UEs including bandwidth and location [details FFS]. If the parameter is not present, RedCap UEs use the same initial UL BWP as non-RedCap UEs.</w:t>
            </w:r>
          </w:p>
        </w:tc>
        <w:tc>
          <w:tcPr>
            <w:tcW w:w="1264" w:type="dxa"/>
          </w:tcPr>
          <w:p>
            <w:pPr>
              <w:spacing w:after="120" w:afterLines="50" w:line="240" w:lineRule="auto"/>
              <w:rPr>
                <w:rFonts w:eastAsia="MS Mincho" w:cs="Arial"/>
                <w:sz w:val="18"/>
                <w:szCs w:val="18"/>
                <w:lang w:eastAsia="ja-JP"/>
              </w:rPr>
            </w:pPr>
            <w:r>
              <w:rPr>
                <w:rFonts w:eastAsia="MS Mincho" w:cs="Arial"/>
                <w:sz w:val="18"/>
                <w:szCs w:val="18"/>
                <w:lang w:eastAsia="ja-JP"/>
              </w:rPr>
              <w:t>FFS</w:t>
            </w:r>
          </w:p>
        </w:tc>
        <w:tc>
          <w:tcPr>
            <w:tcW w:w="1011"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882" w:type="dxa"/>
          </w:tcPr>
          <w:p>
            <w:pPr>
              <w:spacing w:after="120" w:afterLines="50" w:line="240" w:lineRule="auto"/>
              <w:rPr>
                <w:rFonts w:eastAsia="MS Mincho" w:cs="Arial"/>
                <w:sz w:val="18"/>
                <w:szCs w:val="18"/>
                <w:lang w:eastAsia="ja-JP"/>
              </w:rPr>
            </w:pPr>
            <w:r>
              <w:rPr>
                <w:rFonts w:eastAsia="MS Mincho" w:cs="Arial"/>
                <w:sz w:val="18"/>
                <w:szCs w:val="18"/>
                <w:lang w:eastAsia="ja-JP"/>
              </w:rPr>
              <w:t>Per cell</w:t>
            </w:r>
          </w:p>
        </w:tc>
        <w:tc>
          <w:tcPr>
            <w:tcW w:w="1199" w:type="dxa"/>
          </w:tcPr>
          <w:p>
            <w:pPr>
              <w:spacing w:after="120" w:afterLines="5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pPr>
              <w:spacing w:after="120" w:afterLines="50" w:line="240" w:lineRule="auto"/>
              <w:rPr>
                <w:rFonts w:eastAsia="MS Mincho" w:cs="Arial"/>
                <w:sz w:val="18"/>
                <w:szCs w:val="18"/>
                <w:lang w:eastAsia="ja-JP"/>
              </w:rPr>
            </w:pPr>
            <w:r>
              <w:rPr>
                <w:rFonts w:eastAsia="MS Mincho" w:cs="Arial"/>
                <w:sz w:val="18"/>
                <w:szCs w:val="18"/>
                <w:lang w:eastAsia="ja-JP"/>
              </w:rPr>
              <w:t>38.331</w:t>
            </w:r>
          </w:p>
        </w:tc>
        <w:tc>
          <w:tcPr>
            <w:tcW w:w="2119" w:type="dxa"/>
          </w:tcPr>
          <w:p>
            <w:pPr>
              <w:spacing w:after="120" w:afterLines="50" w:line="240" w:lineRule="auto"/>
              <w:rPr>
                <w:rFonts w:eastAsia="MS Mincho" w:cs="Arial"/>
                <w:sz w:val="18"/>
                <w:szCs w:val="18"/>
                <w:lang w:eastAsia="ja-JP"/>
              </w:rPr>
            </w:pPr>
            <w:r>
              <w:rPr>
                <w:rFonts w:eastAsia="MS Mincho" w:cs="Arial"/>
                <w:sz w:val="18"/>
                <w:szCs w:val="18"/>
                <w:lang w:eastAsia="ja-JP"/>
              </w:rPr>
              <w:t>See agreements and working assumptions listed in R1-2108271 section 1.</w:t>
            </w:r>
            <w:r>
              <w:rPr>
                <w:rFonts w:eastAsia="MS Mincho" w:cs="Arial"/>
                <w:sz w:val="18"/>
                <w:szCs w:val="18"/>
                <w:lang w:eastAsia="ja-JP"/>
              </w:rPr>
              <w:br w:type="textWrapping"/>
            </w:r>
            <w:r>
              <w:rPr>
                <w:rFonts w:eastAsia="MS Mincho" w:cs="Arial"/>
                <w:sz w:val="18"/>
                <w:szCs w:val="18"/>
                <w:lang w:eastAsia="ja-JP"/>
              </w:rPr>
              <w:br w:type="textWrapping"/>
            </w:r>
            <w:r>
              <w:rPr>
                <w:rFonts w:eastAsia="MS Mincho" w:cs="Arial"/>
                <w:sz w:val="18"/>
                <w:szCs w:val="18"/>
                <w:lang w:eastAsia="ja-JP"/>
              </w:rPr>
              <w:t>Note: The relation between [RedCap-specific PRACH configuration] and [RedCap-specific initial UL BWP configuration] may need further discussion.</w:t>
            </w:r>
          </w:p>
        </w:tc>
      </w:tr>
    </w:tbl>
    <w:p>
      <w:pPr>
        <w:spacing w:after="120" w:afterLines="50" w:line="240" w:lineRule="auto"/>
        <w:jc w:val="both"/>
        <w:rPr>
          <w:rFonts w:ascii="Times New Roman" w:hAnsi="Times New Roman" w:eastAsia="MS Mincho" w:cs="Times New Roman"/>
          <w:szCs w:val="20"/>
          <w:lang w:val="en-GB" w:eastAsia="ja-JP"/>
        </w:rPr>
      </w:pPr>
    </w:p>
    <w:p>
      <w:pPr>
        <w:spacing w:after="120" w:afterLines="50" w:line="240" w:lineRule="auto"/>
        <w:jc w:val="both"/>
        <w:rPr>
          <w:rFonts w:ascii="Times New Roman" w:hAnsi="Times New Roman" w:eastAsia="MS Mincho" w:cs="Times New Roman"/>
          <w:b/>
          <w:bCs/>
          <w:szCs w:val="20"/>
          <w:lang w:val="en-GB" w:eastAsia="ja-JP"/>
        </w:rPr>
      </w:pPr>
      <w:r>
        <w:rPr>
          <w:rFonts w:ascii="Times New Roman" w:hAnsi="Times New Roman" w:eastAsia="MS Mincho" w:cs="Times New Roman"/>
          <w:b/>
          <w:bCs/>
          <w:szCs w:val="20"/>
          <w:lang w:val="en-GB" w:eastAsia="ja-JP"/>
        </w:rPr>
        <w:t>FL1 Question 4-1: Companies are invited to comment on the above parameter for initial UL BWP configuration.</w:t>
      </w:r>
    </w:p>
    <w:tbl>
      <w:tblPr>
        <w:tblStyle w:val="52"/>
        <w:tblW w:w="21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9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22" w:type="dxa"/>
            <w:shd w:val="clear" w:color="auto" w:fill="D8D8D8" w:themeFill="background1" w:themeFillShade="D9"/>
          </w:tcPr>
          <w:p>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8D8D8" w:themeFill="background1" w:themeFillShade="D9"/>
          </w:tcPr>
          <w:p>
            <w:pPr>
              <w:rPr>
                <w:rFonts w:ascii="Times New Roman" w:hAnsi="Times New Roman" w:cs="Times New Roman"/>
                <w:b/>
                <w:bCs/>
                <w:sz w:val="20"/>
                <w:szCs w:val="20"/>
              </w:rPr>
            </w:pPr>
            <w:r>
              <w:rPr>
                <w:rFonts w:ascii="Times New Roman" w:hAnsi="Times New Roman" w:cs="Times New Roman"/>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pPr>
              <w:rPr>
                <w:rFonts w:ascii="Times New Roman" w:hAnsi="Times New Roman" w:cs="Times New Roman"/>
                <w:sz w:val="20"/>
                <w:szCs w:val="20"/>
                <w:lang w:eastAsia="ko-KR"/>
              </w:rPr>
            </w:pPr>
            <w:r>
              <w:rPr>
                <w:rFonts w:ascii="Times New Roman" w:hAnsi="Times New Roman" w:cs="Times New Roman"/>
                <w:sz w:val="20"/>
                <w:szCs w:val="20"/>
                <w:lang w:eastAsia="ko-KR"/>
              </w:rPr>
              <w:t>Per the guidance in [5], add in column M of “</w:t>
            </w:r>
            <w:r>
              <w:rPr>
                <w:rStyle w:val="170"/>
              </w:rPr>
              <w:t>In UplinkConfigCommon</w:t>
            </w:r>
            <w:r>
              <w:rPr>
                <w:rFonts w:ascii="Times New Roman" w:hAnsi="Times New Roman" w:cs="Times New Roman"/>
                <w:sz w:val="20"/>
                <w:szCs w:val="20"/>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19136" w:type="dxa"/>
          </w:tcPr>
          <w:p>
            <w:pPr>
              <w:spacing w:after="180" w:line="252" w:lineRule="auto"/>
              <w:contextualSpacing/>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Revise the description part as the following</w:t>
            </w:r>
          </w:p>
          <w:p>
            <w:pPr>
              <w:spacing w:after="180" w:line="252" w:lineRule="auto"/>
              <w:contextualSpacing/>
              <w:rPr>
                <w:rFonts w:ascii="Times New Roman" w:hAnsi="Times New Roman" w:eastAsia="等线" w:cs="Times New Roman"/>
                <w:sz w:val="20"/>
                <w:szCs w:val="20"/>
                <w:lang w:eastAsia="zh-CN"/>
              </w:rPr>
            </w:pPr>
            <w:r>
              <w:rPr>
                <w:rFonts w:eastAsia="MS Mincho" w:cs="Arial"/>
                <w:sz w:val="18"/>
                <w:szCs w:val="18"/>
                <w:lang w:eastAsia="ja-JP"/>
              </w:rPr>
              <w:t>If the parameter is not present, RedCap UEs use the same initial UL BWP as non-RedCap UEs.</w:t>
            </w:r>
            <w:r>
              <w:rPr>
                <w:rFonts w:eastAsia="MS Mincho" w:cs="Arial"/>
                <w:color w:val="FF0000"/>
                <w:sz w:val="18"/>
                <w:szCs w:val="18"/>
                <w:u w:val="single"/>
                <w:lang w:eastAsia="ja-JP"/>
              </w:rPr>
              <w:t xml:space="preserve">if the initial UL BWP does not exceed the RedCap UE BW, otherwise, RedCap UEs are not supported in the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Intel</w:t>
            </w:r>
          </w:p>
        </w:tc>
        <w:tc>
          <w:tcPr>
            <w:tcW w:w="19136" w:type="dxa"/>
          </w:tcPr>
          <w:p>
            <w:pPr>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Similar to the case of initial DL BWP, we do not think that an implicit mechanism for cell barring via SIB1 is necessary – it would be redundant to cell barring mechanisms that are likely to be broadcasted via SIB1 as well. Hence, we support the original version from the 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cs="Times New Roman"/>
                <w:sz w:val="20"/>
                <w:szCs w:val="20"/>
                <w:lang w:eastAsia="ko-KR"/>
              </w:rPr>
            </w:pPr>
            <w:r>
              <w:rPr>
                <w:rFonts w:ascii="Times New Roman" w:hAnsi="Times New Roman" w:eastAsia="宋体" w:cs="Times New Roman"/>
                <w:sz w:val="20"/>
                <w:szCs w:val="20"/>
                <w:lang w:eastAsia="zh-CN"/>
              </w:rPr>
              <w:t>FUTUREWEI</w:t>
            </w:r>
          </w:p>
        </w:tc>
        <w:tc>
          <w:tcPr>
            <w:tcW w:w="19136" w:type="dxa"/>
          </w:tcPr>
          <w:p>
            <w:pPr>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Editorial (remove the newline in the third column between the “3” and “8”</w:t>
            </w:r>
          </w:p>
          <w:p>
            <w:pPr>
              <w:rPr>
                <w:rFonts w:ascii="Times New Roman" w:hAnsi="Times New Roman" w:cs="Times New Roman"/>
                <w:sz w:val="20"/>
                <w:szCs w:val="20"/>
                <w:lang w:eastAsia="ko-KR"/>
              </w:rPr>
            </w:pPr>
            <w:r>
              <w:rPr>
                <w:rFonts w:ascii="Times New Roman" w:hAnsi="Times New Roman" w:eastAsia="宋体" w:cs="Times New Roman"/>
                <w:sz w:val="20"/>
                <w:szCs w:val="20"/>
                <w:lang w:eastAsia="zh-CN"/>
              </w:rPr>
              <w:t>“If the parameter is not present, RedCap UEs use the same initial UL BWP as non-RedCap UEs</w:t>
            </w:r>
            <w:r>
              <w:rPr>
                <w:rFonts w:ascii="Times New Roman" w:hAnsi="Times New Roman" w:eastAsia="宋体" w:cs="Times New Roman"/>
                <w:color w:val="FF0000"/>
                <w:sz w:val="20"/>
                <w:szCs w:val="20"/>
                <w:lang w:eastAsia="zh-CN"/>
              </w:rPr>
              <w:t xml:space="preserve"> if the initial UL BWP does not exceed the RedCap UE maximum BW</w:t>
            </w:r>
            <w:r>
              <w:rPr>
                <w:rFonts w:ascii="Times New Roman" w:hAnsi="Times New Roman" w:eastAsia="宋体"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Times New Roman" w:hAnsi="Times New Roman" w:eastAsia="宋体" w:cs="Times New Roman"/>
                <w:sz w:val="20"/>
                <w:szCs w:val="20"/>
                <w:lang w:val="en-US" w:eastAsia="zh-CN" w:bidi="ar-SA"/>
              </w:rPr>
            </w:pPr>
            <w:r>
              <w:rPr>
                <w:rFonts w:hint="eastAsia" w:ascii="Times New Roman" w:hAnsi="Times New Roman" w:eastAsia="宋体" w:cs="Times New Roman"/>
                <w:sz w:val="20"/>
                <w:szCs w:val="20"/>
                <w:lang w:val="en-US" w:eastAsia="zh-CN"/>
              </w:rPr>
              <w:t>ZTE, Sanechips</w:t>
            </w:r>
          </w:p>
        </w:tc>
        <w:tc>
          <w:tcPr>
            <w:tcW w:w="19136" w:type="dxa"/>
            <w:vAlign w:val="top"/>
          </w:tcPr>
          <w:p>
            <w:pP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Similar understanding with Intel regarding the cell barring. Additionally, the case that when the parameter is not present and legacy </w:t>
            </w:r>
            <w:r>
              <w:rPr>
                <w:rFonts w:hint="eastAsia" w:ascii="Times New Roman" w:hAnsi="Times New Roman" w:eastAsia="宋体" w:cs="Times New Roman"/>
                <w:sz w:val="20"/>
                <w:szCs w:val="20"/>
                <w:lang w:val="en-US" w:eastAsia="ja-JP"/>
              </w:rPr>
              <w:t xml:space="preserve">initial UL BWP </w:t>
            </w:r>
            <w:r>
              <w:rPr>
                <w:rFonts w:hint="eastAsia" w:ascii="Times New Roman" w:hAnsi="Times New Roman" w:eastAsia="宋体" w:cs="Times New Roman"/>
                <w:sz w:val="20"/>
                <w:szCs w:val="20"/>
                <w:lang w:val="en-US" w:eastAsia="zh-CN"/>
              </w:rPr>
              <w:t xml:space="preserve">is </w:t>
            </w:r>
            <w:r>
              <w:rPr>
                <w:rFonts w:hint="eastAsia" w:ascii="Times New Roman" w:hAnsi="Times New Roman" w:eastAsia="宋体" w:cs="Times New Roman"/>
                <w:sz w:val="20"/>
                <w:szCs w:val="20"/>
                <w:lang w:val="en-US" w:eastAsia="ja-JP"/>
              </w:rPr>
              <w:t>larger than the RedCap UE bandwidth</w:t>
            </w:r>
            <w:r>
              <w:rPr>
                <w:rFonts w:hint="eastAsia" w:ascii="Times New Roman" w:hAnsi="Times New Roman" w:eastAsia="宋体" w:cs="Times New Roman"/>
                <w:sz w:val="20"/>
                <w:szCs w:val="20"/>
                <w:lang w:val="en-US" w:eastAsia="zh-CN"/>
              </w:rPr>
              <w:t>, need to be addressed. Therefore, it is suggested to add the following wording in the description column:</w:t>
            </w:r>
          </w:p>
          <w:p>
            <w:pPr>
              <w:rPr>
                <w:rFonts w:hint="default" w:ascii="Times New Roman" w:hAnsi="Times New Roman" w:eastAsia="宋体" w:cs="Times New Roman"/>
                <w:sz w:val="20"/>
                <w:szCs w:val="20"/>
                <w:lang w:val="en-US" w:eastAsia="zh-CN" w:bidi="ar-SA"/>
              </w:rPr>
            </w:pPr>
            <w:r>
              <w:rPr>
                <w:rFonts w:ascii="Times New Roman" w:hAnsi="Times New Roman" w:eastAsia="宋体" w:cs="Times New Roman"/>
                <w:sz w:val="20"/>
                <w:szCs w:val="20"/>
                <w:lang w:eastAsia="zh-CN"/>
              </w:rPr>
              <w:t>“If the parameter is not present, RedCap UEs use the same initial UL BWP as non-RedCap UEs</w:t>
            </w:r>
            <w:r>
              <w:rPr>
                <w:rFonts w:hint="eastAsia" w:ascii="Times New Roman" w:hAnsi="Times New Roman" w:eastAsia="宋体" w:cs="Times New Roman"/>
                <w:sz w:val="20"/>
                <w:szCs w:val="20"/>
                <w:lang w:val="en-US" w:eastAsia="zh-CN"/>
              </w:rPr>
              <w:t>.</w:t>
            </w:r>
            <w:r>
              <w:rPr>
                <w:rFonts w:ascii="Times New Roman" w:hAnsi="Times New Roman" w:eastAsia="宋体" w:cs="Times New Roman"/>
                <w:color w:val="FF0000"/>
                <w:sz w:val="20"/>
                <w:szCs w:val="20"/>
                <w:lang w:eastAsia="zh-CN"/>
              </w:rPr>
              <w:t xml:space="preserve"> </w:t>
            </w:r>
            <w:r>
              <w:rPr>
                <w:rFonts w:hint="eastAsia" w:ascii="Times New Roman" w:hAnsi="Times New Roman" w:eastAsia="宋体" w:cs="Times New Roman"/>
                <w:color w:val="FF0000"/>
                <w:sz w:val="20"/>
                <w:szCs w:val="20"/>
                <w:lang w:val="en-US" w:eastAsia="zh-CN"/>
              </w:rPr>
              <w:t>I</w:t>
            </w:r>
            <w:r>
              <w:rPr>
                <w:rFonts w:ascii="Times New Roman" w:hAnsi="Times New Roman" w:eastAsia="宋体" w:cs="Times New Roman"/>
                <w:color w:val="FF0000"/>
                <w:sz w:val="20"/>
                <w:szCs w:val="20"/>
                <w:lang w:eastAsia="zh-CN"/>
              </w:rPr>
              <w:t>f the initial UL BWP exceed the RedCap UE maximum BW</w:t>
            </w:r>
            <w:r>
              <w:rPr>
                <w:rFonts w:hint="eastAsia" w:ascii="Times New Roman" w:hAnsi="Times New Roman" w:eastAsia="宋体" w:cs="Times New Roman"/>
                <w:color w:val="FF0000"/>
                <w:sz w:val="20"/>
                <w:szCs w:val="20"/>
                <w:lang w:val="en-US" w:eastAsia="zh-CN"/>
              </w:rPr>
              <w:t>, the parameter should be present</w:t>
            </w:r>
            <w:r>
              <w:rPr>
                <w:rFonts w:ascii="Times New Roman" w:hAnsi="Times New Roman" w:eastAsia="宋体" w:cs="Times New Roman"/>
                <w:sz w:val="20"/>
                <w:szCs w:val="20"/>
                <w:lang w:eastAsia="zh-CN"/>
              </w:rPr>
              <w:t>.</w:t>
            </w:r>
            <w:r>
              <w:rPr>
                <w:rFonts w:hint="default" w:ascii="Times New Roman" w:hAnsi="Times New Roman" w:eastAsia="宋体" w:cs="Times New Roman"/>
                <w:sz w:val="20"/>
                <w:szCs w:val="20"/>
                <w:lang w:val="en-US" w:eastAsia="zh-CN"/>
              </w:rPr>
              <w:t>”</w:t>
            </w:r>
          </w:p>
        </w:tc>
      </w:tr>
    </w:tbl>
    <w:p>
      <w:pPr>
        <w:spacing w:after="120" w:afterLines="50" w:line="240" w:lineRule="auto"/>
        <w:jc w:val="both"/>
        <w:rPr>
          <w:rFonts w:ascii="Times New Roman" w:hAnsi="Times New Roman" w:eastAsia="MS Mincho" w:cs="Times New Roman"/>
          <w:szCs w:val="20"/>
          <w:lang w:val="en-GB" w:eastAsia="ja-JP"/>
        </w:rPr>
      </w:pPr>
    </w:p>
    <w:p>
      <w:pPr>
        <w:pStyle w:val="2"/>
      </w:pPr>
      <w:r>
        <w:t>5</w:t>
      </w:r>
      <w:r>
        <w:tab/>
      </w:r>
      <w:r>
        <w:t>PUCCH configuration</w:t>
      </w:r>
    </w:p>
    <w:p>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1043"/>
        <w:gridCol w:w="1325"/>
        <w:gridCol w:w="900"/>
        <w:gridCol w:w="1277"/>
        <w:gridCol w:w="1110"/>
        <w:gridCol w:w="1256"/>
        <w:gridCol w:w="1047"/>
        <w:gridCol w:w="1675"/>
        <w:gridCol w:w="2676"/>
        <w:gridCol w:w="1264"/>
        <w:gridCol w:w="1011"/>
        <w:gridCol w:w="916"/>
        <w:gridCol w:w="1199"/>
        <w:gridCol w:w="1338"/>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27" w:type="dxa"/>
          </w:tcPr>
          <w:p>
            <w:pPr>
              <w:spacing w:after="120" w:afterLines="5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127" w:type="dxa"/>
          </w:tcPr>
          <w:p>
            <w:pPr>
              <w:spacing w:after="120" w:afterLines="50" w:line="240" w:lineRule="auto"/>
              <w:rPr>
                <w:rFonts w:eastAsia="MS Mincho" w:cs="Arial"/>
                <w:sz w:val="18"/>
                <w:szCs w:val="18"/>
                <w:lang w:eastAsia="ja-JP"/>
              </w:rPr>
            </w:pPr>
            <w:r>
              <w:rPr>
                <w:rFonts w:eastAsia="MS Mincho" w:cs="Arial"/>
                <w:sz w:val="18"/>
                <w:szCs w:val="18"/>
                <w:lang w:eastAsia="ja-JP"/>
              </w:rPr>
              <w:t>NR_redcap</w:t>
            </w:r>
          </w:p>
        </w:tc>
        <w:tc>
          <w:tcPr>
            <w:tcW w:w="1043" w:type="dxa"/>
          </w:tcPr>
          <w:p>
            <w:pPr>
              <w:spacing w:after="120" w:afterLines="50" w:line="240" w:lineRule="auto"/>
              <w:rPr>
                <w:rFonts w:eastAsia="MS Mincho" w:cs="Arial"/>
                <w:sz w:val="18"/>
                <w:szCs w:val="18"/>
                <w:lang w:eastAsia="ja-JP"/>
              </w:rPr>
            </w:pPr>
            <w:r>
              <w:rPr>
                <w:rFonts w:eastAsia="MS Mincho" w:cs="Arial"/>
                <w:sz w:val="18"/>
                <w:szCs w:val="18"/>
                <w:lang w:eastAsia="ja-JP"/>
              </w:rPr>
              <w:t>RedCap UE</w:t>
            </w:r>
          </w:p>
        </w:tc>
        <w:tc>
          <w:tcPr>
            <w:tcW w:w="1325" w:type="dxa"/>
          </w:tcPr>
          <w:p>
            <w:pPr>
              <w:spacing w:after="120" w:afterLines="50" w:line="240" w:lineRule="auto"/>
              <w:rPr>
                <w:rFonts w:eastAsia="MS Mincho" w:cs="Arial"/>
                <w:sz w:val="18"/>
                <w:szCs w:val="18"/>
                <w:lang w:eastAsia="ja-JP"/>
              </w:rPr>
            </w:pPr>
            <w:r>
              <w:rPr>
                <w:rFonts w:eastAsia="MS Mincho" w:cs="Arial"/>
                <w:sz w:val="18"/>
                <w:szCs w:val="18"/>
                <w:lang w:eastAsia="ja-JP"/>
              </w:rPr>
              <w:t>38.211, 38.213</w:t>
            </w:r>
          </w:p>
        </w:tc>
        <w:tc>
          <w:tcPr>
            <w:tcW w:w="900"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1277"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1110"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1256"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1047" w:type="dxa"/>
          </w:tcPr>
          <w:p>
            <w:pPr>
              <w:spacing w:after="120" w:afterLines="50" w:line="240" w:lineRule="auto"/>
              <w:rPr>
                <w:rFonts w:eastAsia="MS Mincho" w:cs="Arial"/>
                <w:sz w:val="18"/>
                <w:szCs w:val="18"/>
                <w:lang w:eastAsia="ja-JP"/>
              </w:rPr>
            </w:pPr>
            <w:r>
              <w:rPr>
                <w:rFonts w:eastAsia="MS Mincho" w:cs="Arial"/>
                <w:sz w:val="18"/>
                <w:szCs w:val="18"/>
                <w:lang w:eastAsia="ja-JP"/>
              </w:rPr>
              <w:t>New</w:t>
            </w:r>
          </w:p>
        </w:tc>
        <w:tc>
          <w:tcPr>
            <w:tcW w:w="1675" w:type="dxa"/>
          </w:tcPr>
          <w:p>
            <w:pPr>
              <w:spacing w:after="120" w:afterLines="50" w:line="240" w:lineRule="auto"/>
              <w:rPr>
                <w:rFonts w:eastAsia="MS Mincho" w:cs="Arial"/>
                <w:sz w:val="18"/>
                <w:szCs w:val="18"/>
                <w:lang w:eastAsia="ja-JP"/>
              </w:rPr>
            </w:pPr>
            <w:r>
              <w:rPr>
                <w:rFonts w:eastAsia="MS Mincho" w:cs="Arial"/>
                <w:sz w:val="18"/>
                <w:szCs w:val="18"/>
                <w:lang w:eastAsia="ja-JP"/>
              </w:rPr>
              <w:t>[Intra-slot PUCCH frequency hopping within RedCap-specific initial UL BWP enabled/disabled]</w:t>
            </w:r>
          </w:p>
        </w:tc>
        <w:tc>
          <w:tcPr>
            <w:tcW w:w="2676" w:type="dxa"/>
          </w:tcPr>
          <w:p>
            <w:pPr>
              <w:spacing w:after="120" w:afterLines="50" w:line="240" w:lineRule="auto"/>
              <w:rPr>
                <w:rFonts w:eastAsia="MS Mincho" w:cs="Arial"/>
                <w:sz w:val="18"/>
                <w:szCs w:val="18"/>
                <w:lang w:eastAsia="ja-JP"/>
              </w:rPr>
            </w:pPr>
            <w:r>
              <w:rPr>
                <w:rFonts w:eastAsia="MS Mincho" w:cs="Arial"/>
                <w:sz w:val="18"/>
                <w:szCs w:val="18"/>
                <w:lang w:eastAsia="ja-JP"/>
              </w:rPr>
              <w:t>In case a separate initial UL BWP is configured for RedCap UEs, this parameter indicates whether intra-slot PUCCH frequency hopping within the separate initial UL BWP in the PUCCH resource for HARQ feedback for Msg4/MsgB is enabled or disabled for RedCap UEs.</w:t>
            </w:r>
          </w:p>
        </w:tc>
        <w:tc>
          <w:tcPr>
            <w:tcW w:w="1264" w:type="dxa"/>
          </w:tcPr>
          <w:p>
            <w:pPr>
              <w:spacing w:after="120" w:afterLines="50" w:line="240" w:lineRule="auto"/>
              <w:rPr>
                <w:rFonts w:eastAsia="MS Mincho" w:cs="Arial"/>
                <w:sz w:val="18"/>
                <w:szCs w:val="18"/>
                <w:lang w:eastAsia="ja-JP"/>
              </w:rPr>
            </w:pPr>
            <w:r>
              <w:rPr>
                <w:rFonts w:eastAsia="MS Mincho" w:cs="Arial"/>
                <w:sz w:val="18"/>
                <w:szCs w:val="18"/>
                <w:lang w:eastAsia="ja-JP"/>
              </w:rPr>
              <w:t>{Enabled, Disabled}</w:t>
            </w:r>
          </w:p>
        </w:tc>
        <w:tc>
          <w:tcPr>
            <w:tcW w:w="1011"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882" w:type="dxa"/>
          </w:tcPr>
          <w:p>
            <w:pPr>
              <w:spacing w:after="120" w:afterLines="50" w:line="240" w:lineRule="auto"/>
              <w:rPr>
                <w:rFonts w:eastAsia="MS Mincho" w:cs="Arial"/>
                <w:sz w:val="18"/>
                <w:szCs w:val="18"/>
                <w:lang w:eastAsia="ja-JP"/>
              </w:rPr>
            </w:pPr>
            <w:r>
              <w:rPr>
                <w:rFonts w:eastAsia="MS Mincho" w:cs="Arial"/>
                <w:sz w:val="18"/>
                <w:szCs w:val="18"/>
                <w:lang w:eastAsia="ja-JP"/>
              </w:rPr>
              <w:t>[Per cell]</w:t>
            </w:r>
          </w:p>
        </w:tc>
        <w:tc>
          <w:tcPr>
            <w:tcW w:w="1199" w:type="dxa"/>
          </w:tcPr>
          <w:p>
            <w:pPr>
              <w:spacing w:after="120" w:afterLines="5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pPr>
              <w:spacing w:after="120" w:afterLines="50" w:line="240" w:lineRule="auto"/>
              <w:rPr>
                <w:rFonts w:eastAsia="MS Mincho" w:cs="Arial"/>
                <w:sz w:val="18"/>
                <w:szCs w:val="18"/>
                <w:lang w:eastAsia="ja-JP"/>
              </w:rPr>
            </w:pPr>
            <w:r>
              <w:rPr>
                <w:rFonts w:eastAsia="MS Mincho" w:cs="Arial"/>
                <w:sz w:val="18"/>
                <w:szCs w:val="18"/>
                <w:lang w:eastAsia="ja-JP"/>
              </w:rPr>
              <w:t>38.331</w:t>
            </w:r>
          </w:p>
        </w:tc>
        <w:tc>
          <w:tcPr>
            <w:tcW w:w="2119" w:type="dxa"/>
          </w:tcPr>
          <w:p>
            <w:pPr>
              <w:spacing w:after="120" w:afterLines="50" w:line="240" w:lineRule="auto"/>
              <w:rPr>
                <w:rFonts w:eastAsia="MS Mincho" w:cs="Arial"/>
                <w:sz w:val="18"/>
                <w:szCs w:val="18"/>
                <w:lang w:eastAsia="ja-JP"/>
              </w:rPr>
            </w:pPr>
            <w:r>
              <w:rPr>
                <w:rFonts w:eastAsia="MS Mincho" w:cs="Arial"/>
                <w:sz w:val="18"/>
                <w:szCs w:val="18"/>
                <w:lang w:eastAsia="ja-JP"/>
              </w:rPr>
              <w:t>See the last agreement and working assumption listed in R1-2108271 section 1.</w:t>
            </w:r>
            <w:r>
              <w:rPr>
                <w:rFonts w:eastAsia="MS Mincho" w:cs="Arial"/>
                <w:sz w:val="18"/>
                <w:szCs w:val="18"/>
                <w:lang w:eastAsia="ja-JP"/>
              </w:rPr>
              <w:br w:type="textWrapping"/>
            </w:r>
            <w:r>
              <w:rPr>
                <w:rFonts w:eastAsia="MS Mincho" w:cs="Arial"/>
                <w:sz w:val="18"/>
                <w:szCs w:val="18"/>
                <w:lang w:eastAsia="ja-JP"/>
              </w:rPr>
              <w:br w:type="textWrapping"/>
            </w:r>
            <w:r>
              <w:rPr>
                <w:rFonts w:eastAsia="MS Mincho" w:cs="Arial"/>
                <w:sz w:val="18"/>
                <w:szCs w:val="18"/>
                <w:lang w:eastAsia="ja-JP"/>
              </w:rPr>
              <w:t>Note: This parameter may be provided as part of the [pucch-ConfigCommon] configuration for the separate initial UL BWP.</w:t>
            </w:r>
          </w:p>
        </w:tc>
      </w:tr>
    </w:tbl>
    <w:p>
      <w:pPr>
        <w:spacing w:after="120" w:afterLines="50" w:line="240" w:lineRule="auto"/>
        <w:jc w:val="both"/>
        <w:rPr>
          <w:rFonts w:ascii="Times New Roman" w:hAnsi="Times New Roman" w:eastAsia="MS Mincho" w:cs="Times New Roman"/>
          <w:szCs w:val="20"/>
          <w:lang w:val="en-GB" w:eastAsia="ja-JP"/>
        </w:rPr>
      </w:pPr>
    </w:p>
    <w:p>
      <w:pPr>
        <w:spacing w:after="120" w:afterLines="50" w:line="240" w:lineRule="auto"/>
        <w:jc w:val="both"/>
        <w:rPr>
          <w:rFonts w:ascii="Times New Roman" w:hAnsi="Times New Roman" w:eastAsia="MS Mincho" w:cs="Times New Roman"/>
          <w:b/>
          <w:bCs/>
          <w:szCs w:val="20"/>
          <w:lang w:val="en-GB" w:eastAsia="ja-JP"/>
        </w:rPr>
      </w:pPr>
      <w:r>
        <w:rPr>
          <w:rFonts w:ascii="Times New Roman" w:hAnsi="Times New Roman" w:eastAsia="MS Mincho" w:cs="Times New Roman"/>
          <w:b/>
          <w:bCs/>
          <w:szCs w:val="20"/>
          <w:lang w:val="en-GB" w:eastAsia="ja-JP"/>
        </w:rPr>
        <w:t>FL1 Question 5-1: Companies are invited to comment on the above parameter for PUCCH configuration.</w:t>
      </w:r>
    </w:p>
    <w:tbl>
      <w:tblPr>
        <w:tblStyle w:val="52"/>
        <w:tblW w:w="21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9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22" w:type="dxa"/>
            <w:shd w:val="clear" w:color="auto" w:fill="D8D8D8" w:themeFill="background1" w:themeFillShade="D9"/>
          </w:tcPr>
          <w:p>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8D8D8" w:themeFill="background1" w:themeFillShade="D9"/>
          </w:tcPr>
          <w:p>
            <w:pPr>
              <w:rPr>
                <w:rFonts w:ascii="Times New Roman" w:hAnsi="Times New Roman" w:cs="Times New Roman"/>
                <w:b/>
                <w:bCs/>
                <w:sz w:val="20"/>
                <w:szCs w:val="20"/>
              </w:rPr>
            </w:pPr>
            <w:r>
              <w:rPr>
                <w:rFonts w:ascii="Times New Roman" w:hAnsi="Times New Roman" w:cs="Times New Roman"/>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pPr>
              <w:rPr>
                <w:rFonts w:ascii="Times New Roman" w:hAnsi="Times New Roman" w:cs="Times New Roman"/>
                <w:sz w:val="20"/>
                <w:szCs w:val="20"/>
                <w:lang w:eastAsia="ko-KR"/>
              </w:rPr>
            </w:pPr>
            <w:r>
              <w:rPr>
                <w:rFonts w:ascii="Times New Roman" w:hAnsi="Times New Roman" w:cs="Times New Roman"/>
                <w:sz w:val="20"/>
                <w:szCs w:val="20"/>
                <w:lang w:eastAsia="ko-KR"/>
              </w:rPr>
              <w:t>Needs further agreements in RAN1 prior to be sent to RAN2 to resolve the 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19136" w:type="dxa"/>
          </w:tcPr>
          <w:p>
            <w:pPr>
              <w:spacing w:after="180" w:line="252" w:lineRule="auto"/>
              <w:contextualSpacing/>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 xml:space="preserve">ine in general.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Intel</w:t>
            </w:r>
          </w:p>
        </w:tc>
        <w:tc>
          <w:tcPr>
            <w:tcW w:w="19136" w:type="dxa"/>
          </w:tcPr>
          <w:p>
            <w:pPr>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Fine with the above; and also fine to wait for further progress in RAN1 on this, as suggested by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cs="Times New Roman"/>
                <w:sz w:val="20"/>
                <w:szCs w:val="20"/>
                <w:lang w:eastAsia="ko-KR"/>
              </w:rPr>
            </w:pPr>
            <w:r>
              <w:rPr>
                <w:rFonts w:ascii="Times New Roman" w:hAnsi="Times New Roman" w:eastAsia="宋体" w:cs="Times New Roman"/>
                <w:sz w:val="20"/>
                <w:szCs w:val="20"/>
                <w:lang w:eastAsia="zh-CN"/>
              </w:rPr>
              <w:t>FUTUREWEI</w:t>
            </w:r>
          </w:p>
        </w:tc>
        <w:tc>
          <w:tcPr>
            <w:tcW w:w="19136" w:type="dxa"/>
          </w:tcPr>
          <w:p>
            <w:pPr>
              <w:rPr>
                <w:rFonts w:ascii="Times New Roman" w:hAnsi="Times New Roman" w:cs="Times New Roman"/>
                <w:sz w:val="20"/>
                <w:szCs w:val="20"/>
                <w:lang w:eastAsia="ko-KR"/>
              </w:rPr>
            </w:pPr>
            <w:r>
              <w:rPr>
                <w:rFonts w:ascii="Times New Roman" w:hAnsi="Times New Roman" w:eastAsia="宋体" w:cs="Times New Roman"/>
                <w:sz w:val="20"/>
                <w:szCs w:val="20"/>
                <w:lang w:eastAsia="zh-CN"/>
              </w:rPr>
              <w:t>There may be an existing parameter “</w:t>
            </w:r>
            <w:r>
              <w:rPr>
                <w:rFonts w:ascii="Times New Roman" w:hAnsi="Times New Roman" w:eastAsia="宋体" w:cs="Times New Roman"/>
                <w:i/>
                <w:iCs/>
                <w:sz w:val="20"/>
                <w:szCs w:val="20"/>
                <w:lang w:eastAsia="zh-CN"/>
              </w:rPr>
              <w:t>intraSlotFrequencyHopping</w:t>
            </w:r>
            <w:r>
              <w:rPr>
                <w:rFonts w:ascii="Times New Roman" w:hAnsi="Times New Roman" w:eastAsia="宋体" w:cs="Times New Roman"/>
                <w:sz w:val="20"/>
                <w:szCs w:val="20"/>
                <w:lang w:eastAsia="zh-CN"/>
              </w:rPr>
              <w:t>” that captures the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Times New Roman" w:hAnsi="Times New Roman" w:eastAsia="宋体" w:cs="Times New Roman"/>
                <w:sz w:val="20"/>
                <w:szCs w:val="20"/>
                <w:lang w:val="en-US" w:eastAsia="zh-CN" w:bidi="ar-SA"/>
              </w:rPr>
            </w:pPr>
            <w:r>
              <w:rPr>
                <w:rFonts w:hint="eastAsia" w:ascii="Times New Roman" w:hAnsi="Times New Roman" w:eastAsia="宋体" w:cs="Times New Roman"/>
                <w:sz w:val="20"/>
                <w:szCs w:val="20"/>
                <w:lang w:val="en-US" w:eastAsia="zh-CN"/>
              </w:rPr>
              <w:t>ZTE, Sanechips</w:t>
            </w:r>
          </w:p>
        </w:tc>
        <w:tc>
          <w:tcPr>
            <w:tcW w:w="19136" w:type="dxa"/>
            <w:vAlign w:val="top"/>
          </w:tcPr>
          <w:p>
            <w:pPr>
              <w:rPr>
                <w:rFonts w:hint="default" w:ascii="Times New Roman" w:hAnsi="Times New Roman" w:eastAsia="宋体" w:cs="Times New Roman"/>
                <w:sz w:val="20"/>
                <w:szCs w:val="20"/>
                <w:lang w:val="en-US" w:eastAsia="zh-CN" w:bidi="ar-SA"/>
              </w:rPr>
            </w:pPr>
            <w:r>
              <w:rPr>
                <w:rFonts w:hint="eastAsia" w:ascii="Times New Roman" w:hAnsi="Times New Roman" w:eastAsia="宋体" w:cs="Times New Roman"/>
                <w:sz w:val="20"/>
                <w:szCs w:val="20"/>
                <w:lang w:val="en-US" w:eastAsia="zh-CN"/>
              </w:rPr>
              <w:t xml:space="preserve">OK with this parameter. </w:t>
            </w:r>
          </w:p>
        </w:tc>
      </w:tr>
    </w:tbl>
    <w:p>
      <w:pPr>
        <w:spacing w:after="120" w:afterLines="50" w:line="240" w:lineRule="auto"/>
        <w:jc w:val="both"/>
        <w:rPr>
          <w:rFonts w:ascii="Times New Roman" w:hAnsi="Times New Roman" w:eastAsia="MS Mincho" w:cs="Times New Roman"/>
          <w:szCs w:val="20"/>
          <w:lang w:val="en-GB" w:eastAsia="ja-JP"/>
        </w:rPr>
      </w:pPr>
    </w:p>
    <w:p>
      <w:pPr>
        <w:pStyle w:val="2"/>
      </w:pPr>
      <w:r>
        <w:t>6</w:t>
      </w:r>
      <w:r>
        <w:tab/>
      </w:r>
      <w:r>
        <w:t>CQI/MCS table configuration</w:t>
      </w:r>
    </w:p>
    <w:p>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1043"/>
        <w:gridCol w:w="1325"/>
        <w:gridCol w:w="900"/>
        <w:gridCol w:w="1277"/>
        <w:gridCol w:w="1110"/>
        <w:gridCol w:w="1256"/>
        <w:gridCol w:w="1047"/>
        <w:gridCol w:w="1675"/>
        <w:gridCol w:w="2676"/>
        <w:gridCol w:w="1264"/>
        <w:gridCol w:w="1011"/>
        <w:gridCol w:w="916"/>
        <w:gridCol w:w="1199"/>
        <w:gridCol w:w="1338"/>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27" w:type="dxa"/>
          </w:tcPr>
          <w:p>
            <w:pPr>
              <w:spacing w:after="120" w:afterLines="5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pPr>
              <w:spacing w:after="120" w:afterLines="50" w:line="240" w:lineRule="auto"/>
              <w:rPr>
                <w:rFonts w:eastAsia="MS Mincho" w:cs="Arial"/>
                <w:b/>
                <w:bCs/>
                <w:sz w:val="18"/>
                <w:szCs w:val="18"/>
                <w:lang w:eastAsia="ja-JP"/>
              </w:rPr>
            </w:pPr>
            <w:r>
              <w:rPr>
                <w:rFonts w:eastAsia="MS Mincho" w:cs="Arial"/>
                <w:b/>
                <w:bCs/>
                <w:sz w:val="18"/>
                <w:szCs w:val="18"/>
                <w:lang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27" w:type="dxa"/>
          </w:tcPr>
          <w:p>
            <w:pPr>
              <w:spacing w:after="120" w:afterLines="50" w:line="240" w:lineRule="auto"/>
              <w:rPr>
                <w:rFonts w:eastAsia="MS Mincho" w:cs="Arial"/>
                <w:sz w:val="18"/>
                <w:szCs w:val="18"/>
                <w:lang w:eastAsia="ja-JP"/>
              </w:rPr>
            </w:pPr>
            <w:r>
              <w:rPr>
                <w:rFonts w:eastAsia="MS Mincho" w:cs="Arial"/>
                <w:sz w:val="18"/>
                <w:szCs w:val="18"/>
                <w:lang w:eastAsia="ja-JP"/>
              </w:rPr>
              <w:t>NR_redcap</w:t>
            </w:r>
          </w:p>
        </w:tc>
        <w:tc>
          <w:tcPr>
            <w:tcW w:w="1043" w:type="dxa"/>
          </w:tcPr>
          <w:p>
            <w:pPr>
              <w:spacing w:after="120" w:afterLines="50" w:line="240" w:lineRule="auto"/>
              <w:rPr>
                <w:rFonts w:eastAsia="MS Mincho" w:cs="Arial"/>
                <w:sz w:val="18"/>
                <w:szCs w:val="18"/>
                <w:lang w:eastAsia="ja-JP"/>
              </w:rPr>
            </w:pPr>
            <w:r>
              <w:rPr>
                <w:rFonts w:eastAsia="MS Mincho" w:cs="Arial"/>
                <w:sz w:val="18"/>
                <w:szCs w:val="18"/>
                <w:lang w:eastAsia="ja-JP"/>
              </w:rPr>
              <w:t>RedCap UE</w:t>
            </w:r>
          </w:p>
        </w:tc>
        <w:tc>
          <w:tcPr>
            <w:tcW w:w="1325" w:type="dxa"/>
          </w:tcPr>
          <w:p>
            <w:pPr>
              <w:spacing w:after="120" w:afterLines="50" w:line="240" w:lineRule="auto"/>
              <w:rPr>
                <w:rFonts w:eastAsia="MS Mincho" w:cs="Arial"/>
                <w:sz w:val="18"/>
                <w:szCs w:val="18"/>
                <w:lang w:eastAsia="ja-JP"/>
              </w:rPr>
            </w:pPr>
            <w:r>
              <w:rPr>
                <w:rFonts w:eastAsia="MS Mincho" w:cs="Arial"/>
                <w:sz w:val="18"/>
                <w:szCs w:val="18"/>
                <w:lang w:eastAsia="ja-JP"/>
              </w:rPr>
              <w:t>38.214</w:t>
            </w:r>
          </w:p>
        </w:tc>
        <w:tc>
          <w:tcPr>
            <w:tcW w:w="900"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1277" w:type="dxa"/>
          </w:tcPr>
          <w:p>
            <w:pPr>
              <w:spacing w:after="120" w:afterLines="50" w:line="240" w:lineRule="auto"/>
              <w:rPr>
                <w:rFonts w:eastAsia="MS Mincho" w:cs="Arial"/>
                <w:sz w:val="18"/>
                <w:szCs w:val="18"/>
                <w:lang w:eastAsia="ja-JP"/>
              </w:rPr>
            </w:pPr>
            <w:r>
              <w:rPr>
                <w:rFonts w:eastAsia="MS Mincho" w:cs="Arial"/>
                <w:sz w:val="18"/>
                <w:szCs w:val="18"/>
                <w:lang w:eastAsia="ja-JP"/>
              </w:rPr>
              <w:t>CSI-ReportConfig</w:t>
            </w:r>
          </w:p>
        </w:tc>
        <w:tc>
          <w:tcPr>
            <w:tcW w:w="1110" w:type="dxa"/>
          </w:tcPr>
          <w:p>
            <w:pPr>
              <w:spacing w:after="120" w:afterLines="50" w:line="240" w:lineRule="auto"/>
              <w:rPr>
                <w:rFonts w:eastAsia="MS Mincho" w:cs="Arial"/>
                <w:sz w:val="18"/>
                <w:szCs w:val="18"/>
                <w:lang w:eastAsia="ja-JP"/>
              </w:rPr>
            </w:pPr>
            <w:r>
              <w:rPr>
                <w:rFonts w:eastAsia="MS Mincho" w:cs="Arial"/>
                <w:sz w:val="18"/>
                <w:szCs w:val="18"/>
                <w:lang w:eastAsia="ja-JP"/>
              </w:rPr>
              <w:t>cqi-Table</w:t>
            </w:r>
          </w:p>
        </w:tc>
        <w:tc>
          <w:tcPr>
            <w:tcW w:w="1256"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1047" w:type="dxa"/>
          </w:tcPr>
          <w:p>
            <w:pPr>
              <w:spacing w:after="120" w:afterLines="50" w:line="240" w:lineRule="auto"/>
              <w:rPr>
                <w:rFonts w:eastAsia="MS Mincho" w:cs="Arial"/>
                <w:sz w:val="18"/>
                <w:szCs w:val="18"/>
                <w:lang w:eastAsia="ja-JP"/>
              </w:rPr>
            </w:pPr>
            <w:r>
              <w:rPr>
                <w:rFonts w:eastAsia="MS Mincho" w:cs="Arial"/>
                <w:sz w:val="18"/>
                <w:szCs w:val="18"/>
                <w:lang w:eastAsia="ja-JP"/>
              </w:rPr>
              <w:t>Existing</w:t>
            </w:r>
          </w:p>
        </w:tc>
        <w:tc>
          <w:tcPr>
            <w:tcW w:w="1675"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2676" w:type="dxa"/>
          </w:tcPr>
          <w:p>
            <w:pPr>
              <w:spacing w:after="120" w:afterLines="50" w:line="240" w:lineRule="auto"/>
              <w:rPr>
                <w:rFonts w:eastAsia="MS Mincho" w:cs="Arial"/>
                <w:sz w:val="18"/>
                <w:szCs w:val="18"/>
                <w:lang w:eastAsia="ja-JP"/>
              </w:rPr>
            </w:pPr>
            <w:r>
              <w:rPr>
                <w:rFonts w:eastAsia="MS Mincho" w:cs="Arial"/>
                <w:sz w:val="18"/>
                <w:szCs w:val="18"/>
                <w:lang w:eastAsia="ja-JP"/>
              </w:rPr>
              <w:t>For a RedCap UE, CQI table 2 is only supported if the UE indicates support of 256QAM for PDSCH.</w:t>
            </w:r>
          </w:p>
        </w:tc>
        <w:tc>
          <w:tcPr>
            <w:tcW w:w="1264"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1011"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882"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1199"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1338" w:type="dxa"/>
          </w:tcPr>
          <w:p>
            <w:pPr>
              <w:spacing w:after="120" w:afterLines="50" w:line="240" w:lineRule="auto"/>
              <w:rPr>
                <w:rFonts w:eastAsia="MS Mincho" w:cs="Arial"/>
                <w:color w:val="C00000"/>
                <w:sz w:val="18"/>
                <w:szCs w:val="18"/>
                <w:u w:val="single"/>
                <w:lang w:eastAsia="ja-JP"/>
              </w:rPr>
            </w:pPr>
            <w:r>
              <w:rPr>
                <w:rFonts w:eastAsia="MS Mincho" w:cs="Arial"/>
                <w:color w:val="C00000"/>
                <w:sz w:val="18"/>
                <w:szCs w:val="18"/>
                <w:u w:val="single"/>
                <w:lang w:eastAsia="ja-JP"/>
              </w:rPr>
              <w:t>38.331</w:t>
            </w:r>
          </w:p>
        </w:tc>
        <w:tc>
          <w:tcPr>
            <w:tcW w:w="2119"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27" w:type="dxa"/>
          </w:tcPr>
          <w:p>
            <w:pPr>
              <w:spacing w:after="120" w:afterLines="50" w:line="240" w:lineRule="auto"/>
              <w:rPr>
                <w:rFonts w:eastAsia="MS Mincho" w:cs="Arial"/>
                <w:sz w:val="18"/>
                <w:szCs w:val="18"/>
                <w:lang w:eastAsia="ja-JP"/>
              </w:rPr>
            </w:pPr>
            <w:r>
              <w:rPr>
                <w:rFonts w:eastAsia="MS Mincho" w:cs="Arial"/>
                <w:sz w:val="18"/>
                <w:szCs w:val="18"/>
                <w:lang w:eastAsia="ja-JP"/>
              </w:rPr>
              <w:t>NR_redcap</w:t>
            </w:r>
          </w:p>
        </w:tc>
        <w:tc>
          <w:tcPr>
            <w:tcW w:w="1043" w:type="dxa"/>
          </w:tcPr>
          <w:p>
            <w:pPr>
              <w:spacing w:after="120" w:afterLines="50" w:line="240" w:lineRule="auto"/>
              <w:rPr>
                <w:rFonts w:eastAsia="MS Mincho" w:cs="Arial"/>
                <w:sz w:val="18"/>
                <w:szCs w:val="18"/>
                <w:lang w:eastAsia="ja-JP"/>
              </w:rPr>
            </w:pPr>
            <w:r>
              <w:rPr>
                <w:rFonts w:eastAsia="MS Mincho" w:cs="Arial"/>
                <w:sz w:val="18"/>
                <w:szCs w:val="18"/>
                <w:lang w:eastAsia="ja-JP"/>
              </w:rPr>
              <w:t>RedCap UE</w:t>
            </w:r>
          </w:p>
        </w:tc>
        <w:tc>
          <w:tcPr>
            <w:tcW w:w="1325" w:type="dxa"/>
          </w:tcPr>
          <w:p>
            <w:pPr>
              <w:spacing w:after="120" w:afterLines="50" w:line="240" w:lineRule="auto"/>
              <w:rPr>
                <w:rFonts w:eastAsia="MS Mincho" w:cs="Arial"/>
                <w:sz w:val="18"/>
                <w:szCs w:val="18"/>
                <w:lang w:eastAsia="ja-JP"/>
              </w:rPr>
            </w:pPr>
            <w:r>
              <w:rPr>
                <w:rFonts w:eastAsia="MS Mincho" w:cs="Arial"/>
                <w:sz w:val="18"/>
                <w:szCs w:val="18"/>
                <w:lang w:eastAsia="ja-JP"/>
              </w:rPr>
              <w:t>38.214</w:t>
            </w:r>
          </w:p>
        </w:tc>
        <w:tc>
          <w:tcPr>
            <w:tcW w:w="900"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1277" w:type="dxa"/>
          </w:tcPr>
          <w:p>
            <w:pPr>
              <w:spacing w:after="120" w:afterLines="50" w:line="240" w:lineRule="auto"/>
              <w:rPr>
                <w:rFonts w:eastAsia="MS Mincho" w:cs="Arial"/>
                <w:sz w:val="18"/>
                <w:szCs w:val="18"/>
                <w:lang w:eastAsia="ja-JP"/>
              </w:rPr>
            </w:pPr>
            <w:r>
              <w:rPr>
                <w:rFonts w:eastAsia="MS Mincho" w:cs="Arial"/>
                <w:sz w:val="18"/>
                <w:szCs w:val="18"/>
                <w:lang w:eastAsia="ja-JP"/>
              </w:rPr>
              <w:t>[Several, TBD]</w:t>
            </w:r>
          </w:p>
        </w:tc>
        <w:tc>
          <w:tcPr>
            <w:tcW w:w="1110" w:type="dxa"/>
          </w:tcPr>
          <w:p>
            <w:pPr>
              <w:spacing w:after="120" w:afterLines="50" w:line="240" w:lineRule="auto"/>
              <w:rPr>
                <w:rFonts w:eastAsia="MS Mincho" w:cs="Arial"/>
                <w:sz w:val="18"/>
                <w:szCs w:val="18"/>
                <w:lang w:eastAsia="ja-JP"/>
              </w:rPr>
            </w:pPr>
            <w:r>
              <w:rPr>
                <w:rFonts w:eastAsia="MS Mincho" w:cs="Arial"/>
                <w:sz w:val="18"/>
                <w:szCs w:val="18"/>
                <w:lang w:eastAsia="ja-JP"/>
              </w:rPr>
              <w:t>mcs-Table</w:t>
            </w:r>
          </w:p>
        </w:tc>
        <w:tc>
          <w:tcPr>
            <w:tcW w:w="1256"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1047" w:type="dxa"/>
          </w:tcPr>
          <w:p>
            <w:pPr>
              <w:spacing w:after="120" w:afterLines="50" w:line="240" w:lineRule="auto"/>
              <w:rPr>
                <w:rFonts w:eastAsia="MS Mincho" w:cs="Arial"/>
                <w:sz w:val="18"/>
                <w:szCs w:val="18"/>
                <w:lang w:eastAsia="ja-JP"/>
              </w:rPr>
            </w:pPr>
            <w:r>
              <w:rPr>
                <w:rFonts w:eastAsia="MS Mincho" w:cs="Arial"/>
                <w:sz w:val="18"/>
                <w:szCs w:val="18"/>
                <w:lang w:eastAsia="ja-JP"/>
              </w:rPr>
              <w:t>Existing</w:t>
            </w:r>
          </w:p>
        </w:tc>
        <w:tc>
          <w:tcPr>
            <w:tcW w:w="1675"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2676" w:type="dxa"/>
          </w:tcPr>
          <w:p>
            <w:pPr>
              <w:spacing w:after="120" w:afterLines="50" w:line="240" w:lineRule="auto"/>
              <w:rPr>
                <w:rFonts w:eastAsia="MS Mincho" w:cs="Arial"/>
                <w:sz w:val="18"/>
                <w:szCs w:val="18"/>
                <w:lang w:eastAsia="ja-JP"/>
              </w:rPr>
            </w:pPr>
            <w:r>
              <w:rPr>
                <w:rFonts w:eastAsia="MS Mincho" w:cs="Arial"/>
                <w:sz w:val="18"/>
                <w:szCs w:val="18"/>
                <w:lang w:eastAsia="ja-JP"/>
              </w:rPr>
              <w:t>For a RedCap UE, the 256QAM MCS table for PDSCH is only supported if the UE indicates support of 256QAM for PDSCH.</w:t>
            </w:r>
          </w:p>
        </w:tc>
        <w:tc>
          <w:tcPr>
            <w:tcW w:w="1264"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1011"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882"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1199"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c>
          <w:tcPr>
            <w:tcW w:w="1338" w:type="dxa"/>
          </w:tcPr>
          <w:p>
            <w:pPr>
              <w:spacing w:after="120" w:afterLines="50" w:line="240" w:lineRule="auto"/>
              <w:rPr>
                <w:rFonts w:eastAsia="MS Mincho" w:cs="Arial"/>
                <w:color w:val="C00000"/>
                <w:sz w:val="18"/>
                <w:szCs w:val="18"/>
                <w:u w:val="single"/>
                <w:lang w:eastAsia="ja-JP"/>
              </w:rPr>
            </w:pPr>
            <w:r>
              <w:rPr>
                <w:rFonts w:eastAsia="MS Mincho" w:cs="Arial"/>
                <w:color w:val="C00000"/>
                <w:sz w:val="18"/>
                <w:szCs w:val="18"/>
                <w:u w:val="single"/>
                <w:lang w:eastAsia="ja-JP"/>
              </w:rPr>
              <w:t>38.331</w:t>
            </w:r>
          </w:p>
        </w:tc>
        <w:tc>
          <w:tcPr>
            <w:tcW w:w="2119" w:type="dxa"/>
          </w:tcPr>
          <w:p>
            <w:pPr>
              <w:spacing w:after="120" w:afterLines="50" w:line="240" w:lineRule="auto"/>
              <w:rPr>
                <w:rFonts w:eastAsia="MS Mincho" w:cs="Arial"/>
                <w:sz w:val="18"/>
                <w:szCs w:val="18"/>
                <w:lang w:eastAsia="ja-JP"/>
              </w:rPr>
            </w:pPr>
            <w:r>
              <w:rPr>
                <w:rFonts w:eastAsia="MS Mincho" w:cs="Arial"/>
                <w:sz w:val="18"/>
                <w:szCs w:val="18"/>
                <w:lang w:eastAsia="ja-JP"/>
              </w:rPr>
              <w:t> </w:t>
            </w:r>
          </w:p>
        </w:tc>
      </w:tr>
    </w:tbl>
    <w:p>
      <w:pPr>
        <w:spacing w:after="120" w:afterLines="50" w:line="240" w:lineRule="auto"/>
        <w:jc w:val="both"/>
        <w:rPr>
          <w:rFonts w:ascii="Times New Roman" w:hAnsi="Times New Roman" w:eastAsia="MS Mincho" w:cs="Times New Roman"/>
          <w:szCs w:val="20"/>
          <w:lang w:val="en-GB" w:eastAsia="ja-JP"/>
        </w:rPr>
      </w:pPr>
    </w:p>
    <w:p>
      <w:pPr>
        <w:spacing w:after="120" w:afterLines="50" w:line="240" w:lineRule="auto"/>
        <w:jc w:val="both"/>
        <w:rPr>
          <w:rFonts w:ascii="Times New Roman" w:hAnsi="Times New Roman" w:eastAsia="MS Mincho" w:cs="Times New Roman"/>
          <w:b/>
          <w:bCs/>
          <w:szCs w:val="20"/>
          <w:lang w:val="en-GB" w:eastAsia="ja-JP"/>
        </w:rPr>
      </w:pPr>
      <w:r>
        <w:rPr>
          <w:rFonts w:ascii="Times New Roman" w:hAnsi="Times New Roman" w:eastAsia="MS Mincho" w:cs="Times New Roman"/>
          <w:b/>
          <w:bCs/>
          <w:szCs w:val="20"/>
          <w:lang w:val="en-GB" w:eastAsia="ja-JP"/>
        </w:rPr>
        <w:t>FL1 Question 6-1: Companies are invited to comment on the above parameter for CQI/MCS table configuration.</w:t>
      </w:r>
    </w:p>
    <w:tbl>
      <w:tblPr>
        <w:tblStyle w:val="52"/>
        <w:tblW w:w="21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9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22" w:type="dxa"/>
            <w:shd w:val="clear" w:color="auto" w:fill="D8D8D8" w:themeFill="background1" w:themeFillShade="D9"/>
          </w:tcPr>
          <w:p>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8D8D8" w:themeFill="background1" w:themeFillShade="D9"/>
          </w:tcPr>
          <w:p>
            <w:pPr>
              <w:rPr>
                <w:rFonts w:ascii="Times New Roman" w:hAnsi="Times New Roman" w:cs="Times New Roman"/>
                <w:b/>
                <w:bCs/>
                <w:sz w:val="20"/>
                <w:szCs w:val="20"/>
              </w:rPr>
            </w:pPr>
            <w:r>
              <w:rPr>
                <w:rFonts w:ascii="Times New Roman" w:hAnsi="Times New Roman" w:cs="Times New Roman"/>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pPr>
              <w:rPr>
                <w:rFonts w:ascii="Times New Roman" w:hAnsi="Times New Roman" w:cs="Times New Roman"/>
                <w:sz w:val="20"/>
                <w:szCs w:val="20"/>
                <w:lang w:eastAsia="ko-KR"/>
              </w:rPr>
            </w:pPr>
            <w:r>
              <w:rPr>
                <w:rFonts w:ascii="Times New Roman" w:hAnsi="Times New Roman" w:cs="Times New Roman"/>
                <w:sz w:val="20"/>
                <w:szCs w:val="20"/>
                <w:lang w:eastAsia="ko-KR"/>
              </w:rPr>
              <w:t>No need for a new RRC parameter. The exiting parameters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19136" w:type="dxa"/>
          </w:tcPr>
          <w:p>
            <w:pPr>
              <w:spacing w:after="180" w:line="252" w:lineRule="auto"/>
              <w:contextualSpacing/>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Existing parameters are sufficient, no need to include them in the 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122" w:type="dxa"/>
          </w:tcPr>
          <w:p>
            <w:pPr>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FUTUREWEI</w:t>
            </w:r>
          </w:p>
        </w:tc>
        <w:tc>
          <w:tcPr>
            <w:tcW w:w="19136" w:type="dxa"/>
          </w:tcPr>
          <w:p>
            <w:pPr>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Similar comment as vivo. This is also applicable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ZTE, Sanechips</w:t>
            </w:r>
          </w:p>
        </w:tc>
        <w:tc>
          <w:tcPr>
            <w:tcW w:w="19136" w:type="dxa"/>
          </w:tcPr>
          <w:p>
            <w:pPr>
              <w:pStyle w:val="133"/>
              <w:ind w:left="0" w:leftChars="0" w:firstLine="0" w:firstLineChars="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Suggest to reuse the existing parameters.</w:t>
            </w:r>
          </w:p>
        </w:tc>
      </w:tr>
    </w:tbl>
    <w:p>
      <w:pPr>
        <w:spacing w:after="120" w:afterLines="50" w:line="240" w:lineRule="auto"/>
        <w:jc w:val="both"/>
        <w:rPr>
          <w:rFonts w:ascii="Times New Roman" w:hAnsi="Times New Roman" w:eastAsia="MS Mincho" w:cs="Times New Roman"/>
          <w:szCs w:val="20"/>
          <w:lang w:val="en-GB" w:eastAsia="ja-JP"/>
        </w:rPr>
      </w:pPr>
    </w:p>
    <w:p>
      <w:pPr>
        <w:pStyle w:val="2"/>
      </w:pPr>
      <w:r>
        <w:t>7</w:t>
      </w:r>
      <w:r>
        <w:tab/>
      </w:r>
      <w:r>
        <w:t>Other comments</w:t>
      </w:r>
    </w:p>
    <w:p>
      <w:pPr>
        <w:spacing w:after="120" w:afterLines="50" w:line="240" w:lineRule="auto"/>
        <w:jc w:val="both"/>
        <w:rPr>
          <w:rFonts w:ascii="Times New Roman" w:hAnsi="Times New Roman" w:eastAsia="MS Mincho" w:cs="Times New Roman"/>
          <w:b/>
          <w:bCs/>
          <w:szCs w:val="20"/>
          <w:lang w:val="en-GB" w:eastAsia="ja-JP"/>
        </w:rPr>
      </w:pPr>
      <w:r>
        <w:rPr>
          <w:rFonts w:ascii="Times New Roman" w:hAnsi="Times New Roman" w:eastAsia="MS Mincho" w:cs="Times New Roman"/>
          <w:b/>
          <w:bCs/>
          <w:szCs w:val="20"/>
          <w:lang w:val="en-GB" w:eastAsia="ja-JP"/>
        </w:rPr>
        <w:t>FL1 Question 7-1: Companies are invited to provide any other comments they might have on RRC parameters for RedCap.</w:t>
      </w:r>
    </w:p>
    <w:tbl>
      <w:tblPr>
        <w:tblStyle w:val="52"/>
        <w:tblW w:w="21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9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22" w:type="dxa"/>
            <w:shd w:val="clear" w:color="auto" w:fill="D8D8D8" w:themeFill="background1" w:themeFillShade="D9"/>
          </w:tcPr>
          <w:p>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8D8D8" w:themeFill="background1" w:themeFillShade="D9"/>
          </w:tcPr>
          <w:p>
            <w:pPr>
              <w:rPr>
                <w:rFonts w:ascii="Times New Roman" w:hAnsi="Times New Roman" w:cs="Times New Roman"/>
                <w:b/>
                <w:bCs/>
                <w:sz w:val="20"/>
                <w:szCs w:val="20"/>
              </w:rPr>
            </w:pPr>
            <w:r>
              <w:rPr>
                <w:rFonts w:ascii="Times New Roman" w:hAnsi="Times New Roman" w:cs="Times New Roman"/>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Times New Roman" w:hAnsi="Times New Roman" w:eastAsia="宋体" w:cs="Times New Roman"/>
                <w:sz w:val="20"/>
                <w:szCs w:val="20"/>
                <w:lang w:val="en-US" w:eastAsia="ko-KR" w:bidi="ar-SA"/>
              </w:rPr>
            </w:pPr>
            <w:r>
              <w:rPr>
                <w:rFonts w:hint="eastAsia" w:ascii="Times New Roman" w:hAnsi="Times New Roman" w:eastAsia="宋体" w:cs="Times New Roman"/>
                <w:sz w:val="20"/>
                <w:szCs w:val="20"/>
                <w:lang w:val="en-US" w:eastAsia="zh-CN"/>
              </w:rPr>
              <w:t>ZTE, Sanechips</w:t>
            </w:r>
          </w:p>
        </w:tc>
        <w:tc>
          <w:tcPr>
            <w:tcW w:w="19136" w:type="dxa"/>
            <w:vAlign w:val="top"/>
          </w:tcPr>
          <w:p>
            <w:pPr>
              <w:rPr>
                <w:rFonts w:hint="default" w:ascii="Times New Roman" w:hAnsi="Times New Roman" w:eastAsia="宋体" w:cs="Times New Roman"/>
                <w:sz w:val="20"/>
                <w:szCs w:val="20"/>
                <w:lang w:val="en-US" w:eastAsia="ko-KR" w:bidi="ar-SA"/>
              </w:rPr>
            </w:pPr>
            <w:r>
              <w:rPr>
                <w:rFonts w:hint="eastAsia" w:ascii="Times New Roman" w:hAnsi="Times New Roman" w:eastAsia="宋体" w:cs="Times New Roman"/>
                <w:sz w:val="20"/>
                <w:szCs w:val="20"/>
                <w:lang w:val="en-US" w:eastAsia="zh-CN"/>
              </w:rPr>
              <w:t>PUCCH-ConfigCommon is related to the initial UL BWP. If the initial UL BWP is separately configured for RedCap, whether RedCap specific PUCCH-ConfigCommon should be introduced</w:t>
            </w:r>
            <w:bookmarkStart w:id="12" w:name="_GoBack"/>
            <w:bookmarkEnd w:id="12"/>
            <w:r>
              <w:rPr>
                <w:rFonts w:hint="eastAsia" w:ascii="Times New Roman" w:hAnsi="Times New Roman" w:eastAsia="宋体" w:cs="Times New Roman"/>
                <w:sz w:val="20"/>
                <w:szCs w:val="20"/>
                <w:lang w:val="en-US" w:eastAsia="zh-CN"/>
              </w:rPr>
              <w:t xml:space="preserve"> can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cs="Times New Roman"/>
                <w:sz w:val="20"/>
                <w:szCs w:val="20"/>
                <w:lang w:eastAsia="ko-KR"/>
              </w:rPr>
            </w:pPr>
          </w:p>
        </w:tc>
        <w:tc>
          <w:tcPr>
            <w:tcW w:w="19136" w:type="dxa"/>
          </w:tcPr>
          <w:p>
            <w:pPr>
              <w:spacing w:after="180" w:line="252" w:lineRule="auto"/>
              <w:contextualSpacing/>
              <w:rPr>
                <w:rFonts w:ascii="Times New Roman" w:hAnsi="Times New Roman" w:cs="Times New Roman"/>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宋体" w:cs="Times New Roman"/>
                <w:sz w:val="20"/>
                <w:szCs w:val="20"/>
                <w:lang w:eastAsia="zh-CN"/>
              </w:rPr>
            </w:pPr>
          </w:p>
        </w:tc>
        <w:tc>
          <w:tcPr>
            <w:tcW w:w="19136" w:type="dxa"/>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cs="Times New Roman"/>
                <w:sz w:val="20"/>
                <w:szCs w:val="20"/>
                <w:lang w:eastAsia="ko-KR"/>
              </w:rPr>
            </w:pPr>
          </w:p>
        </w:tc>
        <w:tc>
          <w:tcPr>
            <w:tcW w:w="19136" w:type="dxa"/>
          </w:tcPr>
          <w:p>
            <w:pPr>
              <w:pStyle w:val="133"/>
              <w:rPr>
                <w:rFonts w:ascii="Times New Roman" w:hAnsi="Times New Roman" w:cs="Times New Roman"/>
                <w:sz w:val="20"/>
                <w:szCs w:val="20"/>
                <w:lang w:eastAsia="ko-KR"/>
              </w:rPr>
            </w:pPr>
          </w:p>
        </w:tc>
      </w:tr>
    </w:tbl>
    <w:p>
      <w:pPr>
        <w:spacing w:after="120" w:afterLines="50" w:line="240" w:lineRule="auto"/>
        <w:jc w:val="both"/>
        <w:rPr>
          <w:rFonts w:ascii="Times New Roman" w:hAnsi="Times New Roman" w:eastAsia="MS Mincho" w:cs="Times New Roman"/>
          <w:sz w:val="22"/>
          <w:szCs w:val="20"/>
          <w:lang w:val="en-GB" w:eastAsia="ja-JP"/>
        </w:rPr>
      </w:pPr>
    </w:p>
    <w:sectPr>
      <w:footerReference r:id="rId6" w:type="default"/>
      <w:headerReference r:id="rId5" w:type="even"/>
      <w:footnotePr>
        <w:numRestart w:val="eachSect"/>
      </w:footnotePr>
      <w:pgSz w:w="23811" w:h="16838" w:orient="landscape"/>
      <w:pgMar w:top="1134" w:right="1418"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Times New Roman"/>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CourierNewPSMT">
    <w:altName w:val="Times New Roman"/>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TimesNewRomanPS-Italic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2</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6</w:t>
    </w:r>
    <w:r>
      <w:rPr>
        <w:rStyle w:val="55"/>
      </w:rPr>
      <w:fldChar w:fldCharType="end"/>
    </w:r>
    <w:r>
      <w:rPr>
        <w:rStyle w:val="55"/>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4</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6</w:t>
    </w:r>
    <w:r>
      <w:rPr>
        <w:rStyle w:val="55"/>
      </w:rPr>
      <w:fldChar w:fldCharType="end"/>
    </w:r>
    <w:r>
      <w:rPr>
        <w:rStyle w:val="55"/>
      </w:rPr>
      <w:tab/>
    </w: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2DDF0E1C"/>
    <w:multiLevelType w:val="multilevel"/>
    <w:tmpl w:val="2DDF0E1C"/>
    <w:lvl w:ilvl="0" w:tentative="0">
      <w:start w:val="1"/>
      <w:numFmt w:val="bullet"/>
      <w:pStyle w:val="150"/>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7">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180"/>
      </w:pPr>
      <w:rPr>
        <w:rFonts w:hint="default" w:ascii="Symbol" w:hAnsi="Symbol"/>
      </w:rPr>
    </w:lvl>
    <w:lvl w:ilvl="3" w:tentative="0">
      <w:start w:val="1"/>
      <w:numFmt w:val="bullet"/>
      <w:lvlText w:val="o"/>
      <w:lvlJc w:val="left"/>
      <w:pPr>
        <w:tabs>
          <w:tab w:val="left" w:pos="2880"/>
        </w:tabs>
        <w:ind w:left="2880" w:hanging="360"/>
      </w:pPr>
      <w:rPr>
        <w:rFonts w:hint="default" w:ascii="Courier New" w:hAnsi="Courier New" w:cs="Courier New"/>
      </w:r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9">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3">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4"/>
  </w:num>
  <w:num w:numId="2">
    <w:abstractNumId w:val="6"/>
  </w:num>
  <w:num w:numId="3">
    <w:abstractNumId w:val="1"/>
  </w:num>
  <w:num w:numId="4">
    <w:abstractNumId w:val="4"/>
  </w:num>
  <w:num w:numId="5">
    <w:abstractNumId w:val="2"/>
  </w:num>
  <w:num w:numId="6">
    <w:abstractNumId w:val="12"/>
  </w:num>
  <w:num w:numId="7">
    <w:abstractNumId w:val="0"/>
  </w:num>
  <w:num w:numId="8">
    <w:abstractNumId w:val="15"/>
  </w:num>
  <w:num w:numId="9">
    <w:abstractNumId w:val="9"/>
  </w:num>
  <w:num w:numId="10">
    <w:abstractNumId w:val="7"/>
  </w:num>
  <w:num w:numId="11">
    <w:abstractNumId w:val="10"/>
  </w:num>
  <w:num w:numId="12">
    <w:abstractNumId w:val="11"/>
  </w:num>
  <w:num w:numId="13">
    <w:abstractNumId w:val="5"/>
  </w:num>
  <w:num w:numId="14">
    <w:abstractNumId w:val="8"/>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4569"/>
    <w:rsid w:val="0002564D"/>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7187"/>
    <w:rsid w:val="00067473"/>
    <w:rsid w:val="0006782A"/>
    <w:rsid w:val="00067FA1"/>
    <w:rsid w:val="00070862"/>
    <w:rsid w:val="00071340"/>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DF3"/>
    <w:rsid w:val="001005FF"/>
    <w:rsid w:val="001007A2"/>
    <w:rsid w:val="00102B62"/>
    <w:rsid w:val="001042E0"/>
    <w:rsid w:val="00104DF4"/>
    <w:rsid w:val="001050FA"/>
    <w:rsid w:val="001062FB"/>
    <w:rsid w:val="001063E6"/>
    <w:rsid w:val="001064BD"/>
    <w:rsid w:val="0010757B"/>
    <w:rsid w:val="00112161"/>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4314"/>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1417"/>
    <w:rsid w:val="00151E23"/>
    <w:rsid w:val="001526E0"/>
    <w:rsid w:val="001537F1"/>
    <w:rsid w:val="001538D3"/>
    <w:rsid w:val="001551B5"/>
    <w:rsid w:val="00157485"/>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4CF"/>
    <w:rsid w:val="0017502C"/>
    <w:rsid w:val="00176056"/>
    <w:rsid w:val="00180D83"/>
    <w:rsid w:val="0018143F"/>
    <w:rsid w:val="00181FF8"/>
    <w:rsid w:val="001829BD"/>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775"/>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4C30"/>
    <w:rsid w:val="00254F8B"/>
    <w:rsid w:val="00254F98"/>
    <w:rsid w:val="00255376"/>
    <w:rsid w:val="00257543"/>
    <w:rsid w:val="00257CCD"/>
    <w:rsid w:val="00257D99"/>
    <w:rsid w:val="002617E7"/>
    <w:rsid w:val="00261800"/>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690C"/>
    <w:rsid w:val="002B7047"/>
    <w:rsid w:val="002B74E8"/>
    <w:rsid w:val="002C1552"/>
    <w:rsid w:val="002C2BE5"/>
    <w:rsid w:val="002C3BA1"/>
    <w:rsid w:val="002C41E6"/>
    <w:rsid w:val="002C56C6"/>
    <w:rsid w:val="002C5DD2"/>
    <w:rsid w:val="002C5DDB"/>
    <w:rsid w:val="002C64E8"/>
    <w:rsid w:val="002C6EC8"/>
    <w:rsid w:val="002D071A"/>
    <w:rsid w:val="002D0DEC"/>
    <w:rsid w:val="002D1C03"/>
    <w:rsid w:val="002D34B2"/>
    <w:rsid w:val="002D34E1"/>
    <w:rsid w:val="002D48B0"/>
    <w:rsid w:val="002D5B37"/>
    <w:rsid w:val="002D6400"/>
    <w:rsid w:val="002D73F7"/>
    <w:rsid w:val="002D7637"/>
    <w:rsid w:val="002E17C1"/>
    <w:rsid w:val="002E17F2"/>
    <w:rsid w:val="002E291A"/>
    <w:rsid w:val="002E3A37"/>
    <w:rsid w:val="002E3D7C"/>
    <w:rsid w:val="002E6267"/>
    <w:rsid w:val="002E7CAE"/>
    <w:rsid w:val="002F13E4"/>
    <w:rsid w:val="002F2771"/>
    <w:rsid w:val="002F37A9"/>
    <w:rsid w:val="002F6A3E"/>
    <w:rsid w:val="002F762F"/>
    <w:rsid w:val="002F7FA1"/>
    <w:rsid w:val="003001F5"/>
    <w:rsid w:val="00301CE6"/>
    <w:rsid w:val="0030256B"/>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62CA"/>
    <w:rsid w:val="00317396"/>
    <w:rsid w:val="003203ED"/>
    <w:rsid w:val="003225AE"/>
    <w:rsid w:val="00322C9F"/>
    <w:rsid w:val="00324D23"/>
    <w:rsid w:val="00324E27"/>
    <w:rsid w:val="003254FA"/>
    <w:rsid w:val="00331751"/>
    <w:rsid w:val="0033180F"/>
    <w:rsid w:val="00332F5E"/>
    <w:rsid w:val="00333457"/>
    <w:rsid w:val="00334579"/>
    <w:rsid w:val="00335858"/>
    <w:rsid w:val="00335F8A"/>
    <w:rsid w:val="00336BDA"/>
    <w:rsid w:val="003408C8"/>
    <w:rsid w:val="003408F0"/>
    <w:rsid w:val="0034206B"/>
    <w:rsid w:val="00342BD7"/>
    <w:rsid w:val="00343847"/>
    <w:rsid w:val="003442B7"/>
    <w:rsid w:val="00346DB5"/>
    <w:rsid w:val="003477B1"/>
    <w:rsid w:val="00350C8B"/>
    <w:rsid w:val="00350CA7"/>
    <w:rsid w:val="003520B6"/>
    <w:rsid w:val="00353206"/>
    <w:rsid w:val="0035368E"/>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19E3"/>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3AAC"/>
    <w:rsid w:val="00413E92"/>
    <w:rsid w:val="0041477D"/>
    <w:rsid w:val="004150A7"/>
    <w:rsid w:val="00415604"/>
    <w:rsid w:val="0041671F"/>
    <w:rsid w:val="00416CD2"/>
    <w:rsid w:val="00416FF0"/>
    <w:rsid w:val="00417028"/>
    <w:rsid w:val="00417678"/>
    <w:rsid w:val="00420482"/>
    <w:rsid w:val="00420B9E"/>
    <w:rsid w:val="00421105"/>
    <w:rsid w:val="004212C1"/>
    <w:rsid w:val="00421B6B"/>
    <w:rsid w:val="00421BC2"/>
    <w:rsid w:val="00421F51"/>
    <w:rsid w:val="00422AA4"/>
    <w:rsid w:val="00422EC0"/>
    <w:rsid w:val="004242F4"/>
    <w:rsid w:val="00425660"/>
    <w:rsid w:val="00427248"/>
    <w:rsid w:val="00430426"/>
    <w:rsid w:val="00431F13"/>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905D0"/>
    <w:rsid w:val="00491118"/>
    <w:rsid w:val="0049128F"/>
    <w:rsid w:val="00492BC5"/>
    <w:rsid w:val="00492CB9"/>
    <w:rsid w:val="0049396E"/>
    <w:rsid w:val="00493DA4"/>
    <w:rsid w:val="00494795"/>
    <w:rsid w:val="00494DC8"/>
    <w:rsid w:val="00494E08"/>
    <w:rsid w:val="004964F1"/>
    <w:rsid w:val="004A16BC"/>
    <w:rsid w:val="004A2521"/>
    <w:rsid w:val="004A2AE5"/>
    <w:rsid w:val="004A2B94"/>
    <w:rsid w:val="004A494E"/>
    <w:rsid w:val="004A6671"/>
    <w:rsid w:val="004A6875"/>
    <w:rsid w:val="004A7062"/>
    <w:rsid w:val="004A79AB"/>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7284"/>
    <w:rsid w:val="004D7C3C"/>
    <w:rsid w:val="004D7EBD"/>
    <w:rsid w:val="004E052A"/>
    <w:rsid w:val="004E1A05"/>
    <w:rsid w:val="004E23CB"/>
    <w:rsid w:val="004E2680"/>
    <w:rsid w:val="004E28F9"/>
    <w:rsid w:val="004E462E"/>
    <w:rsid w:val="004E4C08"/>
    <w:rsid w:val="004E56DC"/>
    <w:rsid w:val="004E5787"/>
    <w:rsid w:val="004E6570"/>
    <w:rsid w:val="004E76F4"/>
    <w:rsid w:val="004F009A"/>
    <w:rsid w:val="004F04DF"/>
    <w:rsid w:val="004F0B4E"/>
    <w:rsid w:val="004F0B6C"/>
    <w:rsid w:val="004F1F69"/>
    <w:rsid w:val="004F1F89"/>
    <w:rsid w:val="004F2078"/>
    <w:rsid w:val="004F4562"/>
    <w:rsid w:val="004F4DA3"/>
    <w:rsid w:val="004F5A8B"/>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228"/>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CE7"/>
    <w:rsid w:val="00546227"/>
    <w:rsid w:val="00546970"/>
    <w:rsid w:val="005469D3"/>
    <w:rsid w:val="005515BC"/>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70A9A"/>
    <w:rsid w:val="00571FDE"/>
    <w:rsid w:val="00572186"/>
    <w:rsid w:val="00572505"/>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50A1"/>
    <w:rsid w:val="005C66EC"/>
    <w:rsid w:val="005C6F20"/>
    <w:rsid w:val="005C74FB"/>
    <w:rsid w:val="005C7A8B"/>
    <w:rsid w:val="005D054D"/>
    <w:rsid w:val="005D06F5"/>
    <w:rsid w:val="005D0D23"/>
    <w:rsid w:val="005D1602"/>
    <w:rsid w:val="005D18E9"/>
    <w:rsid w:val="005D2F3B"/>
    <w:rsid w:val="005D4ABD"/>
    <w:rsid w:val="005D663A"/>
    <w:rsid w:val="005E1E89"/>
    <w:rsid w:val="005E2C1F"/>
    <w:rsid w:val="005E361D"/>
    <w:rsid w:val="005E385F"/>
    <w:rsid w:val="005E413B"/>
    <w:rsid w:val="005E4AC1"/>
    <w:rsid w:val="005E5006"/>
    <w:rsid w:val="005E5B81"/>
    <w:rsid w:val="005E66DB"/>
    <w:rsid w:val="005F2CB1"/>
    <w:rsid w:val="005F3025"/>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1B83"/>
    <w:rsid w:val="00613257"/>
    <w:rsid w:val="006168A7"/>
    <w:rsid w:val="00616B14"/>
    <w:rsid w:val="00616B42"/>
    <w:rsid w:val="006174E3"/>
    <w:rsid w:val="006202EE"/>
    <w:rsid w:val="00620A71"/>
    <w:rsid w:val="00620D80"/>
    <w:rsid w:val="00621C7D"/>
    <w:rsid w:val="006234A6"/>
    <w:rsid w:val="006237D3"/>
    <w:rsid w:val="00624D99"/>
    <w:rsid w:val="00625793"/>
    <w:rsid w:val="00625A3B"/>
    <w:rsid w:val="00627582"/>
    <w:rsid w:val="00630001"/>
    <w:rsid w:val="006311B3"/>
    <w:rsid w:val="0063284C"/>
    <w:rsid w:val="006333B4"/>
    <w:rsid w:val="00634C5F"/>
    <w:rsid w:val="00636398"/>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218F"/>
    <w:rsid w:val="006741F2"/>
    <w:rsid w:val="00674CC3"/>
    <w:rsid w:val="00675C72"/>
    <w:rsid w:val="006771F9"/>
    <w:rsid w:val="006776D7"/>
    <w:rsid w:val="00681003"/>
    <w:rsid w:val="006817C9"/>
    <w:rsid w:val="006828CE"/>
    <w:rsid w:val="006835B2"/>
    <w:rsid w:val="00683A34"/>
    <w:rsid w:val="00683ECE"/>
    <w:rsid w:val="00683FA0"/>
    <w:rsid w:val="006865DE"/>
    <w:rsid w:val="006916EA"/>
    <w:rsid w:val="00691DBC"/>
    <w:rsid w:val="00693303"/>
    <w:rsid w:val="00693D18"/>
    <w:rsid w:val="006940AF"/>
    <w:rsid w:val="00695016"/>
    <w:rsid w:val="00695F2D"/>
    <w:rsid w:val="00695FC2"/>
    <w:rsid w:val="00696949"/>
    <w:rsid w:val="00696E40"/>
    <w:rsid w:val="00697052"/>
    <w:rsid w:val="006975C1"/>
    <w:rsid w:val="006A1959"/>
    <w:rsid w:val="006A3C40"/>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29DD"/>
    <w:rsid w:val="00703076"/>
    <w:rsid w:val="0070346E"/>
    <w:rsid w:val="00703802"/>
    <w:rsid w:val="00704A7A"/>
    <w:rsid w:val="00704B1F"/>
    <w:rsid w:val="00704EDB"/>
    <w:rsid w:val="007058A1"/>
    <w:rsid w:val="00706101"/>
    <w:rsid w:val="00706B96"/>
    <w:rsid w:val="00707072"/>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604B2"/>
    <w:rsid w:val="00761B40"/>
    <w:rsid w:val="00762574"/>
    <w:rsid w:val="007626EB"/>
    <w:rsid w:val="00764AF2"/>
    <w:rsid w:val="00765281"/>
    <w:rsid w:val="00765CBC"/>
    <w:rsid w:val="00765DEA"/>
    <w:rsid w:val="00766BAD"/>
    <w:rsid w:val="0077094D"/>
    <w:rsid w:val="00770BFC"/>
    <w:rsid w:val="007729A2"/>
    <w:rsid w:val="007755F2"/>
    <w:rsid w:val="00775BE0"/>
    <w:rsid w:val="00776971"/>
    <w:rsid w:val="00777CC5"/>
    <w:rsid w:val="007801D6"/>
    <w:rsid w:val="00780A80"/>
    <w:rsid w:val="00781543"/>
    <w:rsid w:val="0078177E"/>
    <w:rsid w:val="0078304C"/>
    <w:rsid w:val="007833BF"/>
    <w:rsid w:val="00783673"/>
    <w:rsid w:val="0078411E"/>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763"/>
    <w:rsid w:val="007F5D34"/>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602E1"/>
    <w:rsid w:val="00862E0A"/>
    <w:rsid w:val="008634CA"/>
    <w:rsid w:val="00863C0D"/>
    <w:rsid w:val="008649A5"/>
    <w:rsid w:val="0086603D"/>
    <w:rsid w:val="008667BF"/>
    <w:rsid w:val="00866939"/>
    <w:rsid w:val="008677FD"/>
    <w:rsid w:val="00867EC3"/>
    <w:rsid w:val="008706D4"/>
    <w:rsid w:val="00870F8A"/>
    <w:rsid w:val="00871867"/>
    <w:rsid w:val="008719A4"/>
    <w:rsid w:val="00871D23"/>
    <w:rsid w:val="00874312"/>
    <w:rsid w:val="0087437C"/>
    <w:rsid w:val="00874C6E"/>
    <w:rsid w:val="00875CD7"/>
    <w:rsid w:val="00876B4D"/>
    <w:rsid w:val="00877F18"/>
    <w:rsid w:val="00877F48"/>
    <w:rsid w:val="00882189"/>
    <w:rsid w:val="00887433"/>
    <w:rsid w:val="008911B8"/>
    <w:rsid w:val="008914F4"/>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92A"/>
    <w:rsid w:val="008B64B8"/>
    <w:rsid w:val="008B67BA"/>
    <w:rsid w:val="008B688A"/>
    <w:rsid w:val="008B690A"/>
    <w:rsid w:val="008B7158"/>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EA1"/>
    <w:rsid w:val="008F6F54"/>
    <w:rsid w:val="008F70FF"/>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54B"/>
    <w:rsid w:val="009655C6"/>
    <w:rsid w:val="0096584A"/>
    <w:rsid w:val="009677AE"/>
    <w:rsid w:val="00967A0A"/>
    <w:rsid w:val="00967FB8"/>
    <w:rsid w:val="00971ED5"/>
    <w:rsid w:val="00971F08"/>
    <w:rsid w:val="009725FC"/>
    <w:rsid w:val="009726F0"/>
    <w:rsid w:val="00972DFC"/>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477E"/>
    <w:rsid w:val="009B4DF4"/>
    <w:rsid w:val="009B564E"/>
    <w:rsid w:val="009B747C"/>
    <w:rsid w:val="009B7E87"/>
    <w:rsid w:val="009C0169"/>
    <w:rsid w:val="009C17E1"/>
    <w:rsid w:val="009C2177"/>
    <w:rsid w:val="009C2813"/>
    <w:rsid w:val="009C403E"/>
    <w:rsid w:val="009C457A"/>
    <w:rsid w:val="009C4BD1"/>
    <w:rsid w:val="009C50F2"/>
    <w:rsid w:val="009C596A"/>
    <w:rsid w:val="009C629E"/>
    <w:rsid w:val="009D121C"/>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3E"/>
    <w:rsid w:val="009E47A3"/>
    <w:rsid w:val="009E5BBE"/>
    <w:rsid w:val="009E7757"/>
    <w:rsid w:val="009F08F3"/>
    <w:rsid w:val="009F1E19"/>
    <w:rsid w:val="009F344F"/>
    <w:rsid w:val="009F4F6E"/>
    <w:rsid w:val="009F5FB3"/>
    <w:rsid w:val="009F783F"/>
    <w:rsid w:val="00A009B0"/>
    <w:rsid w:val="00A00D9E"/>
    <w:rsid w:val="00A0184F"/>
    <w:rsid w:val="00A031D8"/>
    <w:rsid w:val="00A04590"/>
    <w:rsid w:val="00A048A8"/>
    <w:rsid w:val="00A04F49"/>
    <w:rsid w:val="00A055AC"/>
    <w:rsid w:val="00A06299"/>
    <w:rsid w:val="00A07589"/>
    <w:rsid w:val="00A10B48"/>
    <w:rsid w:val="00A10EB9"/>
    <w:rsid w:val="00A13989"/>
    <w:rsid w:val="00A13D54"/>
    <w:rsid w:val="00A13E54"/>
    <w:rsid w:val="00A14058"/>
    <w:rsid w:val="00A1438F"/>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5B74"/>
    <w:rsid w:val="00A46EAF"/>
    <w:rsid w:val="00A46FA0"/>
    <w:rsid w:val="00A51408"/>
    <w:rsid w:val="00A52E1D"/>
    <w:rsid w:val="00A53DDF"/>
    <w:rsid w:val="00A55562"/>
    <w:rsid w:val="00A56AE8"/>
    <w:rsid w:val="00A56B38"/>
    <w:rsid w:val="00A61499"/>
    <w:rsid w:val="00A62A77"/>
    <w:rsid w:val="00A63054"/>
    <w:rsid w:val="00A63483"/>
    <w:rsid w:val="00A63618"/>
    <w:rsid w:val="00A637D3"/>
    <w:rsid w:val="00A645EC"/>
    <w:rsid w:val="00A657D7"/>
    <w:rsid w:val="00A65A10"/>
    <w:rsid w:val="00A660AC"/>
    <w:rsid w:val="00A665A1"/>
    <w:rsid w:val="00A67E6C"/>
    <w:rsid w:val="00A70A8C"/>
    <w:rsid w:val="00A7132B"/>
    <w:rsid w:val="00A71B99"/>
    <w:rsid w:val="00A736D1"/>
    <w:rsid w:val="00A739D0"/>
    <w:rsid w:val="00A74265"/>
    <w:rsid w:val="00A74A7C"/>
    <w:rsid w:val="00A74DC3"/>
    <w:rsid w:val="00A7526B"/>
    <w:rsid w:val="00A761D4"/>
    <w:rsid w:val="00A763B2"/>
    <w:rsid w:val="00A76638"/>
    <w:rsid w:val="00A77662"/>
    <w:rsid w:val="00A77EC4"/>
    <w:rsid w:val="00A82617"/>
    <w:rsid w:val="00A83038"/>
    <w:rsid w:val="00A837AB"/>
    <w:rsid w:val="00A9103F"/>
    <w:rsid w:val="00A92796"/>
    <w:rsid w:val="00A92879"/>
    <w:rsid w:val="00A9442A"/>
    <w:rsid w:val="00A944A3"/>
    <w:rsid w:val="00A9499F"/>
    <w:rsid w:val="00A955F1"/>
    <w:rsid w:val="00A96B75"/>
    <w:rsid w:val="00AA016F"/>
    <w:rsid w:val="00AA192D"/>
    <w:rsid w:val="00AA1ED6"/>
    <w:rsid w:val="00AA24BA"/>
    <w:rsid w:val="00AA35E8"/>
    <w:rsid w:val="00AA3E67"/>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64C7"/>
    <w:rsid w:val="00B66CF2"/>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3B59"/>
    <w:rsid w:val="00B9406A"/>
    <w:rsid w:val="00B943B5"/>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54FC"/>
    <w:rsid w:val="00BE5C0F"/>
    <w:rsid w:val="00BE7406"/>
    <w:rsid w:val="00BE7603"/>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D4B"/>
    <w:rsid w:val="00C15094"/>
    <w:rsid w:val="00C154BB"/>
    <w:rsid w:val="00C15E05"/>
    <w:rsid w:val="00C17B2A"/>
    <w:rsid w:val="00C17CE9"/>
    <w:rsid w:val="00C21245"/>
    <w:rsid w:val="00C22443"/>
    <w:rsid w:val="00C2248E"/>
    <w:rsid w:val="00C22B8F"/>
    <w:rsid w:val="00C230EF"/>
    <w:rsid w:val="00C23247"/>
    <w:rsid w:val="00C23784"/>
    <w:rsid w:val="00C23D86"/>
    <w:rsid w:val="00C257ED"/>
    <w:rsid w:val="00C26311"/>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4BF"/>
    <w:rsid w:val="00C64672"/>
    <w:rsid w:val="00C64A55"/>
    <w:rsid w:val="00C64DA7"/>
    <w:rsid w:val="00C64EDB"/>
    <w:rsid w:val="00C65679"/>
    <w:rsid w:val="00C67F2B"/>
    <w:rsid w:val="00C70157"/>
    <w:rsid w:val="00C70697"/>
    <w:rsid w:val="00C72093"/>
    <w:rsid w:val="00C72EF4"/>
    <w:rsid w:val="00C73E6A"/>
    <w:rsid w:val="00C744FE"/>
    <w:rsid w:val="00C74773"/>
    <w:rsid w:val="00C74BC3"/>
    <w:rsid w:val="00C75D2F"/>
    <w:rsid w:val="00C767BE"/>
    <w:rsid w:val="00C76E3C"/>
    <w:rsid w:val="00C81568"/>
    <w:rsid w:val="00C815B1"/>
    <w:rsid w:val="00C86D3F"/>
    <w:rsid w:val="00C871FF"/>
    <w:rsid w:val="00C87DDB"/>
    <w:rsid w:val="00C87FC8"/>
    <w:rsid w:val="00C9027A"/>
    <w:rsid w:val="00C9068E"/>
    <w:rsid w:val="00C919A1"/>
    <w:rsid w:val="00C92608"/>
    <w:rsid w:val="00C93530"/>
    <w:rsid w:val="00C93814"/>
    <w:rsid w:val="00C93C4B"/>
    <w:rsid w:val="00C944AB"/>
    <w:rsid w:val="00C94725"/>
    <w:rsid w:val="00C95B40"/>
    <w:rsid w:val="00C961DE"/>
    <w:rsid w:val="00C96B3C"/>
    <w:rsid w:val="00C9735C"/>
    <w:rsid w:val="00CA0F13"/>
    <w:rsid w:val="00CA1552"/>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71D"/>
    <w:rsid w:val="00CD2ED1"/>
    <w:rsid w:val="00CD337B"/>
    <w:rsid w:val="00CD5D47"/>
    <w:rsid w:val="00CE0424"/>
    <w:rsid w:val="00CE0C7E"/>
    <w:rsid w:val="00CE0DD9"/>
    <w:rsid w:val="00CE199B"/>
    <w:rsid w:val="00CE1CCF"/>
    <w:rsid w:val="00CE2DCC"/>
    <w:rsid w:val="00CE31BF"/>
    <w:rsid w:val="00CE3C8B"/>
    <w:rsid w:val="00CE4939"/>
    <w:rsid w:val="00CE7561"/>
    <w:rsid w:val="00CF0ADC"/>
    <w:rsid w:val="00CF1354"/>
    <w:rsid w:val="00CF1C4B"/>
    <w:rsid w:val="00CF1E01"/>
    <w:rsid w:val="00CF200B"/>
    <w:rsid w:val="00CF2133"/>
    <w:rsid w:val="00CF2140"/>
    <w:rsid w:val="00CF2498"/>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2C5A"/>
    <w:rsid w:val="00D2335D"/>
    <w:rsid w:val="00D237EC"/>
    <w:rsid w:val="00D239A7"/>
    <w:rsid w:val="00D23F47"/>
    <w:rsid w:val="00D240DC"/>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75F9"/>
    <w:rsid w:val="00D47A36"/>
    <w:rsid w:val="00D47C49"/>
    <w:rsid w:val="00D511B1"/>
    <w:rsid w:val="00D534DF"/>
    <w:rsid w:val="00D5429D"/>
    <w:rsid w:val="00D546FF"/>
    <w:rsid w:val="00D55AD5"/>
    <w:rsid w:val="00D56406"/>
    <w:rsid w:val="00D5677E"/>
    <w:rsid w:val="00D56A10"/>
    <w:rsid w:val="00D572D8"/>
    <w:rsid w:val="00D576CA"/>
    <w:rsid w:val="00D605BC"/>
    <w:rsid w:val="00D61AF5"/>
    <w:rsid w:val="00D629DF"/>
    <w:rsid w:val="00D62D94"/>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51F"/>
    <w:rsid w:val="00DA0782"/>
    <w:rsid w:val="00DA1E03"/>
    <w:rsid w:val="00DA305E"/>
    <w:rsid w:val="00DA4165"/>
    <w:rsid w:val="00DA49A1"/>
    <w:rsid w:val="00DA4CAF"/>
    <w:rsid w:val="00DA5417"/>
    <w:rsid w:val="00DA55AA"/>
    <w:rsid w:val="00DA56E8"/>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128A"/>
    <w:rsid w:val="00E41E69"/>
    <w:rsid w:val="00E43606"/>
    <w:rsid w:val="00E446F1"/>
    <w:rsid w:val="00E46886"/>
    <w:rsid w:val="00E46A8C"/>
    <w:rsid w:val="00E47398"/>
    <w:rsid w:val="00E47AEF"/>
    <w:rsid w:val="00E50885"/>
    <w:rsid w:val="00E53B75"/>
    <w:rsid w:val="00E54E3B"/>
    <w:rsid w:val="00E55968"/>
    <w:rsid w:val="00E56928"/>
    <w:rsid w:val="00E57565"/>
    <w:rsid w:val="00E60D43"/>
    <w:rsid w:val="00E63838"/>
    <w:rsid w:val="00E63A32"/>
    <w:rsid w:val="00E64434"/>
    <w:rsid w:val="00E64EEB"/>
    <w:rsid w:val="00E65A7D"/>
    <w:rsid w:val="00E66171"/>
    <w:rsid w:val="00E66621"/>
    <w:rsid w:val="00E67871"/>
    <w:rsid w:val="00E67C51"/>
    <w:rsid w:val="00E713E4"/>
    <w:rsid w:val="00E72554"/>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3931"/>
    <w:rsid w:val="00E83AA9"/>
    <w:rsid w:val="00E83BF8"/>
    <w:rsid w:val="00E85928"/>
    <w:rsid w:val="00E8648A"/>
    <w:rsid w:val="00E86719"/>
    <w:rsid w:val="00E87072"/>
    <w:rsid w:val="00E87822"/>
    <w:rsid w:val="00E90395"/>
    <w:rsid w:val="00E90D5E"/>
    <w:rsid w:val="00E90E49"/>
    <w:rsid w:val="00E9177A"/>
    <w:rsid w:val="00E917F9"/>
    <w:rsid w:val="00E9291C"/>
    <w:rsid w:val="00E92B46"/>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71CE"/>
    <w:rsid w:val="00EC7A1A"/>
    <w:rsid w:val="00ED0ADD"/>
    <w:rsid w:val="00ED1006"/>
    <w:rsid w:val="00ED241B"/>
    <w:rsid w:val="00ED3FF9"/>
    <w:rsid w:val="00ED4653"/>
    <w:rsid w:val="00ED4EDB"/>
    <w:rsid w:val="00ED55D3"/>
    <w:rsid w:val="00ED6E4D"/>
    <w:rsid w:val="00ED7222"/>
    <w:rsid w:val="00ED79C1"/>
    <w:rsid w:val="00EE081E"/>
    <w:rsid w:val="00EE2165"/>
    <w:rsid w:val="00EE3A61"/>
    <w:rsid w:val="00EE5D2B"/>
    <w:rsid w:val="00EE7492"/>
    <w:rsid w:val="00EE7CCD"/>
    <w:rsid w:val="00EF18FE"/>
    <w:rsid w:val="00EF272F"/>
    <w:rsid w:val="00EF5787"/>
    <w:rsid w:val="00EF5DD7"/>
    <w:rsid w:val="00EF60D0"/>
    <w:rsid w:val="00EF735D"/>
    <w:rsid w:val="00EF7C5F"/>
    <w:rsid w:val="00F01AB7"/>
    <w:rsid w:val="00F02BB9"/>
    <w:rsid w:val="00F04C1F"/>
    <w:rsid w:val="00F0528D"/>
    <w:rsid w:val="00F06904"/>
    <w:rsid w:val="00F06C67"/>
    <w:rsid w:val="00F06DFD"/>
    <w:rsid w:val="00F071D1"/>
    <w:rsid w:val="00F07533"/>
    <w:rsid w:val="00F10629"/>
    <w:rsid w:val="00F1178C"/>
    <w:rsid w:val="00F11CF5"/>
    <w:rsid w:val="00F129BB"/>
    <w:rsid w:val="00F13C62"/>
    <w:rsid w:val="00F15683"/>
    <w:rsid w:val="00F15FA5"/>
    <w:rsid w:val="00F17693"/>
    <w:rsid w:val="00F2064F"/>
    <w:rsid w:val="00F209B7"/>
    <w:rsid w:val="00F2376F"/>
    <w:rsid w:val="00F23C45"/>
    <w:rsid w:val="00F243D8"/>
    <w:rsid w:val="00F2505D"/>
    <w:rsid w:val="00F26C8C"/>
    <w:rsid w:val="00F27D66"/>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67F7"/>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310"/>
    <w:rsid w:val="00FE47B7"/>
    <w:rsid w:val="00FE4C7B"/>
    <w:rsid w:val="00FE52B7"/>
    <w:rsid w:val="00FE5AF9"/>
    <w:rsid w:val="00FE6076"/>
    <w:rsid w:val="00FE6707"/>
    <w:rsid w:val="00FE7336"/>
    <w:rsid w:val="00FE787C"/>
    <w:rsid w:val="00FE7A34"/>
    <w:rsid w:val="00FE7D33"/>
    <w:rsid w:val="00FF45A5"/>
    <w:rsid w:val="00FF4AC5"/>
    <w:rsid w:val="00FF5C91"/>
    <w:rsid w:val="0A9C5A2B"/>
    <w:rsid w:val="14E2C3ED"/>
    <w:rsid w:val="265903B6"/>
    <w:rsid w:val="36705299"/>
    <w:rsid w:val="40954584"/>
    <w:rsid w:val="4301A270"/>
    <w:rsid w:val="4BDDC874"/>
    <w:rsid w:val="56D69652"/>
    <w:rsid w:val="57F25113"/>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160" w:line="259" w:lineRule="auto"/>
    </w:pPr>
    <w:rPr>
      <w:rFonts w:ascii="Arial" w:hAnsi="Arial" w:eastAsiaTheme="minorHAnsi" w:cstheme="minorBidi"/>
      <w:szCs w:val="22"/>
      <w:lang w:val="en-US" w:eastAsia="en-US"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4"/>
    <w:uiPriority w:val="0"/>
    <w:pPr>
      <w:spacing w:after="120"/>
      <w:jc w:val="both"/>
    </w:pPr>
    <w:rPr>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uiPriority w:val="0"/>
    <w:pPr>
      <w:numPr>
        <w:numId w:val="1"/>
      </w:numPr>
    </w:pPr>
  </w:style>
  <w:style w:type="paragraph" w:styleId="24">
    <w:name w:val="List Number"/>
    <w:basedOn w:val="14"/>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uiPriority w:val="0"/>
    <w:pPr>
      <w:numPr>
        <w:numId w:val="4"/>
      </w:numPr>
    </w:pPr>
  </w:style>
  <w:style w:type="paragraph" w:styleId="27">
    <w:name w:val="List Bullet 2"/>
    <w:basedOn w:val="28"/>
    <w:qFormat/>
    <w:uiPriority w:val="0"/>
    <w:pPr>
      <w:numPr>
        <w:numId w:val="5"/>
      </w:numPr>
    </w:pPr>
  </w:style>
  <w:style w:type="paragraph" w:styleId="28">
    <w:name w:val="List Bullet"/>
    <w:basedOn w:val="14"/>
    <w:uiPriority w:val="0"/>
    <w:pPr>
      <w:numPr>
        <w:ilvl w:val="0"/>
        <w:numId w:val="6"/>
      </w:numPr>
    </w:pPr>
    <w:rPr>
      <w:lang w:eastAsia="ja-JP"/>
    </w:rPr>
  </w:style>
  <w:style w:type="paragraph" w:styleId="29">
    <w:name w:val="caption"/>
    <w:basedOn w:val="1"/>
    <w:next w:val="1"/>
    <w:link w:val="152"/>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uiPriority w:val="99"/>
    <w:pPr>
      <w:ind w:left="1701" w:hanging="1701"/>
      <w:jc w:val="left"/>
    </w:pPr>
    <w:rPr>
      <w:b/>
    </w:rPr>
  </w:style>
  <w:style w:type="paragraph" w:styleId="45">
    <w:name w:val="toc 9"/>
    <w:basedOn w:val="36"/>
    <w:next w:val="1"/>
    <w:uiPriority w:val="39"/>
    <w:pPr>
      <w:ind w:left="1418" w:hanging="1418"/>
    </w:pPr>
  </w:style>
  <w:style w:type="paragraph" w:styleId="46">
    <w:name w:val="List Continue 2"/>
    <w:basedOn w:val="1"/>
    <w:qFormat/>
    <w:uiPriority w:val="0"/>
    <w:pPr>
      <w:spacing w:after="120"/>
      <w:ind w:left="566"/>
      <w:contextualSpacing/>
    </w:pPr>
  </w:style>
  <w:style w:type="paragraph" w:styleId="4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48">
    <w:name w:val="index 1"/>
    <w:basedOn w:val="1"/>
    <w:next w:val="1"/>
    <w:uiPriority w:val="0"/>
    <w:pPr>
      <w:keepLines/>
      <w:spacing w:after="0"/>
    </w:pPr>
  </w:style>
  <w:style w:type="paragraph" w:styleId="49">
    <w:name w:val="index 2"/>
    <w:basedOn w:val="48"/>
    <w:next w:val="1"/>
    <w:uiPriority w:val="0"/>
    <w:pPr>
      <w:ind w:left="284"/>
    </w:pPr>
  </w:style>
  <w:style w:type="paragraph" w:styleId="50">
    <w:name w:val="annotation subject"/>
    <w:basedOn w:val="31"/>
    <w:next w:val="31"/>
    <w:link w:val="110"/>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uiPriority w:val="0"/>
    <w:rPr>
      <w:color w:val="800080"/>
      <w:u w:val="single"/>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uiPriority w:val="0"/>
    <w:rPr>
      <w:b/>
      <w:position w:val="6"/>
      <w:sz w:val="16"/>
    </w:rPr>
  </w:style>
  <w:style w:type="paragraph" w:customStyle="1" w:styleId="62">
    <w:name w:val="Figure"/>
    <w:basedOn w:val="1"/>
    <w:next w:val="29"/>
    <w:uiPriority w:val="0"/>
    <w:pPr>
      <w:keepNext/>
      <w:keepLines/>
      <w:spacing w:before="180"/>
      <w:jc w:val="center"/>
    </w:pPr>
  </w:style>
  <w:style w:type="paragraph" w:customStyle="1" w:styleId="63">
    <w:name w:val="3GPP_Header"/>
    <w:basedOn w:val="15"/>
    <w:uiPriority w:val="0"/>
    <w:pPr>
      <w:tabs>
        <w:tab w:val="left" w:pos="1701"/>
        <w:tab w:val="right" w:pos="9639"/>
      </w:tabs>
      <w:spacing w:after="240"/>
    </w:pPr>
    <w:rPr>
      <w:b/>
      <w:sz w:val="24"/>
    </w:rPr>
  </w:style>
  <w:style w:type="paragraph" w:customStyle="1" w:styleId="64">
    <w:name w:val="EQ"/>
    <w:basedOn w:val="1"/>
    <w:next w:val="1"/>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Heading 1 Char"/>
    <w:link w:val="2"/>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uiPriority w:val="0"/>
    <w:rPr>
      <w:rFonts w:ascii="Times New Roman" w:hAnsi="Times New Roman"/>
    </w:rPr>
  </w:style>
  <w:style w:type="paragraph" w:customStyle="1" w:styleId="71">
    <w:name w:val="B3"/>
    <w:basedOn w:val="12"/>
    <w:link w:val="100"/>
    <w:uiPriority w:val="0"/>
    <w:rPr>
      <w:rFonts w:ascii="Times New Roman" w:hAnsi="Times New Roman"/>
    </w:rPr>
  </w:style>
  <w:style w:type="paragraph" w:customStyle="1" w:styleId="72">
    <w:name w:val="B4"/>
    <w:basedOn w:val="43"/>
    <w:link w:val="101"/>
    <w:uiPriority w:val="0"/>
    <w:rPr>
      <w:rFonts w:ascii="Times New Roman" w:hAnsi="Times New Roman"/>
    </w:rPr>
  </w:style>
  <w:style w:type="paragraph" w:customStyle="1" w:styleId="73">
    <w:name w:val="Proposal"/>
    <w:basedOn w:val="15"/>
    <w:link w:val="160"/>
    <w:qFormat/>
    <w:uiPriority w:val="0"/>
    <w:pPr>
      <w:numPr>
        <w:ilvl w:val="0"/>
        <w:numId w:val="10"/>
      </w:numPr>
      <w:tabs>
        <w:tab w:val="left" w:pos="1701"/>
      </w:tabs>
    </w:pPr>
    <w:rPr>
      <w:b/>
      <w:bCs/>
    </w:rPr>
  </w:style>
  <w:style w:type="character" w:customStyle="1" w:styleId="74">
    <w:name w:val="Body Text Char"/>
    <w:link w:val="15"/>
    <w:uiPriority w:val="0"/>
    <w:rPr>
      <w:rFonts w:ascii="Arial" w:hAnsi="Arial"/>
      <w:lang w:eastAsia="zh-CN"/>
    </w:rPr>
  </w:style>
  <w:style w:type="paragraph" w:customStyle="1" w:styleId="75">
    <w:name w:val="B5"/>
    <w:basedOn w:val="42"/>
    <w:link w:val="102"/>
    <w:uiPriority w:val="0"/>
    <w:rPr>
      <w:rFonts w:ascii="Times New Roman" w:hAnsi="Times New Roman"/>
    </w:rPr>
  </w:style>
  <w:style w:type="paragraph" w:customStyle="1" w:styleId="76">
    <w:name w:val="EX"/>
    <w:basedOn w:val="1"/>
    <w:uiPriority w:val="0"/>
    <w:pPr>
      <w:keepLines/>
      <w:ind w:left="1702" w:hanging="1418"/>
    </w:pPr>
  </w:style>
  <w:style w:type="paragraph" w:customStyle="1" w:styleId="77">
    <w:name w:val="EW"/>
    <w:basedOn w:val="76"/>
    <w:uiPriority w:val="0"/>
    <w:pPr>
      <w:spacing w:after="0"/>
    </w:pPr>
  </w:style>
  <w:style w:type="paragraph" w:customStyle="1" w:styleId="78">
    <w:name w:val="TAL"/>
    <w:basedOn w:val="1"/>
    <w:link w:val="140"/>
    <w:qFormat/>
    <w:uiPriority w:val="0"/>
    <w:pPr>
      <w:keepNext/>
      <w:keepLines/>
      <w:spacing w:after="0"/>
    </w:pPr>
    <w:rPr>
      <w:sz w:val="18"/>
      <w:lang w:val="zh-CN" w:eastAsia="zh-CN"/>
    </w:rPr>
  </w:style>
  <w:style w:type="paragraph" w:customStyle="1" w:styleId="79">
    <w:name w:val="TAC"/>
    <w:basedOn w:val="78"/>
    <w:link w:val="162"/>
    <w:uiPriority w:val="0"/>
    <w:pPr>
      <w:jc w:val="center"/>
    </w:pPr>
  </w:style>
  <w:style w:type="paragraph" w:customStyle="1" w:styleId="80">
    <w:name w:val="TAH"/>
    <w:basedOn w:val="79"/>
    <w:link w:val="141"/>
    <w:uiPriority w:val="0"/>
    <w:rPr>
      <w:b/>
    </w:rPr>
  </w:style>
  <w:style w:type="paragraph" w:customStyle="1" w:styleId="81">
    <w:name w:val="TAN"/>
    <w:basedOn w:val="78"/>
    <w:uiPriority w:val="0"/>
    <w:pPr>
      <w:ind w:left="851" w:hanging="851"/>
    </w:pPr>
  </w:style>
  <w:style w:type="paragraph" w:customStyle="1" w:styleId="82">
    <w:name w:val="TAR"/>
    <w:basedOn w:val="78"/>
    <w:uiPriority w:val="0"/>
    <w:pPr>
      <w:jc w:val="right"/>
    </w:pPr>
  </w:style>
  <w:style w:type="paragraph" w:customStyle="1" w:styleId="83">
    <w:name w:val="TH"/>
    <w:basedOn w:val="1"/>
    <w:link w:val="142"/>
    <w:qFormat/>
    <w:uiPriority w:val="0"/>
    <w:pPr>
      <w:keepNext/>
      <w:keepLines/>
      <w:spacing w:before="60"/>
      <w:jc w:val="center"/>
    </w:pPr>
    <w:rPr>
      <w:b/>
      <w:lang w:val="zh-CN" w:eastAsia="zh-CN"/>
    </w:rPr>
  </w:style>
  <w:style w:type="paragraph" w:customStyle="1" w:styleId="84">
    <w:name w:val="TF"/>
    <w:basedOn w:val="83"/>
    <w:link w:val="146"/>
    <w:uiPriority w:val="0"/>
    <w:pPr>
      <w:keepNext w:val="0"/>
      <w:spacing w:before="0" w:after="240"/>
    </w:pPr>
  </w:style>
  <w:style w:type="paragraph" w:customStyle="1" w:styleId="85">
    <w:name w:val="TT"/>
    <w:basedOn w:val="2"/>
    <w:next w:val="1"/>
    <w:uiPriority w:val="0"/>
    <w:pPr>
      <w:outlineLvl w:val="9"/>
    </w:pPr>
  </w:style>
  <w:style w:type="paragraph" w:customStyle="1" w:styleId="86">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7">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8">
    <w:name w:val="ZD"/>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9">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0">
    <w:name w:val="ZGSM"/>
    <w:uiPriority w:val="0"/>
  </w:style>
  <w:style w:type="paragraph" w:customStyle="1" w:styleId="91">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uiPriority w:val="0"/>
    <w:pPr>
      <w:framePr w:hRule="auto" w:y="852"/>
    </w:pPr>
    <w:rPr>
      <w:i w:val="0"/>
      <w:sz w:val="40"/>
    </w:rPr>
  </w:style>
  <w:style w:type="paragraph" w:customStyle="1" w:styleId="94">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uiPriority w:val="0"/>
    <w:pPr>
      <w:spacing w:after="0"/>
    </w:pPr>
  </w:style>
  <w:style w:type="paragraph" w:customStyle="1" w:styleId="97">
    <w:name w:val="Observation"/>
    <w:basedOn w:val="73"/>
    <w:link w:val="151"/>
    <w:qFormat/>
    <w:uiPriority w:val="0"/>
    <w:pPr>
      <w:numPr>
        <w:ilvl w:val="0"/>
        <w:numId w:val="11"/>
      </w:numPr>
      <w:tabs>
        <w:tab w:val="clear" w:pos="1701"/>
      </w:tabs>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qFormat/>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qFormat/>
    <w:uiPriority w:val="0"/>
    <w:pPr>
      <w:numPr>
        <w:ilvl w:val="0"/>
        <w:numId w:val="12"/>
      </w:numPr>
      <w:spacing w:before="40" w:after="0"/>
    </w:pPr>
    <w:rPr>
      <w:rFonts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Header Char"/>
    <w:link w:val="39"/>
    <w:qFormat/>
    <w:uiPriority w:val="0"/>
    <w:rPr>
      <w:rFonts w:ascii="Arial" w:hAnsi="Arial"/>
      <w:b/>
      <w:sz w:val="18"/>
      <w:lang w:eastAsia="ja-JP"/>
    </w:rPr>
  </w:style>
  <w:style w:type="character" w:customStyle="1" w:styleId="121">
    <w:name w:val="Footer Char"/>
    <w:link w:val="38"/>
    <w:qFormat/>
    <w:uiPriority w:val="0"/>
    <w:rPr>
      <w:rFonts w:ascii="Arial" w:hAnsi="Arial"/>
      <w:b/>
      <w:i/>
      <w:sz w:val="18"/>
      <w:lang w:eastAsia="ja-JP"/>
    </w:rPr>
  </w:style>
  <w:style w:type="character" w:customStyle="1" w:styleId="122">
    <w:name w:val="Footnote Text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qFormat/>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lang w:val="zh-CN"/>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6"/>
    <w:uiPriority w:val="0"/>
    <w:pPr>
      <w:keepNext/>
      <w:spacing w:after="0"/>
    </w:pPr>
    <w:rPr>
      <w:sz w:val="18"/>
    </w:rPr>
  </w:style>
  <w:style w:type="paragraph" w:customStyle="1" w:styleId="136">
    <w:name w:val="NW"/>
    <w:basedOn w:val="66"/>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spacing w:after="0"/>
    </w:pPr>
    <w:rPr>
      <w:rFonts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Intense Emphasis"/>
    <w:basedOn w:val="53"/>
    <w:qFormat/>
    <w:uiPriority w:val="21"/>
    <w:rPr>
      <w:i/>
      <w:iCs/>
      <w:color w:val="4472C4" w:themeColor="accent1"/>
      <w14:textFill>
        <w14:solidFill>
          <w14:schemeClr w14:val="accent1"/>
        </w14:solidFill>
      </w14:textFill>
    </w:rPr>
  </w:style>
  <w:style w:type="paragraph" w:customStyle="1" w:styleId="148">
    <w:name w:val="Arial Text"/>
    <w:basedOn w:val="1"/>
    <w:link w:val="149"/>
    <w:qFormat/>
    <w:uiPriority w:val="0"/>
    <w:pPr>
      <w:jc w:val="both"/>
    </w:pPr>
    <w:rPr>
      <w:lang w:eastAsia="ja-JP"/>
    </w:rPr>
  </w:style>
  <w:style w:type="character" w:customStyle="1" w:styleId="149">
    <w:name w:val="Arial Text Char"/>
    <w:basedOn w:val="53"/>
    <w:link w:val="148"/>
    <w:qFormat/>
    <w:uiPriority w:val="0"/>
    <w:rPr>
      <w:rFonts w:ascii="Arial" w:hAnsi="Arial" w:eastAsiaTheme="minorHAnsi" w:cstheme="minorBidi"/>
      <w:szCs w:val="22"/>
      <w:lang w:val="en-US" w:eastAsia="ja-JP"/>
    </w:rPr>
  </w:style>
  <w:style w:type="paragraph" w:customStyle="1" w:styleId="150">
    <w:name w:val="bullet"/>
    <w:basedOn w:val="133"/>
    <w:qFormat/>
    <w:uiPriority w:val="0"/>
    <w:pPr>
      <w:numPr>
        <w:ilvl w:val="0"/>
        <w:numId w:val="13"/>
      </w:numPr>
      <w:spacing w:after="160" w:line="256" w:lineRule="auto"/>
      <w:ind w:left="720"/>
      <w:contextualSpacing/>
    </w:pPr>
    <w:rPr>
      <w:rFonts w:ascii="Arial" w:hAnsi="Arial" w:eastAsia="Times New Roman"/>
      <w:sz w:val="20"/>
      <w:szCs w:val="24"/>
      <w:lang w:val="en-GB" w:eastAsia="en-GB"/>
    </w:rPr>
  </w:style>
  <w:style w:type="character" w:customStyle="1" w:styleId="151">
    <w:name w:val="Observation Char"/>
    <w:basedOn w:val="53"/>
    <w:link w:val="97"/>
    <w:qFormat/>
    <w:uiPriority w:val="0"/>
    <w:rPr>
      <w:rFonts w:ascii="Arial" w:hAnsi="Arial" w:eastAsiaTheme="minorHAnsi" w:cstheme="minorBidi"/>
      <w:b/>
      <w:bCs/>
      <w:szCs w:val="22"/>
      <w:lang w:val="en-US" w:eastAsia="ja-JP"/>
    </w:rPr>
  </w:style>
  <w:style w:type="character" w:customStyle="1" w:styleId="152">
    <w:name w:val="Caption Char1"/>
    <w:link w:val="29"/>
    <w:qFormat/>
    <w:uiPriority w:val="0"/>
    <w:rPr>
      <w:rFonts w:ascii="Arial" w:hAnsi="Arial" w:eastAsiaTheme="minorHAnsi" w:cstheme="minorBidi"/>
      <w:b/>
      <w:szCs w:val="22"/>
      <w:lang w:val="en-US"/>
    </w:rPr>
  </w:style>
  <w:style w:type="table" w:customStyle="1" w:styleId="153">
    <w:name w:val="Table Grid7"/>
    <w:basedOn w:val="51"/>
    <w:qFormat/>
    <w:uiPriority w:val="39"/>
    <w:rPr>
      <w:rFonts w:ascii="Times New Roman" w:hAnsi="Times New Roma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4">
    <w:name w:val="TF Zchn"/>
    <w:qFormat/>
    <w:locked/>
    <w:uiPriority w:val="0"/>
    <w:rPr>
      <w:rFonts w:ascii="Arial" w:hAnsi="Arial"/>
      <w:b/>
      <w:lang w:val="en-GB"/>
    </w:rPr>
  </w:style>
  <w:style w:type="character" w:styleId="155">
    <w:name w:val="Placeholder Text"/>
    <w:basedOn w:val="53"/>
    <w:semiHidden/>
    <w:qFormat/>
    <w:uiPriority w:val="99"/>
    <w:rPr>
      <w:color w:val="808080"/>
    </w:rPr>
  </w:style>
  <w:style w:type="character" w:customStyle="1" w:styleId="156">
    <w:name w:val="B1 Zchn"/>
    <w:qFormat/>
    <w:uiPriority w:val="0"/>
    <w:rPr>
      <w:lang w:eastAsia="en-US"/>
    </w:rPr>
  </w:style>
  <w:style w:type="character" w:customStyle="1" w:styleId="157">
    <w:name w:val="未处理的提及1"/>
    <w:basedOn w:val="53"/>
    <w:unhideWhenUsed/>
    <w:qFormat/>
    <w:uiPriority w:val="99"/>
    <w:rPr>
      <w:color w:val="605E5C"/>
      <w:shd w:val="clear" w:color="auto" w:fill="E1DFDD"/>
    </w:rPr>
  </w:style>
  <w:style w:type="character" w:customStyle="1" w:styleId="158">
    <w:name w:val="@他1"/>
    <w:basedOn w:val="53"/>
    <w:unhideWhenUsed/>
    <w:qFormat/>
    <w:uiPriority w:val="99"/>
    <w:rPr>
      <w:color w:val="2B579A"/>
      <w:shd w:val="clear" w:color="auto" w:fill="E1DFDD"/>
    </w:rPr>
  </w:style>
  <w:style w:type="paragraph" w:customStyle="1" w:styleId="159">
    <w:name w:val="Revision"/>
    <w:hidden/>
    <w:semiHidden/>
    <w:qFormat/>
    <w:uiPriority w:val="99"/>
    <w:rPr>
      <w:rFonts w:ascii="Arial" w:hAnsi="Arial" w:eastAsiaTheme="minorHAnsi" w:cstheme="minorBidi"/>
      <w:szCs w:val="22"/>
      <w:lang w:val="en-US" w:eastAsia="en-US" w:bidi="ar-SA"/>
    </w:rPr>
  </w:style>
  <w:style w:type="character" w:customStyle="1" w:styleId="160">
    <w:name w:val="Proposal Char"/>
    <w:basedOn w:val="74"/>
    <w:link w:val="73"/>
    <w:qFormat/>
    <w:uiPriority w:val="0"/>
    <w:rPr>
      <w:rFonts w:ascii="Arial" w:hAnsi="Arial" w:eastAsiaTheme="minorHAnsi" w:cstheme="minorBidi"/>
      <w:b/>
      <w:bCs/>
      <w:szCs w:val="22"/>
      <w:lang w:val="en-US" w:eastAsia="zh-CN"/>
    </w:rPr>
  </w:style>
  <w:style w:type="table" w:customStyle="1" w:styleId="161">
    <w:name w:val="Table Grid1"/>
    <w:basedOn w:val="51"/>
    <w:qFormat/>
    <w:uiPriority w:val="39"/>
    <w:rPr>
      <w:rFonts w:asciiTheme="minorHAnsi" w:hAnsiTheme="minorHAnsi" w:eastAsiaTheme="minorHAnsi" w:cstheme="minorBid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TAC Char"/>
    <w:link w:val="79"/>
    <w:qFormat/>
    <w:uiPriority w:val="0"/>
    <w:rPr>
      <w:rFonts w:ascii="Arial" w:hAnsi="Arial" w:eastAsiaTheme="minorHAnsi" w:cstheme="minorBidi"/>
      <w:sz w:val="18"/>
      <w:szCs w:val="22"/>
      <w:lang w:val="zh-CN" w:eastAsia="zh-CN"/>
    </w:rPr>
  </w:style>
  <w:style w:type="paragraph" w:customStyle="1" w:styleId="163">
    <w:name w:val="IvD tabletext"/>
    <w:basedOn w:val="15"/>
    <w:link w:val="164"/>
    <w:qFormat/>
    <w:uiPriority w:val="0"/>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164">
    <w:name w:val="IvD tabletext Char"/>
    <w:basedOn w:val="53"/>
    <w:link w:val="163"/>
    <w:qFormat/>
    <w:uiPriority w:val="0"/>
    <w:rPr>
      <w:rFonts w:ascii="Arial" w:hAnsi="Arial"/>
      <w:spacing w:val="2"/>
      <w:lang w:val="en-US" w:eastAsia="en-US"/>
    </w:rPr>
  </w:style>
  <w:style w:type="paragraph" w:customStyle="1" w:styleId="165">
    <w:name w:val="IvD bodytext"/>
    <w:basedOn w:val="15"/>
    <w:link w:val="166"/>
    <w:qFormat/>
    <w:uiPriority w:val="0"/>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166">
    <w:name w:val="IvD bodytext Char"/>
    <w:basedOn w:val="53"/>
    <w:link w:val="165"/>
    <w:qFormat/>
    <w:uiPriority w:val="0"/>
    <w:rPr>
      <w:rFonts w:ascii="Arial" w:hAnsi="Arial"/>
      <w:spacing w:val="2"/>
      <w:lang w:val="en-US" w:eastAsia="en-US"/>
    </w:rPr>
  </w:style>
  <w:style w:type="character" w:customStyle="1" w:styleId="167">
    <w:name w:val="Comments Char"/>
    <w:link w:val="168"/>
    <w:qFormat/>
    <w:locked/>
    <w:uiPriority w:val="0"/>
    <w:rPr>
      <w:rFonts w:ascii="Arial" w:hAnsi="Arial" w:eastAsia="MS Mincho" w:cs="Arial"/>
      <w:i/>
      <w:sz w:val="18"/>
      <w:szCs w:val="24"/>
    </w:rPr>
  </w:style>
  <w:style w:type="paragraph" w:customStyle="1" w:styleId="168">
    <w:name w:val="Comments"/>
    <w:basedOn w:val="1"/>
    <w:link w:val="167"/>
    <w:qFormat/>
    <w:uiPriority w:val="0"/>
    <w:pPr>
      <w:spacing w:before="40" w:after="0" w:line="240" w:lineRule="auto"/>
    </w:pPr>
    <w:rPr>
      <w:rFonts w:eastAsia="MS Mincho" w:cs="Arial"/>
      <w:i/>
      <w:sz w:val="18"/>
      <w:szCs w:val="24"/>
      <w:lang w:val="en-GB" w:eastAsia="en-GB"/>
    </w:rPr>
  </w:style>
  <w:style w:type="table" w:customStyle="1" w:styleId="169">
    <w:name w:val="Table Grid2"/>
    <w:basedOn w:val="51"/>
    <w:qFormat/>
    <w:uiPriority w:val="0"/>
    <w:pPr>
      <w:spacing w:after="160" w:line="256" w:lineRule="auto"/>
    </w:pPr>
    <w:rPr>
      <w:rFonts w:ascii="Times New Roman" w:hAnsi="Times New Roman"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0">
    <w:name w:val="fontstyle01"/>
    <w:basedOn w:val="53"/>
    <w:qFormat/>
    <w:uiPriority w:val="0"/>
    <w:rPr>
      <w:rFonts w:hint="default" w:ascii="CourierNewPSMT" w:hAnsi="CourierNewPSMT"/>
      <w:color w:val="000000"/>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6EAD09-2A99-4B9C-847C-58A89F95495F}">
  <ds:schemaRefs/>
</ds:datastoreItem>
</file>

<file path=customXml/itemProps3.xml><?xml version="1.0" encoding="utf-8"?>
<ds:datastoreItem xmlns:ds="http://schemas.openxmlformats.org/officeDocument/2006/customXml" ds:itemID="{C08889CA-CF25-44DD-B38A-03277614784A}">
  <ds:schemaRefs/>
</ds:datastoreItem>
</file>

<file path=customXml/itemProps4.xml><?xml version="1.0" encoding="utf-8"?>
<ds:datastoreItem xmlns:ds="http://schemas.openxmlformats.org/officeDocument/2006/customXml" ds:itemID="{9744CBD9-10EA-431E-84F3-30CD53C8A2B5}">
  <ds:schemaRefs/>
</ds:datastoreItem>
</file>

<file path=customXml/itemProps5.xml><?xml version="1.0" encoding="utf-8"?>
<ds:datastoreItem xmlns:ds="http://schemas.openxmlformats.org/officeDocument/2006/customXml" ds:itemID="{C93A020F-C79F-4126-A924-A5569F12E27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6</Pages>
  <Words>2000</Words>
  <Characters>11405</Characters>
  <Lines>95</Lines>
  <Paragraphs>26</Paragraphs>
  <TotalTime>0</TotalTime>
  <ScaleCrop>false</ScaleCrop>
  <LinksUpToDate>false</LinksUpToDate>
  <CharactersWithSpaces>13379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2021-10-12T00:56:00Z</dcterms:created>
  <dc:creator>Asbjörn Grövlen</dc:creator>
  <cp:keywords>3GPP; Ericsson; TDoc</cp:keywords>
  <cp:lastModifiedBy>ZTE-Youjun Hu</cp:lastModifiedBy>
  <cp:lastPrinted>2008-01-31T16:09:00Z</cp:lastPrinted>
  <dcterms:modified xsi:type="dcterms:W3CDTF">2021-10-12T07:17:37Z</dcterms:modified>
  <dc:title>Ericsson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2052-11.8.2.9022</vt:lpwstr>
  </property>
</Properties>
</file>