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79583" w14:textId="494BBAD0"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2"/>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2C8C4F6" w14:textId="77777777" w:rsidR="00F90018" w:rsidRDefault="0076677B">
            <w:pPr>
              <w:spacing w:after="0"/>
              <w:jc w:val="center"/>
              <w:rPr>
                <w:rFonts w:eastAsia="宋体"/>
                <w:lang w:val="en-US" w:eastAsia="zh-CN"/>
              </w:rPr>
            </w:pPr>
            <w:r>
              <w:rPr>
                <w:rFonts w:eastAsia="宋体"/>
                <w:lang w:val="en-US" w:eastAsia="zh-CN"/>
              </w:rPr>
              <w:t>Lijie HU</w:t>
            </w:r>
          </w:p>
        </w:tc>
        <w:tc>
          <w:tcPr>
            <w:tcW w:w="4394" w:type="dxa"/>
          </w:tcPr>
          <w:p w14:paraId="4B38F432"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0FD9431A" w14:textId="77777777" w:rsidR="00F90018" w:rsidRDefault="0076677B">
            <w:pPr>
              <w:spacing w:after="0"/>
              <w:jc w:val="center"/>
              <w:rPr>
                <w:rFonts w:eastAsia="宋体"/>
                <w:lang w:val="en-US" w:eastAsia="zh-CN"/>
              </w:rPr>
            </w:pPr>
            <w:r>
              <w:rPr>
                <w:rFonts w:eastAsia="宋体" w:hint="eastAsia"/>
                <w:lang w:val="en-US" w:eastAsia="zh-CN"/>
              </w:rPr>
              <w:t>Youjun Hu</w:t>
            </w:r>
          </w:p>
        </w:tc>
        <w:tc>
          <w:tcPr>
            <w:tcW w:w="4394" w:type="dxa"/>
          </w:tcPr>
          <w:p w14:paraId="1CEFFF35"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AA13493"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56AC1A6"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3C872EF3"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6FC05EF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宋体"/>
                <w:lang w:val="en-US" w:eastAsia="zh-CN"/>
              </w:rPr>
            </w:pPr>
            <w:r>
              <w:rPr>
                <w:rFonts w:eastAsia="宋体"/>
                <w:lang w:val="en-US" w:eastAsia="zh-CN"/>
              </w:rPr>
              <w:t>TCL</w:t>
            </w:r>
          </w:p>
        </w:tc>
        <w:tc>
          <w:tcPr>
            <w:tcW w:w="1372" w:type="dxa"/>
          </w:tcPr>
          <w:p w14:paraId="0FE3351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宋体"/>
                <w:lang w:val="en-US" w:eastAsia="zh-CN"/>
              </w:rPr>
            </w:pPr>
            <w:r>
              <w:rPr>
                <w:rFonts w:eastAsia="宋体"/>
                <w:lang w:val="en-US" w:eastAsia="zh-CN"/>
              </w:rPr>
              <w:t>Xiaomi</w:t>
            </w:r>
          </w:p>
        </w:tc>
        <w:tc>
          <w:tcPr>
            <w:tcW w:w="1372" w:type="dxa"/>
          </w:tcPr>
          <w:p w14:paraId="0C1026E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lastRenderedPageBreak/>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宋体"/>
                <w:lang w:val="en-US" w:eastAsia="ja-JP"/>
              </w:rPr>
            </w:pPr>
            <w:r>
              <w:rPr>
                <w:rFonts w:eastAsia="宋体"/>
                <w:lang w:val="en-US" w:eastAsia="zh-CN"/>
              </w:rPr>
              <w:t>CMCC</w:t>
            </w:r>
          </w:p>
        </w:tc>
        <w:tc>
          <w:tcPr>
            <w:tcW w:w="1372" w:type="dxa"/>
          </w:tcPr>
          <w:p w14:paraId="76440BE7"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B898DFD"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6DA76DBF" w14:textId="77777777" w:rsidR="00F90018" w:rsidRDefault="0076677B">
            <w:pPr>
              <w:ind w:left="420"/>
              <w:jc w:val="center"/>
            </w:pPr>
            <w:r>
              <w:rPr>
                <w:noProof/>
                <w:lang w:val="en-US" w:eastAsia="zh-CN"/>
              </w:rPr>
              <w:lastRenderedPageBreak/>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6E5A825"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63901CB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iUL BWP for non-RedCap. However, RO for RedCap is separated </w:t>
            </w:r>
            <w:r>
              <w:rPr>
                <w:rFonts w:eastAsiaTheme="minorEastAsia"/>
                <w:lang w:val="en-US" w:eastAsia="zh-CN"/>
              </w:rPr>
              <w:lastRenderedPageBreak/>
              <w:t>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5"/>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5"/>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5"/>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5"/>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lastRenderedPageBreak/>
              <w:t>N</w:t>
            </w:r>
          </w:p>
        </w:tc>
        <w:tc>
          <w:tcPr>
            <w:tcW w:w="6994" w:type="dxa"/>
          </w:tcPr>
          <w:p w14:paraId="5462B823"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lastRenderedPageBreak/>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14:paraId="12540BCD"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宋体"/>
                <w:lang w:val="en-US" w:eastAsia="zh-CN"/>
              </w:rPr>
            </w:pPr>
            <w:r>
              <w:rPr>
                <w:rFonts w:eastAsia="宋体" w:hint="eastAsia"/>
                <w:lang w:val="en-US" w:eastAsia="zh-CN"/>
              </w:rPr>
              <w:lastRenderedPageBreak/>
              <w:t>ZTE, Sanechips</w:t>
            </w:r>
          </w:p>
        </w:tc>
        <w:tc>
          <w:tcPr>
            <w:tcW w:w="1199" w:type="dxa"/>
          </w:tcPr>
          <w:p w14:paraId="2078442D"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等线"/>
                <w:lang w:val="en-US" w:eastAsia="zh-CN"/>
              </w:rPr>
              <w:t>IDCC</w:t>
            </w:r>
          </w:p>
        </w:tc>
        <w:tc>
          <w:tcPr>
            <w:tcW w:w="1199" w:type="dxa"/>
          </w:tcPr>
          <w:p w14:paraId="23567863" w14:textId="77777777" w:rsidR="00F90018" w:rsidRDefault="0076677B">
            <w:pPr>
              <w:rPr>
                <w:rFonts w:eastAsiaTheme="minorEastAsia"/>
                <w:lang w:val="en-US" w:eastAsia="zh-CN"/>
              </w:rPr>
            </w:pPr>
            <w:r>
              <w:rPr>
                <w:rFonts w:eastAsia="等线"/>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等线"/>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5B1CBB4D"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5"/>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lastRenderedPageBreak/>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lastRenderedPageBreak/>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ae"/>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ae"/>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5"/>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199" w:type="dxa"/>
          </w:tcPr>
          <w:p w14:paraId="4B65362D" w14:textId="1927D1A0" w:rsidR="003D2383" w:rsidRDefault="003D2383" w:rsidP="003D2383">
            <w:pPr>
              <w:rPr>
                <w:rFonts w:eastAsiaTheme="minorEastAsia" w:hint="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hint="eastAsia"/>
                <w:lang w:val="en-US" w:eastAsia="zh-CN"/>
              </w:rPr>
            </w:pP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lastRenderedPageBreak/>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宋体"/>
                <w:lang w:val="en-US" w:eastAsia="zh-CN"/>
              </w:rPr>
            </w:pPr>
            <w:r>
              <w:rPr>
                <w:rFonts w:eastAsia="宋体"/>
                <w:lang w:val="en-US" w:eastAsia="zh-CN"/>
              </w:rPr>
              <w:t>TCL</w:t>
            </w:r>
          </w:p>
        </w:tc>
        <w:tc>
          <w:tcPr>
            <w:tcW w:w="1372" w:type="dxa"/>
          </w:tcPr>
          <w:p w14:paraId="49A30D7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宋体"/>
                <w:lang w:val="en-US" w:eastAsia="zh-CN"/>
              </w:rPr>
            </w:pPr>
            <w:r>
              <w:rPr>
                <w:rFonts w:eastAsia="宋体"/>
                <w:lang w:val="en-US" w:eastAsia="zh-CN"/>
              </w:rPr>
              <w:t>Xiaomi</w:t>
            </w:r>
          </w:p>
        </w:tc>
        <w:tc>
          <w:tcPr>
            <w:tcW w:w="1372" w:type="dxa"/>
          </w:tcPr>
          <w:p w14:paraId="1357D2C7"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2pt;height:86.95pt" o:ole="">
                  <v:imagedata r:id="rId18" o:title=""/>
                </v:shape>
                <o:OLEObject Type="Embed" ProgID="Equation.3" ShapeID="_x0000_i1025" DrawAspect="Content" ObjectID="_1696160161"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 xml:space="preserve">Following the same logic, we do not think spec change is needed to support multiplexing </w:t>
            </w:r>
            <w:r>
              <w:rPr>
                <w:rFonts w:eastAsiaTheme="minorEastAsia"/>
                <w:lang w:val="en-US" w:eastAsia="zh-CN"/>
              </w:rPr>
              <w:lastRenderedPageBreak/>
              <w:t>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宋体"/>
                <w:lang w:val="en-US" w:eastAsia="ja-JP"/>
              </w:rPr>
            </w:pPr>
            <w:r>
              <w:rPr>
                <w:rFonts w:eastAsia="宋体"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85pt" o:ole="">
                  <v:imagedata r:id="rId20" o:title=""/>
                </v:shape>
                <o:OLEObject Type="Embed" ProgID="Equation.DSMT4" ShapeID="_x0000_i1026" DrawAspect="Content" ObjectID="_1696160162"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6pt;height:18.75pt" o:ole="">
                        <v:imagedata r:id="rId22" o:title=""/>
                      </v:shape>
                      <o:OLEObject Type="Embed" ProgID="Equation.3" ShapeID="_x0000_i1027" DrawAspect="Content" ObjectID="_1696160163"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35pt;height:13.4pt" o:ole="">
                        <v:imagedata r:id="rId24" o:title=""/>
                      </v:shape>
                      <o:OLEObject Type="Embed" ProgID="Equation.3" ShapeID="_x0000_i1028" DrawAspect="Content" ObjectID="_1696160164"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05pt;height:13.4pt" o:ole="">
                        <v:imagedata r:id="rId26" o:title=""/>
                      </v:shape>
                      <o:OLEObject Type="Embed" ProgID="Equation.3" ShapeID="_x0000_i1029" DrawAspect="Content" ObjectID="_1696160165"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5pt;height:13.4pt" o:ole="">
                        <v:imagedata r:id="rId28" o:title=""/>
                      </v:shape>
                      <o:OLEObject Type="Embed" ProgID="Equation.3" ShapeID="_x0000_i1030" DrawAspect="Content" ObjectID="_1696160166"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05pt;height:13.4pt" o:ole="">
                        <v:imagedata r:id="rId30" o:title=""/>
                      </v:shape>
                      <o:OLEObject Type="Embed" ProgID="Equation.3" ShapeID="_x0000_i1031" DrawAspect="Content" ObjectID="_1696160167"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05pt;height:13.4pt" o:ole="">
                        <v:imagedata r:id="rId32" o:title=""/>
                      </v:shape>
                      <o:OLEObject Type="Embed" ProgID="Equation.3" ShapeID="_x0000_i1032" DrawAspect="Content" ObjectID="_1696160168"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05pt;height:13.4pt" o:ole="">
                        <v:imagedata r:id="rId34" o:title=""/>
                      </v:shape>
                      <o:OLEObject Type="Embed" ProgID="Equation.3" ShapeID="_x0000_i1033" DrawAspect="Content" ObjectID="_1696160169"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05pt;height:13.4pt" o:ole="">
                        <v:imagedata r:id="rId36" o:title=""/>
                      </v:shape>
                      <o:OLEObject Type="Embed" ProgID="Equation.3" ShapeID="_x0000_i1034" DrawAspect="Content" ObjectID="_1696160170"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05pt;height:13.4pt" o:ole="">
                        <v:imagedata r:id="rId38" o:title=""/>
                      </v:shape>
                      <o:OLEObject Type="Embed" ProgID="Equation.3" ShapeID="_x0000_i1035" DrawAspect="Content" ObjectID="_1696160171"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宋体"/>
                <w:lang w:val="en-US" w:eastAsia="ja-JP"/>
              </w:rPr>
            </w:pPr>
            <w:r w:rsidRPr="00387E78">
              <w:rPr>
                <w:rFonts w:eastAsia="宋体"/>
                <w:lang w:val="en-US" w:eastAsia="zh-CN"/>
              </w:rPr>
              <w:lastRenderedPageBreak/>
              <w:t>ZTE, Sanechips</w:t>
            </w:r>
          </w:p>
        </w:tc>
        <w:tc>
          <w:tcPr>
            <w:tcW w:w="686" w:type="dxa"/>
          </w:tcPr>
          <w:p w14:paraId="74AB673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14:paraId="530FA831"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lastRenderedPageBreak/>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宋体"/>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宋体"/>
                <w:lang w:val="en-US" w:eastAsia="zh-CN"/>
              </w:rPr>
            </w:pPr>
            <w:r>
              <w:rPr>
                <w:rFonts w:eastAsia="宋体"/>
                <w:lang w:val="en-US" w:eastAsia="zh-CN"/>
              </w:rPr>
              <w:t>TCL</w:t>
            </w:r>
          </w:p>
        </w:tc>
        <w:tc>
          <w:tcPr>
            <w:tcW w:w="1372" w:type="dxa"/>
          </w:tcPr>
          <w:p w14:paraId="5CA2C982"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宋体"/>
                <w:lang w:val="en-US" w:eastAsia="zh-CN"/>
              </w:rPr>
            </w:pPr>
            <w:r>
              <w:rPr>
                <w:rFonts w:eastAsia="宋体"/>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34D1861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宋体"/>
                <w:lang w:val="en-US" w:eastAsia="zh-CN"/>
              </w:rPr>
            </w:pPr>
            <w:r>
              <w:rPr>
                <w:rFonts w:eastAsia="宋体"/>
                <w:lang w:val="en-US" w:eastAsia="zh-CN"/>
              </w:rPr>
              <w:t>NEC</w:t>
            </w:r>
          </w:p>
        </w:tc>
        <w:tc>
          <w:tcPr>
            <w:tcW w:w="1372" w:type="dxa"/>
          </w:tcPr>
          <w:p w14:paraId="46DD45AF"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1C73161" w14:textId="77777777" w:rsidR="00F90018" w:rsidRDefault="00F90018">
            <w:pPr>
              <w:jc w:val="both"/>
              <w:rPr>
                <w:rFonts w:eastAsia="宋体"/>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UEs is wider than the maximum RedCap UE </w:t>
            </w:r>
            <w:r>
              <w:rPr>
                <w:rFonts w:ascii="Times New Roman" w:hAnsi="Times New Roman" w:cs="Times New Roman"/>
                <w:b/>
                <w:sz w:val="20"/>
                <w:szCs w:val="20"/>
                <w:lang w:val="en-GB"/>
              </w:rPr>
              <w:lastRenderedPageBreak/>
              <w:t>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RedCap UEs can be configured in </w:t>
            </w:r>
            <w:r>
              <w:rPr>
                <w:rFonts w:ascii="Times New Roman" w:hAnsi="Times New Roman" w:cs="Times New Roman"/>
                <w:b/>
                <w:sz w:val="20"/>
                <w:szCs w:val="20"/>
                <w:lang w:val="en-US"/>
              </w:rPr>
              <w:lastRenderedPageBreak/>
              <w:t>SIB1.</w:t>
            </w:r>
          </w:p>
          <w:p w14:paraId="7C00479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lastRenderedPageBreak/>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宋体"/>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4964E597"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31C66D6A" w14:textId="77777777" w:rsidR="00F90018" w:rsidRDefault="00F90018">
            <w:pPr>
              <w:tabs>
                <w:tab w:val="left" w:pos="551"/>
              </w:tabs>
              <w:jc w:val="both"/>
              <w:rPr>
                <w:rFonts w:eastAsia="宋体"/>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宋体"/>
                <w:lang w:val="en-US" w:eastAsia="zh-CN"/>
              </w:rPr>
            </w:pPr>
            <w:r>
              <w:rPr>
                <w:rFonts w:eastAsia="宋体"/>
                <w:lang w:val="en-US" w:eastAsia="zh-CN"/>
              </w:rPr>
              <w:t>Xiaomi</w:t>
            </w:r>
          </w:p>
        </w:tc>
        <w:tc>
          <w:tcPr>
            <w:tcW w:w="1372" w:type="dxa"/>
          </w:tcPr>
          <w:p w14:paraId="30DBDC7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宋体"/>
                <w:lang w:val="en-US" w:eastAsia="ja-JP"/>
              </w:rPr>
            </w:pPr>
            <w:r>
              <w:rPr>
                <w:rFonts w:eastAsia="宋体"/>
                <w:lang w:val="en-US" w:eastAsia="zh-CN"/>
              </w:rPr>
              <w:t>CMCC</w:t>
            </w:r>
          </w:p>
        </w:tc>
        <w:tc>
          <w:tcPr>
            <w:tcW w:w="1372" w:type="dxa"/>
          </w:tcPr>
          <w:p w14:paraId="578119DA"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0EC991CC"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lastRenderedPageBreak/>
              <w:t>High Priority Proposal 3.1-2a</w:t>
            </w:r>
            <w:r>
              <w:rPr>
                <w:b/>
                <w:lang w:val="en-US"/>
              </w:rPr>
              <w:t>:</w:t>
            </w:r>
          </w:p>
          <w:p w14:paraId="687FA819"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lastRenderedPageBreak/>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 xml:space="preserve">For the case separate initial DL BWP does not contain entire CORESET#0, we </w:t>
            </w:r>
            <w:r>
              <w:rPr>
                <w:rFonts w:eastAsiaTheme="minorEastAsia"/>
                <w:lang w:eastAsia="zh-CN"/>
              </w:rPr>
              <w:lastRenderedPageBreak/>
              <w:t>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lastRenderedPageBreak/>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lastRenderedPageBreak/>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等线"/>
                <w:lang w:val="en-US" w:eastAsia="zh-CN"/>
              </w:rPr>
            </w:pPr>
            <w:r>
              <w:rPr>
                <w:rFonts w:eastAsia="等线"/>
                <w:lang w:val="en-US" w:eastAsia="zh-CN"/>
              </w:rPr>
              <w:t>IDCC</w:t>
            </w:r>
          </w:p>
        </w:tc>
        <w:tc>
          <w:tcPr>
            <w:tcW w:w="1372" w:type="dxa"/>
          </w:tcPr>
          <w:p w14:paraId="798F99AB" w14:textId="77777777" w:rsidR="00F90018" w:rsidRDefault="00F90018">
            <w:pPr>
              <w:tabs>
                <w:tab w:val="left" w:pos="551"/>
              </w:tabs>
              <w:rPr>
                <w:rFonts w:eastAsia="等线"/>
                <w:lang w:val="en-US" w:eastAsia="zh-CN"/>
              </w:rPr>
            </w:pPr>
          </w:p>
        </w:tc>
        <w:tc>
          <w:tcPr>
            <w:tcW w:w="6780" w:type="dxa"/>
          </w:tcPr>
          <w:p w14:paraId="15073FBE" w14:textId="77777777" w:rsidR="00F90018" w:rsidRDefault="0076677B">
            <w:pPr>
              <w:rPr>
                <w:rFonts w:eastAsia="等线"/>
                <w:lang w:val="en-US" w:eastAsia="zh-CN"/>
              </w:rPr>
            </w:pPr>
            <w:r>
              <w:rPr>
                <w:rFonts w:eastAsia="等线"/>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等线"/>
                <w:lang w:val="en-US" w:eastAsia="zh-CN"/>
              </w:rPr>
            </w:pPr>
            <w:r>
              <w:rPr>
                <w:rFonts w:eastAsia="等线"/>
                <w:lang w:val="en-US" w:eastAsia="zh-CN"/>
              </w:rPr>
              <w:t>Nokia, NSB</w:t>
            </w:r>
          </w:p>
        </w:tc>
        <w:tc>
          <w:tcPr>
            <w:tcW w:w="1372" w:type="dxa"/>
          </w:tcPr>
          <w:p w14:paraId="5F5F7E2F"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6D78CD3A" w14:textId="77777777" w:rsidR="00F90018" w:rsidRDefault="0076677B">
            <w:pPr>
              <w:rPr>
                <w:rFonts w:eastAsia="等线"/>
                <w:lang w:val="en-US" w:eastAsia="zh-CN"/>
              </w:rPr>
            </w:pPr>
            <w:r>
              <w:rPr>
                <w:rFonts w:eastAsia="等线"/>
                <w:lang w:val="en-US" w:eastAsia="zh-CN"/>
              </w:rPr>
              <w:t>We also prefer to keep CSS.</w:t>
            </w:r>
          </w:p>
        </w:tc>
      </w:tr>
      <w:tr w:rsidR="00F90018" w14:paraId="2A9D4CBD" w14:textId="77777777">
        <w:tc>
          <w:tcPr>
            <w:tcW w:w="1479" w:type="dxa"/>
          </w:tcPr>
          <w:p w14:paraId="4050F286" w14:textId="77777777" w:rsidR="00F90018" w:rsidRDefault="0076677B">
            <w:pPr>
              <w:rPr>
                <w:rFonts w:eastAsia="等线"/>
                <w:lang w:val="en-US" w:eastAsia="zh-CN"/>
              </w:rPr>
            </w:pPr>
            <w:r>
              <w:rPr>
                <w:rFonts w:eastAsia="等线"/>
                <w:lang w:val="en-US" w:eastAsia="zh-CN"/>
              </w:rPr>
              <w:t>FL4</w:t>
            </w:r>
          </w:p>
        </w:tc>
        <w:tc>
          <w:tcPr>
            <w:tcW w:w="8152" w:type="dxa"/>
            <w:gridSpan w:val="2"/>
          </w:tcPr>
          <w:p w14:paraId="7C74DF09"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 xml:space="preserve">1 Random </w:t>
            </w:r>
            <w:r>
              <w:rPr>
                <w:rFonts w:eastAsiaTheme="minorEastAsia"/>
                <w:lang w:val="en-US" w:eastAsia="zh-CN"/>
              </w:rPr>
              <w:lastRenderedPageBreak/>
              <w:t>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lastRenderedPageBreak/>
              <w:t xml:space="preserve">1 Random </w:t>
            </w:r>
            <w:r>
              <w:rPr>
                <w:rFonts w:eastAsiaTheme="minorEastAsia"/>
                <w:lang w:val="en-US" w:eastAsia="zh-CN"/>
              </w:rPr>
              <w:lastRenderedPageBreak/>
              <w:t>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lastRenderedPageBreak/>
              <w:t xml:space="preserve">If separately configured initial DL BWP is used to align centre frequency of initial DL BWP and initial UL BWP, </w:t>
            </w:r>
            <w:r>
              <w:rPr>
                <w:rFonts w:eastAsiaTheme="minorEastAsia"/>
                <w:lang w:val="en-US" w:eastAsia="zh-CN"/>
              </w:rPr>
              <w:lastRenderedPageBreak/>
              <w:t>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lastRenderedPageBreak/>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宋体"/>
                <w:lang w:val="en-US" w:eastAsia="zh-CN"/>
              </w:rPr>
              <w:t>ZTE, Sanechips</w:t>
            </w:r>
          </w:p>
        </w:tc>
        <w:tc>
          <w:tcPr>
            <w:tcW w:w="1517" w:type="dxa"/>
          </w:tcPr>
          <w:p w14:paraId="62EE9870"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765AF0C7" w14:textId="77777777" w:rsidR="00F90018" w:rsidRDefault="0076677B">
            <w:pPr>
              <w:rPr>
                <w:rFonts w:eastAsia="宋体"/>
                <w:lang w:val="en-US" w:eastAsia="zh-CN"/>
              </w:rPr>
            </w:pPr>
            <w:r>
              <w:rPr>
                <w:rFonts w:eastAsia="宋体"/>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宋体"/>
                <w:lang w:val="en-US" w:eastAsia="zh-CN"/>
              </w:rPr>
            </w:pPr>
            <w:r>
              <w:rPr>
                <w:rFonts w:eastAsia="宋体"/>
                <w:lang w:val="en-US" w:eastAsia="zh-CN"/>
              </w:rPr>
              <w:t>TCL</w:t>
            </w:r>
          </w:p>
        </w:tc>
        <w:tc>
          <w:tcPr>
            <w:tcW w:w="1517" w:type="dxa"/>
          </w:tcPr>
          <w:p w14:paraId="29AD4E8C"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78AB1724" w14:textId="77777777" w:rsidR="00F90018" w:rsidRDefault="0076677B">
            <w:pPr>
              <w:rPr>
                <w:rFonts w:eastAsia="宋体"/>
                <w:lang w:val="en-US" w:eastAsia="zh-CN"/>
              </w:rPr>
            </w:pPr>
            <w:r>
              <w:rPr>
                <w:rFonts w:eastAsia="宋体"/>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lastRenderedPageBreak/>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lastRenderedPageBreak/>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宋体"/>
                <w:lang w:val="en-US" w:eastAsia="zh-CN"/>
              </w:rPr>
            </w:pPr>
            <w:r>
              <w:rPr>
                <w:rFonts w:eastAsia="宋体"/>
                <w:lang w:val="en-US" w:eastAsia="zh-CN"/>
              </w:rPr>
              <w:t>CMCC</w:t>
            </w:r>
          </w:p>
        </w:tc>
        <w:tc>
          <w:tcPr>
            <w:tcW w:w="1517" w:type="dxa"/>
          </w:tcPr>
          <w:p w14:paraId="31818C0A"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51E62523" w14:textId="77777777" w:rsidR="00F90018" w:rsidRDefault="0076677B">
            <w:pPr>
              <w:rPr>
                <w:rFonts w:eastAsia="宋体"/>
                <w:lang w:val="en-US" w:eastAsia="zh-CN"/>
              </w:rPr>
            </w:pPr>
            <w:r>
              <w:rPr>
                <w:rFonts w:eastAsia="宋体"/>
                <w:lang w:val="en-US" w:eastAsia="zh-CN"/>
              </w:rPr>
              <w:t>1</w:t>
            </w:r>
          </w:p>
        </w:tc>
        <w:tc>
          <w:tcPr>
            <w:tcW w:w="5078" w:type="dxa"/>
          </w:tcPr>
          <w:p w14:paraId="052B90D3"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355E2F4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7948B92A" w14:textId="77777777" w:rsidR="00F90018" w:rsidRDefault="0076677B">
            <w:pPr>
              <w:rPr>
                <w:rFonts w:eastAsiaTheme="minorEastAsia"/>
                <w:lang w:val="en-US" w:eastAsia="ko-KR"/>
              </w:rPr>
            </w:pPr>
            <w:r>
              <w:rPr>
                <w:rFonts w:eastAsia="宋体"/>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lastRenderedPageBreak/>
              <w:t xml:space="preserve">1. RACH CSS (if this separated can be used </w:t>
            </w:r>
            <w:r>
              <w:rPr>
                <w:rFonts w:eastAsiaTheme="minorEastAsia"/>
                <w:lang w:val="en-US" w:eastAsia="zh-CN"/>
              </w:rPr>
              <w:lastRenderedPageBreak/>
              <w:t>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lastRenderedPageBreak/>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宋体"/>
                <w:lang w:val="en-US" w:eastAsia="zh-CN"/>
              </w:rPr>
              <w:t>ZTE, Sanechips</w:t>
            </w:r>
          </w:p>
        </w:tc>
        <w:tc>
          <w:tcPr>
            <w:tcW w:w="1372" w:type="dxa"/>
          </w:tcPr>
          <w:p w14:paraId="06A05B17"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宋体"/>
                <w:lang w:val="en-US" w:eastAsia="zh-CN"/>
              </w:rPr>
            </w:pPr>
            <w:r>
              <w:rPr>
                <w:rFonts w:eastAsia="宋体"/>
                <w:lang w:val="en-US" w:eastAsia="zh-CN"/>
              </w:rPr>
              <w:t>TCL</w:t>
            </w:r>
          </w:p>
        </w:tc>
        <w:tc>
          <w:tcPr>
            <w:tcW w:w="1372" w:type="dxa"/>
          </w:tcPr>
          <w:p w14:paraId="7AF3285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lastRenderedPageBreak/>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宋体"/>
                <w:lang w:val="en-US" w:eastAsia="ja-JP"/>
              </w:rPr>
            </w:pPr>
            <w:r>
              <w:rPr>
                <w:rFonts w:eastAsia="宋体"/>
                <w:lang w:val="en-US" w:eastAsia="zh-CN"/>
              </w:rPr>
              <w:t>CMCC</w:t>
            </w:r>
          </w:p>
        </w:tc>
        <w:tc>
          <w:tcPr>
            <w:tcW w:w="1372" w:type="dxa"/>
          </w:tcPr>
          <w:p w14:paraId="7C9A3E52"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4455CC9F"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322"/>
        <w:gridCol w:w="1116"/>
        <w:gridCol w:w="1116"/>
        <w:gridCol w:w="6302"/>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 xml:space="preserve">Non of the </w:t>
            </w:r>
            <w:r>
              <w:rPr>
                <w:lang w:val="en-US" w:eastAsia="ko-KR"/>
              </w:rPr>
              <w:lastRenderedPageBreak/>
              <w:t>options</w:t>
            </w:r>
          </w:p>
        </w:tc>
        <w:tc>
          <w:tcPr>
            <w:tcW w:w="6302" w:type="dxa"/>
          </w:tcPr>
          <w:p w14:paraId="4A178D89"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w:t>
            </w:r>
            <w:r>
              <w:rPr>
                <w:rFonts w:ascii="Times New Roman" w:hAnsi="Times New Roman" w:cs="Times New Roman"/>
                <w:b/>
                <w:bCs/>
                <w:sz w:val="20"/>
                <w:szCs w:val="20"/>
                <w:lang w:val="en-US"/>
              </w:rPr>
              <w:lastRenderedPageBreak/>
              <w:t xml:space="preserve">for initial UL and CORESET#0 can be different </w:t>
            </w:r>
          </w:p>
          <w:p w14:paraId="049DAEEB"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lastRenderedPageBreak/>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宋体"/>
                <w:lang w:val="en-US" w:eastAsia="zh-CN"/>
              </w:rPr>
              <w:t>ZTE, Sanechips</w:t>
            </w:r>
          </w:p>
        </w:tc>
        <w:tc>
          <w:tcPr>
            <w:tcW w:w="1116" w:type="dxa"/>
          </w:tcPr>
          <w:p w14:paraId="2619C1A4"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452681CD" w14:textId="77777777" w:rsidR="00F90018" w:rsidRDefault="0076677B">
            <w:pPr>
              <w:rPr>
                <w:rFonts w:eastAsia="宋体"/>
                <w:lang w:val="en-US" w:eastAsia="ko-KR"/>
              </w:rPr>
            </w:pPr>
            <w:r>
              <w:rPr>
                <w:rFonts w:eastAsia="宋体"/>
                <w:lang w:val="en-US" w:eastAsia="zh-CN"/>
              </w:rPr>
              <w:t>2</w:t>
            </w:r>
          </w:p>
        </w:tc>
        <w:tc>
          <w:tcPr>
            <w:tcW w:w="6302" w:type="dxa"/>
          </w:tcPr>
          <w:p w14:paraId="714E6B6A"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宋体"/>
                <w:lang w:val="en-US" w:eastAsia="zh-CN"/>
              </w:rPr>
            </w:pPr>
            <w:r>
              <w:rPr>
                <w:rFonts w:eastAsia="宋体"/>
                <w:lang w:val="en-US" w:eastAsia="zh-CN"/>
              </w:rPr>
              <w:t>TCL</w:t>
            </w:r>
          </w:p>
        </w:tc>
        <w:tc>
          <w:tcPr>
            <w:tcW w:w="1116" w:type="dxa"/>
          </w:tcPr>
          <w:p w14:paraId="460773C1"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F08B15"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宋体"/>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w:t>
            </w:r>
            <w:r>
              <w:rPr>
                <w:lang w:val="en-US" w:eastAsia="ko-KR"/>
              </w:rPr>
              <w:lastRenderedPageBreak/>
              <w:t xml:space="preserve">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lastRenderedPageBreak/>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w:t>
            </w:r>
            <w:r>
              <w:rPr>
                <w:rFonts w:eastAsia="Yu Mincho"/>
                <w:lang w:val="en-US" w:eastAsia="ja-JP"/>
              </w:rPr>
              <w:lastRenderedPageBreak/>
              <w:t>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lastRenderedPageBreak/>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宋体"/>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5"/>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宋体"/>
                <w:b/>
                <w:bCs/>
                <w:lang w:val="en-US" w:eastAsia="zh-CN"/>
              </w:rPr>
            </w:pPr>
            <w:r>
              <w:rPr>
                <w:rFonts w:eastAsia="宋体"/>
                <w:b/>
                <w:bCs/>
                <w:lang w:val="en-US" w:eastAsia="zh-CN"/>
              </w:rPr>
              <w:t>Suggested changes for Proposal 3.1-5b:</w:t>
            </w:r>
          </w:p>
          <w:p w14:paraId="7DF51DC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宋体"/>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宋体"/>
                <w:bCs/>
                <w:lang w:val="en-US" w:eastAsia="zh-CN"/>
              </w:rPr>
            </w:pPr>
            <w:r>
              <w:rPr>
                <w:rFonts w:eastAsia="宋体" w:hint="eastAsia"/>
                <w:bCs/>
                <w:lang w:val="en-US" w:eastAsia="zh-CN"/>
              </w:rPr>
              <w:t>With Option 1:</w:t>
            </w:r>
          </w:p>
          <w:p w14:paraId="2E4B690D"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5"/>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af5"/>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宋体"/>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27149F4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7E1F125A"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宋体"/>
                <w:lang w:val="en-US" w:eastAsia="zh-CN"/>
              </w:rPr>
              <w:t xml:space="preserve">We understand </w:t>
            </w:r>
          </w:p>
          <w:p w14:paraId="7268822D" w14:textId="77777777" w:rsidR="00F90018" w:rsidRDefault="0076677B">
            <w:pPr>
              <w:pStyle w:val="af5"/>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宋体"/>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1C4EF89"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等线"/>
                <w:lang w:val="en-US" w:eastAsia="zh-CN"/>
              </w:rPr>
            </w:pPr>
            <w:r>
              <w:rPr>
                <w:rFonts w:eastAsia="等线"/>
                <w:lang w:val="en-US" w:eastAsia="zh-CN"/>
              </w:rPr>
              <w:t>IDCC</w:t>
            </w:r>
          </w:p>
        </w:tc>
        <w:tc>
          <w:tcPr>
            <w:tcW w:w="1116" w:type="dxa"/>
          </w:tcPr>
          <w:p w14:paraId="10C7B07F"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7CABE1E" w14:textId="77777777" w:rsidR="00F90018" w:rsidRDefault="0076677B">
            <w:pPr>
              <w:rPr>
                <w:rFonts w:eastAsia="等线"/>
                <w:lang w:val="en-US" w:eastAsia="ko-KR"/>
              </w:rPr>
            </w:pPr>
            <w:r>
              <w:rPr>
                <w:rFonts w:eastAsia="等线"/>
                <w:lang w:val="en-US" w:eastAsia="ko-KR"/>
              </w:rPr>
              <w:t>Option 1</w:t>
            </w:r>
          </w:p>
        </w:tc>
        <w:tc>
          <w:tcPr>
            <w:tcW w:w="6302" w:type="dxa"/>
          </w:tcPr>
          <w:p w14:paraId="17EC77C4" w14:textId="77777777" w:rsidR="00F90018" w:rsidRDefault="00F90018">
            <w:pPr>
              <w:rPr>
                <w:rFonts w:eastAsia="宋体"/>
                <w:lang w:val="en-US" w:eastAsia="zh-CN"/>
              </w:rPr>
            </w:pPr>
          </w:p>
        </w:tc>
      </w:tr>
      <w:tr w:rsidR="00F90018" w14:paraId="78258C4A" w14:textId="77777777">
        <w:tc>
          <w:tcPr>
            <w:tcW w:w="1322" w:type="dxa"/>
          </w:tcPr>
          <w:p w14:paraId="603D9FC0" w14:textId="77777777" w:rsidR="00F90018" w:rsidRDefault="0076677B">
            <w:pPr>
              <w:rPr>
                <w:rFonts w:eastAsia="等线"/>
                <w:lang w:val="en-US" w:eastAsia="zh-CN"/>
              </w:rPr>
            </w:pPr>
            <w:r>
              <w:rPr>
                <w:rFonts w:eastAsia="等线"/>
                <w:lang w:val="en-US" w:eastAsia="zh-CN"/>
              </w:rPr>
              <w:t>Nokia, NSB</w:t>
            </w:r>
          </w:p>
        </w:tc>
        <w:tc>
          <w:tcPr>
            <w:tcW w:w="1116" w:type="dxa"/>
          </w:tcPr>
          <w:p w14:paraId="37266104"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664AF3E" w14:textId="77777777" w:rsidR="00F90018" w:rsidRDefault="0076677B">
            <w:pPr>
              <w:rPr>
                <w:rFonts w:eastAsia="等线"/>
                <w:lang w:val="en-US" w:eastAsia="ko-KR"/>
              </w:rPr>
            </w:pPr>
            <w:r>
              <w:rPr>
                <w:rFonts w:eastAsia="等线"/>
                <w:lang w:val="en-US" w:eastAsia="ko-KR"/>
              </w:rPr>
              <w:t>Option 1</w:t>
            </w:r>
          </w:p>
        </w:tc>
        <w:tc>
          <w:tcPr>
            <w:tcW w:w="6302" w:type="dxa"/>
          </w:tcPr>
          <w:p w14:paraId="6FA3C0BA" w14:textId="77777777" w:rsidR="00F90018" w:rsidRDefault="00F90018">
            <w:pPr>
              <w:rPr>
                <w:rFonts w:eastAsia="宋体"/>
                <w:lang w:val="en-US" w:eastAsia="zh-CN"/>
              </w:rPr>
            </w:pPr>
          </w:p>
        </w:tc>
      </w:tr>
      <w:tr w:rsidR="00F90018" w14:paraId="20B5DF83" w14:textId="77777777">
        <w:tc>
          <w:tcPr>
            <w:tcW w:w="1322" w:type="dxa"/>
          </w:tcPr>
          <w:p w14:paraId="5383E24D" w14:textId="77777777" w:rsidR="00F90018" w:rsidRDefault="0076677B">
            <w:pPr>
              <w:rPr>
                <w:rFonts w:eastAsia="等线"/>
                <w:lang w:val="en-US" w:eastAsia="zh-CN"/>
              </w:rPr>
            </w:pPr>
            <w:r>
              <w:rPr>
                <w:rFonts w:eastAsia="等线"/>
                <w:lang w:val="en-US" w:eastAsia="zh-CN"/>
              </w:rPr>
              <w:t>FL4</w:t>
            </w:r>
          </w:p>
        </w:tc>
        <w:tc>
          <w:tcPr>
            <w:tcW w:w="8534" w:type="dxa"/>
            <w:gridSpan w:val="3"/>
          </w:tcPr>
          <w:p w14:paraId="058D81B6"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lastRenderedPageBreak/>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5"/>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2D9656D1" w14:textId="77777777"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宋体"/>
                <w:lang w:val="en-US" w:eastAsia="zh-CN"/>
              </w:rPr>
              <w:t>ZTE, Sanechips</w:t>
            </w:r>
          </w:p>
        </w:tc>
        <w:tc>
          <w:tcPr>
            <w:tcW w:w="1372" w:type="dxa"/>
          </w:tcPr>
          <w:p w14:paraId="2FA0227D"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2D57F3AC"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222BD44B"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宋体"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宋体"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宋体"/>
                <w:lang w:val="en-US" w:eastAsia="zh-CN"/>
              </w:rPr>
            </w:pPr>
            <w:r>
              <w:rPr>
                <w:rFonts w:eastAsia="宋体"/>
                <w:lang w:val="en-US" w:eastAsia="zh-CN"/>
              </w:rPr>
              <w:t>CMCC</w:t>
            </w:r>
          </w:p>
        </w:tc>
        <w:tc>
          <w:tcPr>
            <w:tcW w:w="1372" w:type="dxa"/>
          </w:tcPr>
          <w:p w14:paraId="3F57186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14:paraId="28B513D7"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4" w:history="1">
              <w:r>
                <w:rPr>
                  <w:rStyle w:val="af2"/>
                  <w:color w:val="0000FF"/>
                  <w:lang w:eastAsia="sv-SE"/>
                </w:rPr>
                <w:t>R1-2109752</w:t>
              </w:r>
            </w:hyperlink>
            <w:r>
              <w:rPr>
                <w:lang w:val="en-US" w:eastAsia="ko-KR"/>
              </w:rPr>
              <w:t>)</w:t>
            </w:r>
          </w:p>
          <w:p w14:paraId="1D333443"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宋体"/>
                <w:lang w:val="en-US" w:eastAsia="zh-CN"/>
              </w:rPr>
              <w:t>ZTE, Sanechips</w:t>
            </w:r>
          </w:p>
        </w:tc>
        <w:tc>
          <w:tcPr>
            <w:tcW w:w="1372" w:type="dxa"/>
          </w:tcPr>
          <w:p w14:paraId="3E382167"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0A664D27"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0E2FD8C"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F259E87"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宋体"/>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宋体"/>
                <w:lang w:val="en-US" w:eastAsia="zh-CN"/>
              </w:rPr>
            </w:pPr>
            <w:r>
              <w:rPr>
                <w:rFonts w:eastAsia="宋体"/>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宋体"/>
                <w:lang w:val="en-US" w:eastAsia="zh-CN"/>
              </w:rPr>
              <w:lastRenderedPageBreak/>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14ECC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宋体"/>
                <w:lang w:val="en-US" w:eastAsia="zh-CN"/>
              </w:rPr>
              <w:t xml:space="preserve">ZTE, </w:t>
            </w:r>
            <w:r>
              <w:rPr>
                <w:rFonts w:eastAsia="宋体"/>
                <w:lang w:val="en-US" w:eastAsia="zh-CN"/>
              </w:rPr>
              <w:lastRenderedPageBreak/>
              <w:t>Sanechips</w:t>
            </w:r>
          </w:p>
        </w:tc>
        <w:tc>
          <w:tcPr>
            <w:tcW w:w="1372" w:type="dxa"/>
          </w:tcPr>
          <w:p w14:paraId="29CACE44" w14:textId="77777777" w:rsidR="00F90018" w:rsidRDefault="0076677B">
            <w:pPr>
              <w:tabs>
                <w:tab w:val="left" w:pos="551"/>
              </w:tabs>
              <w:rPr>
                <w:rFonts w:eastAsia="宋体"/>
                <w:lang w:val="en-US" w:eastAsia="zh-CN"/>
              </w:rPr>
            </w:pPr>
            <w:r>
              <w:rPr>
                <w:rFonts w:eastAsia="宋体"/>
                <w:lang w:val="en-US" w:eastAsia="zh-CN"/>
              </w:rPr>
              <w:lastRenderedPageBreak/>
              <w:t>Y</w:t>
            </w:r>
          </w:p>
        </w:tc>
        <w:tc>
          <w:tcPr>
            <w:tcW w:w="6780" w:type="dxa"/>
          </w:tcPr>
          <w:p w14:paraId="6457D620"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color w:val="000000" w:themeColor="text1"/>
                <w:lang w:val="en-US" w:eastAsia="zh-CN"/>
              </w:rPr>
              <w:lastRenderedPageBreak/>
              <w:t>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CF59CE4" w14:textId="77777777" w:rsidR="00F90018" w:rsidRDefault="00F90018">
            <w:pPr>
              <w:tabs>
                <w:tab w:val="left" w:pos="551"/>
              </w:tabs>
              <w:rPr>
                <w:rFonts w:eastAsia="宋体"/>
                <w:lang w:val="en-US" w:eastAsia="zh-CN"/>
              </w:rPr>
            </w:pPr>
          </w:p>
        </w:tc>
        <w:tc>
          <w:tcPr>
            <w:tcW w:w="6780" w:type="dxa"/>
          </w:tcPr>
          <w:p w14:paraId="659095B1" w14:textId="77777777" w:rsidR="00F90018" w:rsidRDefault="0076677B">
            <w:pPr>
              <w:rPr>
                <w:rFonts w:eastAsia="宋体"/>
                <w:color w:val="000000" w:themeColor="text1"/>
                <w:lang w:val="en-US" w:eastAsia="zh-CN"/>
              </w:rPr>
            </w:pPr>
            <w:r>
              <w:rPr>
                <w:rFonts w:eastAsia="宋体"/>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宋体"/>
                <w:lang w:val="en-US" w:eastAsia="ja-JP"/>
              </w:rPr>
            </w:pPr>
            <w:r>
              <w:rPr>
                <w:rFonts w:eastAsia="宋体"/>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宋体"/>
                <w:lang w:val="en-US" w:eastAsia="zh-CN"/>
              </w:rPr>
            </w:pPr>
            <w:r>
              <w:rPr>
                <w:rFonts w:eastAsia="宋体"/>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宋体"/>
                <w:lang w:val="en-US" w:eastAsia="zh-CN"/>
              </w:rPr>
            </w:pPr>
            <w:r>
              <w:rPr>
                <w:rFonts w:eastAsia="宋体"/>
                <w:lang w:val="en-US" w:eastAsia="zh-CN"/>
              </w:rPr>
              <w:t xml:space="preserve">Support Vivo modification. </w:t>
            </w:r>
          </w:p>
          <w:p w14:paraId="1A5F35E7"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lastRenderedPageBreak/>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3D71B20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56A2A0EC"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30A5B13"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5"/>
              <w:ind w:left="946"/>
              <w:rPr>
                <w:rFonts w:ascii="Times New Roman" w:hAnsi="Times New Roman" w:cs="Times New Roman"/>
                <w:b/>
                <w:sz w:val="20"/>
                <w:szCs w:val="20"/>
                <w:lang w:val="en-US"/>
              </w:rPr>
            </w:pPr>
          </w:p>
          <w:p w14:paraId="4D097254"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5"/>
              <w:rPr>
                <w:rFonts w:ascii="Times New Roman" w:hAnsi="Times New Roman" w:cs="Times New Roman"/>
                <w:b/>
                <w:sz w:val="20"/>
                <w:szCs w:val="20"/>
                <w:lang w:val="en-US"/>
              </w:rPr>
            </w:pPr>
          </w:p>
          <w:p w14:paraId="0AEA5FB6"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2868E1E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等线"/>
                <w:lang w:val="en-US" w:eastAsia="zh-CN"/>
              </w:rPr>
            </w:pPr>
            <w:r>
              <w:rPr>
                <w:rFonts w:eastAsia="等线"/>
                <w:lang w:val="en-US" w:eastAsia="zh-CN"/>
              </w:rPr>
              <w:t>IDCC</w:t>
            </w:r>
          </w:p>
        </w:tc>
        <w:tc>
          <w:tcPr>
            <w:tcW w:w="1372" w:type="dxa"/>
          </w:tcPr>
          <w:p w14:paraId="162FD1BE"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宋体"/>
                <w:lang w:val="en-US" w:eastAsia="zh-CN"/>
              </w:rPr>
            </w:pPr>
          </w:p>
        </w:tc>
      </w:tr>
      <w:tr w:rsidR="00F90018" w14:paraId="6513EB10" w14:textId="77777777">
        <w:tc>
          <w:tcPr>
            <w:tcW w:w="1479" w:type="dxa"/>
          </w:tcPr>
          <w:p w14:paraId="57C844DE" w14:textId="77777777" w:rsidR="00F90018" w:rsidRDefault="0076677B">
            <w:pPr>
              <w:rPr>
                <w:rFonts w:eastAsia="等线"/>
                <w:lang w:val="en-US" w:eastAsia="zh-CN"/>
              </w:rPr>
            </w:pPr>
            <w:r>
              <w:rPr>
                <w:rFonts w:eastAsia="等线"/>
                <w:lang w:val="en-US" w:eastAsia="zh-CN"/>
              </w:rPr>
              <w:t>Nokia, NSB</w:t>
            </w:r>
          </w:p>
        </w:tc>
        <w:tc>
          <w:tcPr>
            <w:tcW w:w="1372" w:type="dxa"/>
          </w:tcPr>
          <w:p w14:paraId="3906EE36"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FR1, select one of the following options:</w:t>
            </w:r>
          </w:p>
          <w:p w14:paraId="13A7BE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等线"/>
                <w:lang w:val="en-US" w:eastAsia="zh-CN"/>
              </w:rPr>
            </w:pPr>
            <w:r w:rsidRPr="00862DFB">
              <w:rPr>
                <w:rFonts w:eastAsiaTheme="minorEastAsia"/>
                <w:lang w:val="en-US" w:eastAsia="zh-CN"/>
              </w:rPr>
              <w:lastRenderedPageBreak/>
              <w:t>FL5</w:t>
            </w:r>
          </w:p>
        </w:tc>
        <w:tc>
          <w:tcPr>
            <w:tcW w:w="8152" w:type="dxa"/>
            <w:gridSpan w:val="3"/>
          </w:tcPr>
          <w:p w14:paraId="09FE16C5"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lastRenderedPageBreak/>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5"/>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 xml:space="preserve">ZTE, </w:t>
            </w:r>
            <w:r w:rsidRPr="00862DFB">
              <w:rPr>
                <w:rFonts w:eastAsiaTheme="minorEastAsia"/>
                <w:lang w:val="en-US" w:eastAsia="zh-CN"/>
              </w:rPr>
              <w:lastRenderedPageBreak/>
              <w:t>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lastRenderedPageBreak/>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Huawei, HiSi</w:t>
            </w:r>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 xml:space="preserve">If an LS to be sent, it should be firstly to confirm the support of NCD-SSB as well as the benefits/need. CD-SSB and CSI-RS should be prioritized in RAN1 relevant </w:t>
            </w:r>
            <w:r w:rsidRPr="00862DFB">
              <w:rPr>
                <w:rFonts w:eastAsia="Yu Mincho"/>
                <w:lang w:val="en-US" w:eastAsia="ja-JP"/>
              </w:rPr>
              <w:lastRenderedPageBreak/>
              <w:t>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lastRenderedPageBreak/>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r w:rsidRPr="00862DFB">
              <w:rPr>
                <w:rFonts w:eastAsia="Yu Mincho"/>
                <w:lang w:val="en-US" w:eastAsia="ja-JP"/>
              </w:rPr>
              <w:t>Y,but</w:t>
            </w:r>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4867CD32"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5137C0F8" w14:textId="77777777" w:rsidR="00F90018" w:rsidRPr="00862DFB" w:rsidRDefault="00F90018">
            <w:pPr>
              <w:rPr>
                <w:rFonts w:eastAsia="等线"/>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15950D3B"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2294E8D" w14:textId="77777777" w:rsidR="00F90018" w:rsidRPr="00862DFB" w:rsidRDefault="00F90018">
            <w:pPr>
              <w:rPr>
                <w:rFonts w:eastAsia="等线"/>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276913F2"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5"/>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0"/>
        <w:tblW w:w="9772" w:type="dxa"/>
        <w:tblLook w:val="04A0" w:firstRow="1" w:lastRow="0" w:firstColumn="1" w:lastColumn="0" w:noHBand="0" w:noVBand="1"/>
      </w:tblPr>
      <w:tblGrid>
        <w:gridCol w:w="1340"/>
        <w:gridCol w:w="1233"/>
        <w:gridCol w:w="7283"/>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t>Take Option 2 as working assumption, which will be revisited based on the reply from RAN2/4.</w:t>
            </w:r>
          </w:p>
          <w:p w14:paraId="6874860F"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RedCap UE does NOT expect it to contain </w:t>
            </w:r>
            <w:r w:rsidRPr="00862DFB">
              <w:rPr>
                <w:rFonts w:ascii="Times New Roman" w:hAnsi="Times New Roman" w:cs="Times New Roman"/>
                <w:b/>
                <w:sz w:val="20"/>
                <w:szCs w:val="20"/>
                <w:lang w:val="en-US"/>
              </w:rPr>
              <w:lastRenderedPageBreak/>
              <w:t>SSB/CORESET#0/SIB.</w:t>
            </w:r>
          </w:p>
          <w:p w14:paraId="27D7352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1F2B0E1F" w14:textId="77777777" w:rsidR="00F90018" w:rsidRPr="00862DFB" w:rsidRDefault="00F90018">
            <w:pPr>
              <w:tabs>
                <w:tab w:val="left" w:pos="551"/>
              </w:tabs>
              <w:rPr>
                <w:rFonts w:eastAsia="等线"/>
                <w:lang w:val="en-US" w:eastAsia="ko-KR"/>
              </w:rPr>
            </w:pPr>
          </w:p>
        </w:tc>
        <w:tc>
          <w:tcPr>
            <w:tcW w:w="7139" w:type="dxa"/>
          </w:tcPr>
          <w:p w14:paraId="51C97C86"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39BB0289"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等线"/>
                <w:lang w:val="en-US" w:eastAsia="zh-CN"/>
              </w:rPr>
            </w:pPr>
            <w:r w:rsidRPr="00862DFB">
              <w:rPr>
                <w:rFonts w:eastAsia="等线"/>
                <w:lang w:val="en-US" w:eastAsia="zh-CN"/>
              </w:rPr>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w:t>
            </w:r>
            <w:r w:rsidRPr="00862DFB">
              <w:rPr>
                <w:rFonts w:eastAsia="等线"/>
                <w:lang w:val="en-US" w:eastAsia="zh-CN"/>
              </w:rPr>
              <w:lastRenderedPageBreak/>
              <w:t xml:space="preserve">is unclear for the range of initial DL/UL BWP, e.g. separate one? </w:t>
            </w:r>
          </w:p>
          <w:p w14:paraId="4D205CC3"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等线"/>
                <w:lang w:val="en-US" w:eastAsia="ko-KR"/>
              </w:rPr>
            </w:pPr>
            <w:r w:rsidRPr="00862DFB">
              <w:rPr>
                <w:rFonts w:eastAsia="等线"/>
                <w:lang w:val="en-US" w:eastAsia="zh-CN"/>
              </w:rPr>
              <w:lastRenderedPageBreak/>
              <w:t>ZTE, Sanechips</w:t>
            </w:r>
          </w:p>
        </w:tc>
        <w:tc>
          <w:tcPr>
            <w:tcW w:w="1261" w:type="dxa"/>
          </w:tcPr>
          <w:p w14:paraId="38A30C1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6213966F" w14:textId="77777777"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247F167D"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0CBEE6CA" w14:textId="77777777" w:rsidR="00F90018" w:rsidRPr="00862DFB" w:rsidRDefault="00F90018">
            <w:pPr>
              <w:tabs>
                <w:tab w:val="left" w:pos="551"/>
              </w:tabs>
              <w:rPr>
                <w:rFonts w:eastAsia="等线"/>
                <w:lang w:val="en-US" w:eastAsia="zh-CN"/>
              </w:rPr>
            </w:pPr>
          </w:p>
        </w:tc>
        <w:tc>
          <w:tcPr>
            <w:tcW w:w="7139" w:type="dxa"/>
          </w:tcPr>
          <w:p w14:paraId="12A8861D"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662DB8E3"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5164829E"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17F3D89E"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0C9EA7D"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533B2317" w14:textId="77777777" w:rsidR="00F90018" w:rsidRPr="00862DFB" w:rsidRDefault="00F90018">
            <w:pPr>
              <w:tabs>
                <w:tab w:val="left" w:pos="551"/>
              </w:tabs>
              <w:rPr>
                <w:rFonts w:eastAsia="等线"/>
                <w:lang w:val="en-US" w:eastAsia="zh-CN"/>
              </w:rPr>
            </w:pPr>
          </w:p>
        </w:tc>
        <w:tc>
          <w:tcPr>
            <w:tcW w:w="7139" w:type="dxa"/>
          </w:tcPr>
          <w:p w14:paraId="1EBDFD81"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79B2F0A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等线"/>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等线"/>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等线"/>
                <w:lang w:val="en-US" w:eastAsia="zh-CN"/>
              </w:rPr>
            </w:pPr>
            <w:r w:rsidRPr="00862DFB">
              <w:rPr>
                <w:rFonts w:eastAsia="等线"/>
                <w:lang w:val="en-US" w:eastAsia="zh-CN"/>
              </w:rPr>
              <w:t>MediaTek</w:t>
            </w:r>
          </w:p>
        </w:tc>
        <w:tc>
          <w:tcPr>
            <w:tcW w:w="1261" w:type="dxa"/>
          </w:tcPr>
          <w:p w14:paraId="0345A01E" w14:textId="77777777" w:rsidR="00F90018" w:rsidRPr="00862DFB" w:rsidRDefault="00F90018">
            <w:pPr>
              <w:tabs>
                <w:tab w:val="left" w:pos="551"/>
              </w:tabs>
              <w:rPr>
                <w:rFonts w:eastAsia="等线"/>
                <w:lang w:val="en-US" w:eastAsia="zh-CN"/>
              </w:rPr>
            </w:pPr>
          </w:p>
        </w:tc>
        <w:tc>
          <w:tcPr>
            <w:tcW w:w="7139" w:type="dxa"/>
          </w:tcPr>
          <w:p w14:paraId="211C50CE"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5654A14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 separate initial DL BWP (if it does not include the entire CORESET#0),</w:t>
            </w:r>
          </w:p>
          <w:p w14:paraId="3F65BB84"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等线"/>
                <w:lang w:val="en-US" w:eastAsia="zh-CN"/>
              </w:rPr>
            </w:pPr>
          </w:p>
          <w:p w14:paraId="03FF287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等线"/>
                <w:lang w:val="en-US" w:eastAsia="zh-CN"/>
              </w:rPr>
            </w:pPr>
            <w:r w:rsidRPr="00862DFB">
              <w:rPr>
                <w:rFonts w:eastAsia="等线"/>
                <w:lang w:val="en-US" w:eastAsia="zh-CN"/>
              </w:rPr>
              <w:lastRenderedPageBreak/>
              <w:t>FUTUREWEI</w:t>
            </w:r>
          </w:p>
        </w:tc>
        <w:tc>
          <w:tcPr>
            <w:tcW w:w="1261" w:type="dxa"/>
          </w:tcPr>
          <w:p w14:paraId="06B32598" w14:textId="77777777" w:rsidR="00F90018" w:rsidRPr="00862DFB" w:rsidRDefault="00F90018">
            <w:pPr>
              <w:tabs>
                <w:tab w:val="left" w:pos="551"/>
              </w:tabs>
              <w:rPr>
                <w:rFonts w:eastAsia="等线"/>
                <w:lang w:val="en-US" w:eastAsia="zh-CN"/>
              </w:rPr>
            </w:pPr>
          </w:p>
        </w:tc>
        <w:tc>
          <w:tcPr>
            <w:tcW w:w="7139" w:type="dxa"/>
          </w:tcPr>
          <w:p w14:paraId="21B5E33B"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BWP-DownlinkCommon</w:t>
            </w:r>
            <w:r w:rsidRPr="00862DFB">
              <w:rPr>
                <w:rFonts w:eastAsia="等线"/>
                <w:lang w:val="en-US" w:eastAsia="zh-CN"/>
              </w:rPr>
              <w:t xml:space="preserve"> and </w:t>
            </w:r>
            <w:r w:rsidRPr="00862DFB">
              <w:rPr>
                <w:rFonts w:eastAsia="等线"/>
                <w:i/>
                <w:iCs/>
                <w:lang w:val="en-US" w:eastAsia="zh-CN"/>
              </w:rPr>
              <w:t>BWP-UplinkCommon</w:t>
            </w:r>
            <w:r w:rsidRPr="00862DFB">
              <w:rPr>
                <w:rFonts w:eastAsia="等线"/>
                <w:lang w:val="en-US" w:eastAsia="zh-CN"/>
              </w:rPr>
              <w:t xml:space="preserve"> in </w:t>
            </w:r>
            <w:r w:rsidRPr="00862DFB">
              <w:rPr>
                <w:rFonts w:eastAsia="等线"/>
                <w:i/>
                <w:iCs/>
                <w:lang w:val="en-US" w:eastAsia="zh-CN"/>
              </w:rPr>
              <w:t>ServingCellConfigCommon</w:t>
            </w:r>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AAD1CB2" w14:textId="77777777" w:rsidR="00F90018" w:rsidRPr="00862DFB" w:rsidRDefault="00F90018">
            <w:pPr>
              <w:tabs>
                <w:tab w:val="left" w:pos="551"/>
              </w:tabs>
              <w:rPr>
                <w:rFonts w:eastAsia="等线"/>
                <w:lang w:val="en-US" w:eastAsia="zh-CN"/>
              </w:rPr>
            </w:pPr>
          </w:p>
        </w:tc>
        <w:tc>
          <w:tcPr>
            <w:tcW w:w="7139" w:type="dxa"/>
          </w:tcPr>
          <w:p w14:paraId="5E32C037"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5C04D904"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410662E4"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59BC85F2"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等线"/>
                <w:lang w:val="en-US" w:eastAsia="zh-CN"/>
              </w:rPr>
            </w:pPr>
            <w:r w:rsidRPr="00862DFB">
              <w:rPr>
                <w:rFonts w:eastAsia="等线"/>
                <w:lang w:val="en-US" w:eastAsia="zh-CN"/>
              </w:rPr>
              <w:lastRenderedPageBreak/>
              <w:t>These four changes are suggested below (only relevant parts copied).</w:t>
            </w:r>
          </w:p>
          <w:p w14:paraId="410CBE3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6081C6D5"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6DB5C1FA"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70DF8389" w14:textId="77777777" w:rsidR="00F90018" w:rsidRPr="00862DFB" w:rsidRDefault="0076677B">
            <w:pPr>
              <w:rPr>
                <w:rFonts w:eastAsia="等线"/>
                <w:lang w:val="en-US" w:eastAsia="ko-KR"/>
              </w:rPr>
            </w:pPr>
            <w:r w:rsidRPr="00862DFB">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49C61861"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4FA21395" w14:textId="77777777" w:rsidR="00F90018" w:rsidRPr="00862DFB" w:rsidRDefault="0076677B">
            <w:pPr>
              <w:pStyle w:val="af5"/>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等线"/>
                <w:lang w:val="en-US" w:eastAsia="zh-CN"/>
              </w:rPr>
            </w:pPr>
            <w:r w:rsidRPr="00862DFB">
              <w:rPr>
                <w:rFonts w:eastAsia="等线"/>
                <w:lang w:val="en-US" w:eastAsia="zh-CN"/>
              </w:rPr>
              <w:t>Huawei, HiSi</w:t>
            </w:r>
          </w:p>
        </w:tc>
        <w:tc>
          <w:tcPr>
            <w:tcW w:w="1261" w:type="dxa"/>
          </w:tcPr>
          <w:p w14:paraId="012C0EB8"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123D5521" w14:textId="77777777" w:rsidR="00F90018" w:rsidRPr="00862DFB" w:rsidRDefault="0076677B">
            <w:pPr>
              <w:rPr>
                <w:rFonts w:eastAsia="等线"/>
                <w:lang w:val="en-US" w:eastAsia="zh-CN"/>
              </w:rPr>
            </w:pPr>
            <w:r w:rsidRPr="00862DFB">
              <w:rPr>
                <w:rFonts w:eastAsia="等线"/>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w:t>
            </w:r>
            <w:r w:rsidRPr="00862DFB">
              <w:rPr>
                <w:rFonts w:eastAsia="等线"/>
                <w:lang w:val="en-US" w:eastAsia="zh-CN"/>
              </w:rPr>
              <w:lastRenderedPageBreak/>
              <w:t>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2CBED9F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等线"/>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等线"/>
                <w:lang w:val="en-US" w:eastAsia="zh-CN"/>
              </w:rPr>
            </w:pPr>
            <w:r w:rsidRPr="00862DFB">
              <w:rPr>
                <w:rFonts w:eastAsia="等线"/>
                <w:lang w:val="en-US" w:eastAsia="zh-CN"/>
              </w:rPr>
              <w:lastRenderedPageBreak/>
              <w:t>Qualcomm</w:t>
            </w:r>
          </w:p>
        </w:tc>
        <w:tc>
          <w:tcPr>
            <w:tcW w:w="1261" w:type="dxa"/>
          </w:tcPr>
          <w:p w14:paraId="531A3E4F"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7F704421"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等线"/>
                <w:lang w:val="en-US" w:eastAsia="zh-CN"/>
              </w:rPr>
            </w:pPr>
            <w:r w:rsidRPr="00862DFB">
              <w:rPr>
                <w:rFonts w:eastAsia="等线"/>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3F514180"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w:t>
            </w:r>
            <w:r w:rsidRPr="00862DFB">
              <w:rPr>
                <w:rFonts w:ascii="Times New Roman" w:eastAsia="等线" w:hAnsi="Times New Roman" w:cs="Times New Roman"/>
                <w:i/>
                <w:iCs/>
                <w:sz w:val="20"/>
                <w:szCs w:val="20"/>
                <w:lang w:val="en-US" w:eastAsia="zh-CN"/>
              </w:rPr>
              <w:lastRenderedPageBreak/>
              <w:t>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5"/>
              <w:ind w:left="856"/>
              <w:rPr>
                <w:rFonts w:ascii="Times New Roman" w:hAnsi="Times New Roman" w:cs="Times New Roman"/>
                <w:bCs/>
                <w:sz w:val="20"/>
                <w:szCs w:val="20"/>
                <w:lang w:val="en-US"/>
              </w:rPr>
            </w:pPr>
          </w:p>
          <w:p w14:paraId="57CC4A10"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5"/>
              <w:ind w:left="406" w:hanging="270"/>
              <w:rPr>
                <w:rFonts w:ascii="Times New Roman" w:hAnsi="Times New Roman" w:cs="Times New Roman"/>
                <w:bCs/>
                <w:sz w:val="20"/>
                <w:szCs w:val="20"/>
                <w:lang w:val="en-US"/>
              </w:rPr>
            </w:pPr>
          </w:p>
          <w:p w14:paraId="2F814242"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5"/>
              <w:ind w:left="676"/>
              <w:rPr>
                <w:rFonts w:ascii="Times New Roman" w:hAnsi="Times New Roman" w:cs="Times New Roman"/>
                <w:b/>
                <w:sz w:val="20"/>
                <w:szCs w:val="20"/>
                <w:lang w:val="en-US"/>
              </w:rPr>
            </w:pPr>
          </w:p>
          <w:p w14:paraId="48271BF4"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w:t>
            </w:r>
            <w:r w:rsidRPr="00862DFB">
              <w:rPr>
                <w:rFonts w:ascii="Times New Roman" w:eastAsia="等线" w:hAnsi="Times New Roman" w:cs="Times New Roman"/>
                <w:i/>
                <w:iCs/>
                <w:sz w:val="20"/>
                <w:szCs w:val="20"/>
                <w:lang w:val="en-US" w:eastAsia="zh-CN"/>
              </w:rPr>
              <w:lastRenderedPageBreak/>
              <w:t>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3C8F127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7C44E93"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25817CB"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5"/>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if a separate initial/RRC configured DL BWP is configured to contain the </w:t>
            </w:r>
            <w:r w:rsidRPr="00862DFB">
              <w:rPr>
                <w:rFonts w:ascii="Times New Roman" w:hAnsi="Times New Roman" w:cs="Times New Roman"/>
                <w:b/>
                <w:sz w:val="20"/>
                <w:szCs w:val="20"/>
                <w:lang w:val="en-US"/>
              </w:rPr>
              <w:lastRenderedPageBreak/>
              <w:t>entire CORESET#0, CD-SSB is expected by RedCap UE.</w:t>
            </w:r>
          </w:p>
          <w:p w14:paraId="59D7B8F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2291FFDA" w14:textId="77777777" w:rsidR="00F90018" w:rsidRPr="00862DFB" w:rsidRDefault="00F90018">
            <w:pPr>
              <w:tabs>
                <w:tab w:val="left" w:pos="551"/>
              </w:tabs>
              <w:rPr>
                <w:rFonts w:eastAsia="等线"/>
                <w:lang w:val="en-US" w:eastAsia="zh-CN"/>
              </w:rPr>
            </w:pPr>
          </w:p>
        </w:tc>
        <w:tc>
          <w:tcPr>
            <w:tcW w:w="7139" w:type="dxa"/>
          </w:tcPr>
          <w:p w14:paraId="561124D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6ABE1880"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not very clear what is the issue to be studied for the following FFS, some clarification would be needed</w:t>
            </w:r>
          </w:p>
          <w:p w14:paraId="19BED7A5"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af5"/>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w:t>
            </w:r>
            <w:r w:rsidRPr="00862DFB">
              <w:rPr>
                <w:rFonts w:ascii="Times New Roman" w:eastAsia="等线" w:hAnsi="Times New Roman" w:cs="Times New Roman"/>
                <w:sz w:val="20"/>
                <w:szCs w:val="20"/>
                <w:lang w:val="en-US" w:eastAsia="zh-CN"/>
              </w:rPr>
              <w:lastRenderedPageBreak/>
              <w:t xml:space="preserve">UEs as much as possible. </w:t>
            </w:r>
          </w:p>
          <w:p w14:paraId="7328B084"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03BCDDB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7F91B400" w14:textId="77777777" w:rsidR="00F90018" w:rsidRPr="00862DFB" w:rsidRDefault="0076677B">
            <w:pPr>
              <w:rPr>
                <w:rFonts w:eastAsia="等线"/>
                <w:lang w:val="en-US" w:eastAsia="zh-CN"/>
              </w:rPr>
            </w:pPr>
            <w:r w:rsidRPr="00862DFB">
              <w:rPr>
                <w:rFonts w:eastAsia="等线"/>
                <w:lang w:val="en-US" w:eastAsia="zh-CN"/>
              </w:rPr>
              <w:t>Prefer Option 2.</w:t>
            </w:r>
          </w:p>
          <w:p w14:paraId="13B36900"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272D477C"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等线"/>
                <w:lang w:val="en-US" w:eastAsia="zh-CN"/>
              </w:rPr>
            </w:pPr>
          </w:p>
        </w:tc>
        <w:tc>
          <w:tcPr>
            <w:tcW w:w="7139" w:type="dxa"/>
          </w:tcPr>
          <w:p w14:paraId="32C5C91D"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68C1264A"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等线"/>
                <w:lang w:val="en-US" w:eastAsia="zh-CN"/>
              </w:rPr>
            </w:pPr>
          </w:p>
        </w:tc>
        <w:tc>
          <w:tcPr>
            <w:tcW w:w="7139" w:type="dxa"/>
          </w:tcPr>
          <w:p w14:paraId="1B393620"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70A86C11" w14:textId="77777777" w:rsidR="00F90018" w:rsidRPr="00862DFB" w:rsidRDefault="00F90018">
            <w:pPr>
              <w:tabs>
                <w:tab w:val="left" w:pos="551"/>
              </w:tabs>
              <w:rPr>
                <w:rFonts w:eastAsia="等线"/>
                <w:lang w:val="en-US" w:eastAsia="zh-CN"/>
              </w:rPr>
            </w:pPr>
          </w:p>
        </w:tc>
        <w:tc>
          <w:tcPr>
            <w:tcW w:w="7139" w:type="dxa"/>
          </w:tcPr>
          <w:p w14:paraId="0846BD9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1CE4159C"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7A301807"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2216C785"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t>Sharp</w:t>
            </w:r>
          </w:p>
        </w:tc>
        <w:tc>
          <w:tcPr>
            <w:tcW w:w="1261" w:type="dxa"/>
          </w:tcPr>
          <w:p w14:paraId="72B2E848" w14:textId="77777777" w:rsidR="00F90018" w:rsidRPr="00862DFB" w:rsidRDefault="00F90018">
            <w:pPr>
              <w:tabs>
                <w:tab w:val="left" w:pos="551"/>
              </w:tabs>
              <w:rPr>
                <w:rFonts w:eastAsia="等线"/>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0F7848F6" w14:textId="77777777" w:rsidR="00F90018" w:rsidRPr="00862DFB" w:rsidRDefault="00F90018">
            <w:pPr>
              <w:tabs>
                <w:tab w:val="left" w:pos="551"/>
              </w:tabs>
              <w:rPr>
                <w:rFonts w:eastAsia="等线"/>
                <w:lang w:val="en-US" w:eastAsia="zh-CN"/>
              </w:rPr>
            </w:pPr>
          </w:p>
        </w:tc>
        <w:tc>
          <w:tcPr>
            <w:tcW w:w="7139" w:type="dxa"/>
          </w:tcPr>
          <w:p w14:paraId="1493ABCF" w14:textId="77777777" w:rsidR="00F90018" w:rsidRPr="00862DFB" w:rsidRDefault="0076677B">
            <w:pPr>
              <w:rPr>
                <w:rFonts w:eastAsia="等线"/>
                <w:lang w:val="en-US" w:eastAsia="zh-CN"/>
              </w:rPr>
            </w:pPr>
            <w:r w:rsidRPr="00862DFB">
              <w:rPr>
                <w:rFonts w:eastAsia="等线"/>
                <w:lang w:val="en-US" w:eastAsia="zh-CN"/>
              </w:rPr>
              <w:t>Several comments:</w:t>
            </w:r>
          </w:p>
          <w:p w14:paraId="0032DEA6"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5"/>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5"/>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w:t>
            </w:r>
            <w:r w:rsidRPr="00862DFB">
              <w:rPr>
                <w:rFonts w:ascii="Times New Roman" w:hAnsi="Times New Roman" w:cs="Times New Roman"/>
                <w:b/>
                <w:sz w:val="20"/>
                <w:szCs w:val="20"/>
                <w:lang w:val="en-US"/>
              </w:rPr>
              <w:lastRenderedPageBreak/>
              <w:t>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等线"/>
                <w:lang w:val="en-US" w:eastAsia="zh-CN"/>
              </w:rPr>
            </w:pPr>
            <w:r w:rsidRPr="00862DFB">
              <w:rPr>
                <w:rFonts w:eastAsia="等线"/>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等线"/>
                <w:lang w:val="en-US" w:eastAsia="zh-CN"/>
              </w:rPr>
            </w:pPr>
            <w:r w:rsidRPr="00862DFB">
              <w:rPr>
                <w:rFonts w:eastAsia="Yu Mincho"/>
                <w:lang w:val="en-US" w:eastAsia="ja-JP"/>
              </w:rPr>
              <w:lastRenderedPageBreak/>
              <w:t>Nordic</w:t>
            </w:r>
          </w:p>
        </w:tc>
        <w:tc>
          <w:tcPr>
            <w:tcW w:w="1261" w:type="dxa"/>
          </w:tcPr>
          <w:p w14:paraId="1792671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668A3F7D" w14:textId="77777777"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等线"/>
                <w:lang w:val="en-US" w:eastAsia="ja-JP"/>
              </w:rPr>
            </w:pPr>
            <w:r w:rsidRPr="00862DFB">
              <w:rPr>
                <w:rFonts w:eastAsia="等线"/>
                <w:lang w:val="en-US" w:eastAsia="zh-CN"/>
              </w:rPr>
              <w:t>ZTE, Sanechips</w:t>
            </w:r>
          </w:p>
        </w:tc>
        <w:tc>
          <w:tcPr>
            <w:tcW w:w="1261" w:type="dxa"/>
          </w:tcPr>
          <w:p w14:paraId="3370C069"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079248BA"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11FCAD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362655A2"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宋体"/>
                <w:b/>
                <w:lang w:val="en-US" w:eastAsia="zh-CN"/>
              </w:rPr>
            </w:pPr>
            <w:r w:rsidRPr="00862DFB">
              <w:rPr>
                <w:b/>
                <w:lang w:val="en-US"/>
              </w:rPr>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5"/>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等线"/>
                <w:lang w:val="en-US" w:eastAsia="zh-CN"/>
              </w:rPr>
            </w:pPr>
            <w:r w:rsidRPr="00862DFB">
              <w:rPr>
                <w:rFonts w:eastAsia="等线"/>
                <w:lang w:eastAsia="zh-CN"/>
              </w:rPr>
              <w:t xml:space="preserve"> </w:t>
            </w:r>
            <w:r w:rsidR="004C358C" w:rsidRPr="00862DFB">
              <w:rPr>
                <w:rFonts w:eastAsia="等线"/>
                <w:lang w:val="en-US" w:eastAsia="zh-CN"/>
              </w:rPr>
              <w:t>Huawei, HiSi</w:t>
            </w:r>
          </w:p>
        </w:tc>
        <w:tc>
          <w:tcPr>
            <w:tcW w:w="1261" w:type="dxa"/>
          </w:tcPr>
          <w:p w14:paraId="7D071079"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130FFE8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5"/>
              <w:ind w:left="2880"/>
              <w:rPr>
                <w:rFonts w:ascii="Times New Roman" w:hAnsi="Times New Roman" w:cs="Times New Roman"/>
                <w:b/>
                <w:sz w:val="20"/>
                <w:szCs w:val="20"/>
                <w:lang w:val="en-US"/>
              </w:rPr>
            </w:pPr>
          </w:p>
          <w:p w14:paraId="38DDB524"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5"/>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5"/>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af5"/>
              <w:ind w:left="1440"/>
              <w:rPr>
                <w:rFonts w:ascii="Times New Roman" w:hAnsi="Times New Roman" w:cs="Times New Roman"/>
                <w:b/>
                <w:sz w:val="20"/>
                <w:szCs w:val="20"/>
                <w:lang w:val="en-US"/>
              </w:rPr>
            </w:pPr>
          </w:p>
          <w:p w14:paraId="7D9EC3A1"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5"/>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5"/>
              <w:ind w:left="644"/>
              <w:rPr>
                <w:rFonts w:ascii="Times New Roman" w:eastAsia="等线" w:hAnsi="Times New Roman" w:cs="Times New Roman"/>
                <w:sz w:val="20"/>
                <w:szCs w:val="20"/>
                <w:lang w:val="en-US" w:eastAsia="zh-CN"/>
              </w:rPr>
            </w:pPr>
          </w:p>
          <w:p w14:paraId="009EF4D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w:t>
            </w:r>
            <w:r w:rsidRPr="00862DFB">
              <w:rPr>
                <w:rFonts w:ascii="Times New Roman" w:eastAsia="等线" w:hAnsi="Times New Roman" w:cs="Times New Roman"/>
                <w:sz w:val="20"/>
                <w:szCs w:val="20"/>
                <w:lang w:val="en-US" w:eastAsia="zh-CN"/>
              </w:rPr>
              <w:lastRenderedPageBreak/>
              <w:t>natural and can be revised as below</w:t>
            </w:r>
          </w:p>
          <w:p w14:paraId="52D648D6" w14:textId="77777777" w:rsidR="004C358C" w:rsidRPr="00862DFB" w:rsidRDefault="004C358C" w:rsidP="00EA0C4C">
            <w:pPr>
              <w:pStyle w:val="af5"/>
              <w:ind w:left="644"/>
              <w:rPr>
                <w:rFonts w:ascii="Times New Roman" w:hAnsi="Times New Roman" w:cs="Times New Roman"/>
                <w:b/>
                <w:sz w:val="20"/>
                <w:szCs w:val="20"/>
                <w:lang w:val="en-US"/>
              </w:rPr>
            </w:pPr>
          </w:p>
          <w:p w14:paraId="01B52A5D" w14:textId="77777777" w:rsidR="004C358C" w:rsidRPr="00862DFB" w:rsidRDefault="004C358C" w:rsidP="00EA0C4C">
            <w:pPr>
              <w:pStyle w:val="af5"/>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5"/>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1BD84268"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5"/>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5"/>
              <w:rPr>
                <w:rFonts w:ascii="Times New Roman" w:hAnsi="Times New Roman" w:cs="Times New Roman"/>
                <w:bCs/>
                <w:sz w:val="20"/>
                <w:szCs w:val="20"/>
                <w:lang w:val="en-US" w:eastAsia="zh-CN"/>
              </w:rPr>
            </w:pPr>
          </w:p>
          <w:p w14:paraId="1249EBCC"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need to be modified in Option-2 to cover the case when the initial BWP is used in connected mode.</w:t>
            </w:r>
          </w:p>
          <w:p w14:paraId="38E7B046"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5"/>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等线"/>
                <w:lang w:val="en-US" w:eastAsia="zh-CN"/>
              </w:rPr>
            </w:pPr>
            <w:r w:rsidRPr="00862DFB">
              <w:rPr>
                <w:rFonts w:eastAsia="等线"/>
                <w:lang w:val="en-US" w:eastAsia="zh-CN"/>
              </w:rPr>
              <w:t>IDCC</w:t>
            </w:r>
          </w:p>
        </w:tc>
        <w:tc>
          <w:tcPr>
            <w:tcW w:w="1261" w:type="dxa"/>
          </w:tcPr>
          <w:p w14:paraId="67840A89" w14:textId="50680334"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4F951E35" w14:textId="77777777" w:rsidR="00A40800" w:rsidRPr="00862DFB" w:rsidRDefault="00A40800" w:rsidP="00886B9F">
            <w:pPr>
              <w:rPr>
                <w:rFonts w:eastAsia="宋体"/>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等线"/>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w:t>
            </w:r>
            <w:r w:rsidRPr="00862DFB">
              <w:rPr>
                <w:rFonts w:eastAsia="Malgun Gothic"/>
                <w:lang w:val="en-US" w:eastAsia="ko-KR"/>
              </w:rPr>
              <w:lastRenderedPageBreak/>
              <w:t>I</w:t>
            </w:r>
          </w:p>
        </w:tc>
        <w:tc>
          <w:tcPr>
            <w:tcW w:w="1261" w:type="dxa"/>
          </w:tcPr>
          <w:p w14:paraId="765168C6" w14:textId="1AEFC5FC" w:rsidR="008E6FF3" w:rsidRPr="00862DFB" w:rsidRDefault="008E6FF3" w:rsidP="008E6FF3">
            <w:pPr>
              <w:tabs>
                <w:tab w:val="left" w:pos="551"/>
              </w:tabs>
              <w:rPr>
                <w:rFonts w:eastAsia="等线"/>
                <w:lang w:val="en-US" w:eastAsia="zh-CN"/>
              </w:rPr>
            </w:pPr>
            <w:r w:rsidRPr="00862DFB">
              <w:rPr>
                <w:rFonts w:eastAsia="等线"/>
                <w:lang w:val="en-US" w:eastAsia="zh-CN"/>
              </w:rPr>
              <w:lastRenderedPageBreak/>
              <w:t xml:space="preserve">See </w:t>
            </w:r>
            <w:r w:rsidRPr="00862DFB">
              <w:rPr>
                <w:rFonts w:eastAsia="等线"/>
                <w:lang w:val="en-US" w:eastAsia="zh-CN"/>
              </w:rPr>
              <w:lastRenderedPageBreak/>
              <w:t>comments</w:t>
            </w:r>
          </w:p>
        </w:tc>
        <w:tc>
          <w:tcPr>
            <w:tcW w:w="7139" w:type="dxa"/>
          </w:tcPr>
          <w:p w14:paraId="1152665E" w14:textId="05D91A5A" w:rsidR="008E6FF3" w:rsidRPr="00862DFB" w:rsidRDefault="008E6FF3" w:rsidP="008E6FF3">
            <w:pPr>
              <w:rPr>
                <w:rFonts w:eastAsia="等线"/>
                <w:lang w:val="en-US" w:eastAsia="zh-CN"/>
              </w:rPr>
            </w:pPr>
            <w:r w:rsidRPr="00862DFB">
              <w:rPr>
                <w:rFonts w:eastAsia="等线"/>
                <w:lang w:val="en-US" w:eastAsia="zh-CN"/>
              </w:rPr>
              <w:lastRenderedPageBreak/>
              <w:t xml:space="preserve">We support the option for the TDD bullet to allow different center frequencies for the initial DL and UL BWPs during random access when the MIB-configured </w:t>
            </w:r>
            <w:r w:rsidRPr="00862DFB">
              <w:rPr>
                <w:rFonts w:eastAsia="等线"/>
                <w:lang w:val="en-US" w:eastAsia="zh-CN"/>
              </w:rPr>
              <w:lastRenderedPageBreak/>
              <w:t>CORESET#0 (not center frequency aligned with the separate initial UL BWP) is used for random access. (remove the FFS in the beginning).</w:t>
            </w:r>
          </w:p>
          <w:p w14:paraId="4C3B85EB" w14:textId="76BB8A95"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74D4920F" w14:textId="4B69B5D3" w:rsidR="008E6FF3" w:rsidRPr="00862DFB" w:rsidRDefault="008E6FF3" w:rsidP="008E6FF3">
            <w:pPr>
              <w:pStyle w:val="af5"/>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0E168E66"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等线"/>
                <w:lang w:val="en-US" w:eastAsia="zh-CN"/>
              </w:rPr>
              <w:lastRenderedPageBreak/>
              <w:t>Ericsson</w:t>
            </w:r>
          </w:p>
        </w:tc>
        <w:tc>
          <w:tcPr>
            <w:tcW w:w="1261" w:type="dxa"/>
          </w:tcPr>
          <w:p w14:paraId="308F03E9" w14:textId="535D792F"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43FED964"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22E69896"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412E1BC0" w14:textId="77777777" w:rsidR="008C51AF" w:rsidRPr="00862DFB" w:rsidRDefault="008C51AF" w:rsidP="008C51AF">
            <w:pPr>
              <w:rPr>
                <w:rFonts w:eastAsia="等线"/>
                <w:lang w:val="en-US" w:eastAsia="zh-CN"/>
              </w:rPr>
            </w:pPr>
            <w:r w:rsidRPr="00862DFB">
              <w:rPr>
                <w:rFonts w:eastAsia="等线"/>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等线"/>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等线"/>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等线"/>
                <w:lang w:val="en-US" w:eastAsia="zh-CN"/>
              </w:rPr>
            </w:pPr>
            <w:r w:rsidRPr="00862DFB">
              <w:rPr>
                <w:rFonts w:eastAsia="等线"/>
                <w:lang w:val="en-US" w:eastAsia="zh-CN"/>
              </w:rPr>
              <w:t>Qualcomm</w:t>
            </w:r>
          </w:p>
        </w:tc>
        <w:tc>
          <w:tcPr>
            <w:tcW w:w="1261" w:type="dxa"/>
          </w:tcPr>
          <w:p w14:paraId="700E3F1C" w14:textId="5211D2E3"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10D44215"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6D9817D8" w14:textId="39F7DD85"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2A1FF50"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3BCC7508"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5"/>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5"/>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agree with MTK that the original formulation may be cleaner, but we are also </w:t>
            </w:r>
            <w:r w:rsidRPr="00862DFB">
              <w:rPr>
                <w:rFonts w:ascii="Times New Roman" w:eastAsia="等线" w:hAnsi="Times New Roman" w:cs="Times New Roman"/>
                <w:sz w:val="20"/>
                <w:szCs w:val="20"/>
                <w:lang w:val="en-US" w:eastAsia="zh-CN"/>
              </w:rPr>
              <w:lastRenderedPageBreak/>
              <w:t>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3ED98E5B"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5"/>
              <w:ind w:left="360"/>
              <w:rPr>
                <w:rFonts w:ascii="Times New Roman" w:eastAsia="等线" w:hAnsi="Times New Roman" w:cs="Times New Roman"/>
                <w:sz w:val="20"/>
                <w:szCs w:val="20"/>
                <w:lang w:val="en-US" w:eastAsia="ko-KR"/>
              </w:rPr>
            </w:pPr>
          </w:p>
          <w:p w14:paraId="4B278FDD"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等线"/>
                <w:lang w:val="en-US" w:eastAsia="zh-CN"/>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5"/>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31F1969A" w14:textId="26501FE3"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TDD, center frequencies are assumed to be the same for the initial DL and UL BWPs used during random access for RedCap UEs.</w:t>
            </w:r>
          </w:p>
          <w:p w14:paraId="5411F698" w14:textId="0190F038" w:rsidR="00EA4919"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5"/>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5"/>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5"/>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等线"/>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0"/>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79B28EBC" w14:textId="77777777" w:rsidR="003427E8" w:rsidRPr="00B9714A" w:rsidRDefault="003427E8" w:rsidP="003427E8">
            <w:pPr>
              <w:pStyle w:val="af5"/>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2"/>
            <w:lang w:val="en-US" w:eastAsia="zh-CN"/>
          </w:rPr>
          <w:t>link</w:t>
        </w:r>
      </w:hyperlink>
      <w:r>
        <w:rPr>
          <w:lang w:val="en-US" w:eastAsia="zh-CN"/>
        </w:rPr>
        <w:t>) as follows:</w:t>
      </w:r>
    </w:p>
    <w:tbl>
      <w:tblPr>
        <w:tblStyle w:val="af0"/>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5"/>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If it is configured for random access while not for paging in idle/inactive mode, RedCap UE does NOT expect it to contain SSB/CORESET#0/SIB.</w:t>
            </w:r>
          </w:p>
          <w:p w14:paraId="4A0D288B" w14:textId="77777777" w:rsidR="003427E8" w:rsidRPr="00C207FF" w:rsidRDefault="003427E8" w:rsidP="003427E8">
            <w:pPr>
              <w:pStyle w:val="af5"/>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Whether additional mechanism for SI update or how SI update notifications and/or SI updates are signaled to RedCap UEs</w:t>
            </w:r>
          </w:p>
          <w:p w14:paraId="6550EF29" w14:textId="2294F412" w:rsidR="003427E8" w:rsidRPr="003427E8" w:rsidRDefault="003427E8" w:rsidP="003427E8">
            <w:pPr>
              <w:pStyle w:val="af5"/>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5"/>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0"/>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F2226">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6A73AB7B" w14:textId="77777777" w:rsidR="003D2383" w:rsidRDefault="003D2383" w:rsidP="001C57E6">
            <w:pPr>
              <w:tabs>
                <w:tab w:val="left" w:pos="551"/>
              </w:tabs>
              <w:rPr>
                <w:lang w:val="en-US" w:eastAsia="ko-KR"/>
              </w:rPr>
            </w:pPr>
          </w:p>
        </w:tc>
        <w:tc>
          <w:tcPr>
            <w:tcW w:w="7368" w:type="dxa"/>
          </w:tcPr>
          <w:p w14:paraId="72868DE2" w14:textId="77777777" w:rsidR="003D2383" w:rsidRPr="00E50764" w:rsidRDefault="003D2383" w:rsidP="001C57E6">
            <w:pPr>
              <w:rPr>
                <w:rFonts w:eastAsiaTheme="minorEastAsia" w:hint="eastAsia"/>
                <w:lang w:val="en-US" w:eastAsia="zh-CN"/>
              </w:rPr>
            </w:pPr>
            <w:r>
              <w:rPr>
                <w:rFonts w:eastAsiaTheme="minorEastAsia"/>
                <w:lang w:val="en-US" w:eastAsia="zh-CN"/>
              </w:rPr>
              <w:t>Generally ok with some modifications as below</w:t>
            </w:r>
          </w:p>
          <w:p w14:paraId="2EFE0F23" w14:textId="77777777" w:rsidR="003D2383" w:rsidRDefault="003D2383" w:rsidP="001C57E6">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1C57E6">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lastRenderedPageBreak/>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1C57E6">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1C57E6">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1C57E6">
            <w:pPr>
              <w:spacing w:after="0" w:line="252" w:lineRule="auto"/>
              <w:ind w:left="720"/>
              <w:contextualSpacing/>
              <w:jc w:val="both"/>
              <w:rPr>
                <w:b/>
                <w:lang w:val="en-US" w:eastAsia="x-none"/>
              </w:rPr>
            </w:pPr>
          </w:p>
          <w:p w14:paraId="56700227" w14:textId="77777777" w:rsidR="003D2383" w:rsidRPr="0034378E" w:rsidRDefault="003D2383" w:rsidP="001C57E6">
            <w:pPr>
              <w:rPr>
                <w:rFonts w:eastAsiaTheme="minorEastAsia" w:hint="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1C57E6">
            <w:pPr>
              <w:rPr>
                <w:rFonts w:eastAsiaTheme="minorEastAsia"/>
                <w:lang w:val="en-US" w:eastAsia="zh-CN"/>
              </w:rPr>
            </w:pPr>
          </w:p>
          <w:p w14:paraId="2230BE5D" w14:textId="77777777" w:rsidR="003D2383" w:rsidRDefault="003D2383" w:rsidP="001C57E6">
            <w:pPr>
              <w:rPr>
                <w:rFonts w:eastAsiaTheme="minorEastAsia"/>
                <w:lang w:val="en-US" w:eastAsia="zh-CN"/>
              </w:rPr>
            </w:pPr>
            <w:r>
              <w:rPr>
                <w:rFonts w:eastAsiaTheme="minorEastAsia"/>
                <w:lang w:val="en-US" w:eastAsia="zh-CN"/>
              </w:rPr>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1C57E6">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1C57E6">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1C57E6">
            <w:pPr>
              <w:pStyle w:val="af5"/>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1C57E6">
            <w:pPr>
              <w:rPr>
                <w:lang w:val="en-US" w:eastAsia="ko-KR"/>
              </w:rPr>
            </w:pPr>
          </w:p>
        </w:tc>
      </w:tr>
    </w:tbl>
    <w:p w14:paraId="0AC075DE" w14:textId="421F3AB8" w:rsidR="003427E8" w:rsidRPr="003D2383" w:rsidRDefault="003427E8">
      <w:pPr>
        <w:spacing w:after="100" w:afterAutospacing="1"/>
        <w:jc w:val="both"/>
        <w:rPr>
          <w:rFonts w:eastAsia="等线"/>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af5"/>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0"/>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af5"/>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af5"/>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af5"/>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af5"/>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af5"/>
              <w:numPr>
                <w:ilvl w:val="0"/>
                <w:numId w:val="81"/>
              </w:numPr>
              <w:rPr>
                <w:lang w:val="en-US" w:eastAsia="ko-KR"/>
              </w:rPr>
            </w:pPr>
            <w:r>
              <w:rPr>
                <w:lang w:val="en-US" w:eastAsia="ko-KR"/>
              </w:rPr>
              <w:t xml:space="preserve">Whether </w:t>
            </w:r>
            <w:r w:rsidR="00E93F3D">
              <w:rPr>
                <w:lang w:val="en-US" w:eastAsia="ko-KR"/>
              </w:rPr>
              <w:t xml:space="preserve">it is necessary to guarantee some periodic RS (CSI-RS or TRS) in </w:t>
            </w:r>
            <w:r w:rsidR="00E93F3D">
              <w:rPr>
                <w:lang w:val="en-US" w:eastAsia="ko-KR"/>
              </w:rPr>
              <w:lastRenderedPageBreak/>
              <w:t>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F2226">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F2226">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5CEDE44C" w14:textId="77777777" w:rsidR="003D2383" w:rsidRDefault="003D2383" w:rsidP="001C57E6">
            <w:pPr>
              <w:tabs>
                <w:tab w:val="left" w:pos="551"/>
              </w:tabs>
              <w:rPr>
                <w:lang w:val="en-US" w:eastAsia="ko-KR"/>
              </w:rPr>
            </w:pPr>
          </w:p>
        </w:tc>
        <w:tc>
          <w:tcPr>
            <w:tcW w:w="7368" w:type="dxa"/>
          </w:tcPr>
          <w:p w14:paraId="2D5C0CA8" w14:textId="77777777" w:rsidR="003D2383" w:rsidRDefault="003D2383" w:rsidP="001C57E6">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1C57E6">
            <w:pPr>
              <w:rPr>
                <w:rFonts w:eastAsiaTheme="minorEastAsia"/>
                <w:lang w:val="en-US" w:eastAsia="zh-CN"/>
              </w:rPr>
            </w:pPr>
            <w:r>
              <w:rPr>
                <w:rFonts w:eastAsiaTheme="minorEastAsia"/>
                <w:lang w:val="en-US" w:eastAsia="zh-CN"/>
              </w:rPr>
              <w:t>Some general thinking for Debdeep comments:</w:t>
            </w:r>
          </w:p>
          <w:p w14:paraId="1E32AE2B" w14:textId="77777777" w:rsidR="003D2383" w:rsidRDefault="003D2383" w:rsidP="001C57E6">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1C57E6">
            <w:pPr>
              <w:rPr>
                <w:rFonts w:eastAsiaTheme="minorEastAsia"/>
                <w:lang w:val="en-US" w:eastAsia="zh-CN"/>
              </w:rPr>
            </w:pPr>
            <w:r>
              <w:rPr>
                <w:rFonts w:eastAsiaTheme="minorEastAsia"/>
                <w:lang w:val="en-US" w:eastAsia="zh-CN"/>
              </w:rPr>
              <w:t>The last question has already been asked for Option 2.</w:t>
            </w:r>
          </w:p>
          <w:p w14:paraId="3B2DFAF8" w14:textId="77777777" w:rsidR="003D2383" w:rsidRDefault="003D2383" w:rsidP="001C57E6">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1C57E6">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bl>
    <w:p w14:paraId="431C8C78" w14:textId="77777777" w:rsidR="00282A4B" w:rsidRPr="003D2383" w:rsidRDefault="00282A4B">
      <w:pPr>
        <w:spacing w:after="100" w:afterAutospacing="1"/>
        <w:jc w:val="both"/>
        <w:rPr>
          <w:rFonts w:eastAsia="等线"/>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0484786F"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2EDDD0BA"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0E9D2D51"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等线"/>
                <w:lang w:val="en-US" w:eastAsia="zh-CN"/>
              </w:rPr>
            </w:pPr>
            <w:r w:rsidRPr="00862DFB">
              <w:rPr>
                <w:rFonts w:eastAsia="等线"/>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6152E94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4C84CC8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等线"/>
                <w:lang w:val="en-US" w:eastAsia="zh-CN"/>
              </w:rPr>
            </w:pPr>
            <w:r w:rsidRPr="00862DFB">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等线"/>
                <w:lang w:val="en-US" w:eastAsia="zh-CN"/>
              </w:rPr>
            </w:pPr>
            <w:r w:rsidRPr="00862DFB">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等线"/>
                <w:lang w:val="en-US" w:eastAsia="zh-CN"/>
              </w:rPr>
            </w:pPr>
            <w:r w:rsidRPr="00862DFB">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If NCD-SSB is transmitted in FR1 within the initial/non-initial DL BWP of R17 RedCap UE, the </w:t>
            </w:r>
            <w:r w:rsidRPr="00862DFB">
              <w:rPr>
                <w:rFonts w:eastAsiaTheme="minorEastAsia"/>
                <w:i/>
                <w:iCs/>
                <w:lang w:val="en-US" w:eastAsia="zh-CN"/>
              </w:rPr>
              <w:lastRenderedPageBreak/>
              <w:t>following assumptions are made by RAN1 for SSB transmission and measurements of RedCap UE:</w:t>
            </w:r>
          </w:p>
          <w:p w14:paraId="6556E27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w:t>
                  </w:r>
                  <w:r w:rsidRPr="00862DFB">
                    <w:rPr>
                      <w:bCs/>
                      <w:i/>
                      <w:iCs/>
                      <w:lang w:val="en-US"/>
                    </w:rPr>
                    <w:lastRenderedPageBreak/>
                    <w:t>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5"/>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等线"/>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lastRenderedPageBreak/>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5"/>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宋体"/>
                <w:lang w:val="en-US" w:eastAsia="ja-JP"/>
              </w:rPr>
            </w:pPr>
            <w:r w:rsidRPr="00862DFB">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宋体"/>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5"/>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Scenarios and requirements with certain retuning/BWP switching if NCD-SSB and CD-SSB are differently configured such that a UE still needs to use </w:t>
            </w:r>
            <w:r w:rsidRPr="00862DFB">
              <w:rPr>
                <w:rFonts w:ascii="Times New Roman" w:hAnsi="Times New Roman" w:cs="Times New Roman"/>
                <w:bCs/>
                <w:i/>
                <w:iCs/>
                <w:color w:val="7030A0"/>
                <w:sz w:val="20"/>
                <w:szCs w:val="20"/>
                <w:lang w:val="en-US" w:eastAsia="zh-CN"/>
              </w:rPr>
              <w:lastRenderedPageBreak/>
              <w:t>CD-SSB for some cases</w:t>
            </w:r>
          </w:p>
          <w:p w14:paraId="2690EDC7" w14:textId="7853D474" w:rsidR="00EA0C4C" w:rsidRPr="00862DFB" w:rsidRDefault="00EA0C4C" w:rsidP="00EA0C4C">
            <w:pPr>
              <w:pStyle w:val="af5"/>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0"/>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af5"/>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0"/>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lastRenderedPageBreak/>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F2226">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F2226">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1C57E6">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1C57E6">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af5"/>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lastRenderedPageBreak/>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hint="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2CEFDA21" w14:textId="77777777"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r w:rsidRPr="00862DFB">
              <w:rPr>
                <w:rFonts w:ascii="Times New Roman" w:eastAsia="等线"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5"/>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等线"/>
                <w:lang w:val="en-US" w:eastAsia="zh-CN"/>
              </w:rPr>
            </w:pPr>
            <w:r w:rsidRPr="00862DFB">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4E855197"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6B97E4D9" w14:textId="77777777"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21EAA56"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等线"/>
                <w:lang w:val="en-US" w:eastAsia="zh-CN"/>
              </w:rPr>
            </w:pPr>
            <w:r w:rsidRPr="00862DFB">
              <w:rPr>
                <w:rFonts w:eastAsia="等线"/>
                <w:lang w:val="en-US" w:eastAsia="zh-CN"/>
              </w:rPr>
              <w:t>Not limited to:</w:t>
            </w:r>
          </w:p>
          <w:p w14:paraId="4C9AAD9C"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65031468"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3B08C6B"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1707B798"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等线"/>
                <w:lang w:val="en-US" w:eastAsia="zh-CN"/>
              </w:rPr>
            </w:pPr>
            <w:r w:rsidRPr="00862DFB">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w:t>
            </w:r>
            <w:r w:rsidRPr="00862DFB">
              <w:rPr>
                <w:rFonts w:eastAsia="等线"/>
                <w:lang w:val="en-US" w:eastAsia="zh-CN"/>
              </w:rPr>
              <w:lastRenderedPageBreak/>
              <w:t xml:space="preserve">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等线"/>
                <w:lang w:val="en-US" w:eastAsia="zh-CN"/>
              </w:rPr>
            </w:pPr>
            <w:r w:rsidRPr="00862DFB">
              <w:rPr>
                <w:rFonts w:eastAsia="等线"/>
                <w:lang w:val="en-US" w:eastAsia="zh-CN"/>
              </w:rPr>
              <w:lastRenderedPageBreak/>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158A8362"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7DDF0F6E"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r w:rsidRPr="00862DFB">
              <w:rPr>
                <w:rFonts w:ascii="Times New Roman" w:eastAsia="等线" w:hAnsi="Times New Roman" w:cs="Times New Roman"/>
                <w:i/>
                <w:iCs/>
                <w:sz w:val="20"/>
                <w:szCs w:val="20"/>
                <w:lang w:val="en-US" w:eastAsia="zh-CN"/>
              </w:rPr>
              <w:t>ssb-PositionsInBurst</w:t>
            </w:r>
            <w:r w:rsidRPr="00862DFB">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5"/>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宋体"/>
                <w:lang w:val="en-US" w:eastAsia="ja-JP"/>
              </w:rPr>
            </w:pPr>
            <w:r w:rsidRPr="00862DFB">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 xml:space="preserve">for idle/inactive/connected mode procedures for a Rel-17 RedCap UE operating with an initial or non-initial DL </w:t>
            </w:r>
            <w:r w:rsidRPr="00862DFB">
              <w:rPr>
                <w:b/>
                <w:lang w:val="en-US"/>
              </w:rPr>
              <w:lastRenderedPageBreak/>
              <w:t>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0308EE84" w14:textId="1C658FFC"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5"/>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1C57E6">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0"/>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4F337DBA"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5"/>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w:t>
            </w:r>
            <w:r w:rsidRPr="00862DFB">
              <w:rPr>
                <w:rFonts w:ascii="Times New Roman" w:eastAsia="等线" w:hAnsi="Times New Roman" w:cs="Times New Roman"/>
                <w:i/>
                <w:iCs/>
                <w:sz w:val="20"/>
                <w:szCs w:val="20"/>
                <w:lang w:val="en-US" w:eastAsia="zh-CN"/>
              </w:rPr>
              <w:lastRenderedPageBreak/>
              <w:t>etc.</w:t>
            </w:r>
          </w:p>
        </w:tc>
      </w:tr>
      <w:tr w:rsidR="00F90018" w:rsidRPr="00862DFB" w14:paraId="73E0E911" w14:textId="77777777" w:rsidTr="002C66AA">
        <w:tc>
          <w:tcPr>
            <w:tcW w:w="1372" w:type="dxa"/>
          </w:tcPr>
          <w:p w14:paraId="012A6308"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14:paraId="5225D0F1" w14:textId="77777777" w:rsidR="00F90018" w:rsidRPr="00862DFB" w:rsidRDefault="00F90018">
            <w:pPr>
              <w:tabs>
                <w:tab w:val="left" w:pos="551"/>
              </w:tabs>
              <w:rPr>
                <w:rFonts w:eastAsia="等线"/>
                <w:lang w:val="en-US" w:eastAsia="ko-KR"/>
              </w:rPr>
            </w:pPr>
          </w:p>
        </w:tc>
        <w:tc>
          <w:tcPr>
            <w:tcW w:w="7734" w:type="dxa"/>
          </w:tcPr>
          <w:p w14:paraId="0FCD9FBF"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14:paraId="5E761A6E"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19E66D70"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38012460"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1EDD43AE"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297A24A8"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等线"/>
                <w:lang w:val="en-US" w:eastAsia="ko-KR"/>
              </w:rPr>
            </w:pPr>
            <w:r w:rsidRPr="00862DFB">
              <w:rPr>
                <w:rFonts w:eastAsia="等线"/>
                <w:lang w:val="en-US" w:eastAsia="ko-KR"/>
              </w:rPr>
              <w:t>Lenovo, Motorola Mobility</w:t>
            </w:r>
          </w:p>
        </w:tc>
        <w:tc>
          <w:tcPr>
            <w:tcW w:w="666" w:type="dxa"/>
          </w:tcPr>
          <w:p w14:paraId="156698B4" w14:textId="77777777" w:rsidR="00F90018" w:rsidRPr="00862DFB" w:rsidRDefault="00F90018">
            <w:pPr>
              <w:tabs>
                <w:tab w:val="left" w:pos="551"/>
              </w:tabs>
              <w:rPr>
                <w:rFonts w:eastAsia="等线"/>
                <w:lang w:val="en-US" w:eastAsia="ko-KR"/>
              </w:rPr>
            </w:pPr>
          </w:p>
        </w:tc>
        <w:tc>
          <w:tcPr>
            <w:tcW w:w="7734" w:type="dxa"/>
          </w:tcPr>
          <w:p w14:paraId="1BFCFF3E"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7DCDCB54" w14:textId="77777777" w:rsidR="00F90018" w:rsidRPr="00862DFB" w:rsidRDefault="00F90018">
            <w:pPr>
              <w:tabs>
                <w:tab w:val="left" w:pos="551"/>
              </w:tabs>
              <w:rPr>
                <w:rFonts w:eastAsia="等线"/>
                <w:lang w:val="en-US" w:eastAsia="ko-KR"/>
              </w:rPr>
            </w:pPr>
          </w:p>
        </w:tc>
        <w:tc>
          <w:tcPr>
            <w:tcW w:w="7734" w:type="dxa"/>
          </w:tcPr>
          <w:p w14:paraId="5AFE5C16"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6B1F9A85"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等线"/>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等线"/>
                <w:lang w:val="en-US" w:eastAsia="ko-KR"/>
              </w:rPr>
            </w:pPr>
            <w:r w:rsidRPr="00862DFB">
              <w:rPr>
                <w:rFonts w:eastAsia="Yu Mincho"/>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等线"/>
                <w:lang w:val="en-US" w:eastAsia="ja-JP"/>
              </w:rPr>
            </w:pPr>
            <w:r w:rsidRPr="00862DFB">
              <w:rPr>
                <w:rFonts w:eastAsia="等线"/>
                <w:lang w:val="en-US" w:eastAsia="zh-CN"/>
              </w:rPr>
              <w:t xml:space="preserve">ZTE, </w:t>
            </w:r>
            <w:r w:rsidRPr="00862DFB">
              <w:rPr>
                <w:rFonts w:eastAsia="等线"/>
                <w:lang w:val="en-US" w:eastAsia="zh-CN"/>
              </w:rPr>
              <w:lastRenderedPageBreak/>
              <w:t>Sanechips</w:t>
            </w:r>
          </w:p>
        </w:tc>
        <w:tc>
          <w:tcPr>
            <w:tcW w:w="666" w:type="dxa"/>
          </w:tcPr>
          <w:p w14:paraId="25B4D185" w14:textId="77777777" w:rsidR="00F90018" w:rsidRPr="00862DFB" w:rsidRDefault="00F90018">
            <w:pPr>
              <w:tabs>
                <w:tab w:val="left" w:pos="551"/>
              </w:tabs>
              <w:rPr>
                <w:rFonts w:eastAsia="等线"/>
                <w:lang w:val="en-US" w:eastAsia="ja-JP"/>
              </w:rPr>
            </w:pPr>
          </w:p>
        </w:tc>
        <w:tc>
          <w:tcPr>
            <w:tcW w:w="7734" w:type="dxa"/>
          </w:tcPr>
          <w:p w14:paraId="24D6AA98"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w:t>
            </w:r>
            <w:r w:rsidRPr="00862DFB">
              <w:rPr>
                <w:b/>
                <w:highlight w:val="yellow"/>
                <w:lang w:val="en-US"/>
              </w:rPr>
              <w:lastRenderedPageBreak/>
              <w:t>Proposal 3.2-5d</w:t>
            </w:r>
            <w:r w:rsidRPr="00862DFB">
              <w:rPr>
                <w:rFonts w:eastAsia="等线"/>
                <w:lang w:val="en-US" w:eastAsia="zh-CN"/>
              </w:rPr>
              <w:t xml:space="preserve"> and then revisit this issue.</w:t>
            </w:r>
          </w:p>
          <w:p w14:paraId="5A5B4370"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7A36FEB1"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2AD5D8CB" w14:textId="77777777" w:rsidR="00F90018" w:rsidRPr="00862DFB" w:rsidRDefault="0076677B">
            <w:pPr>
              <w:pStyle w:val="af5"/>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等线"/>
                <w:lang w:val="en-US" w:eastAsia="zh-CN"/>
              </w:rPr>
            </w:pPr>
            <w:r w:rsidRPr="00862DFB">
              <w:rPr>
                <w:rFonts w:eastAsia="等线"/>
                <w:lang w:val="en-US" w:eastAsia="ko-KR"/>
              </w:rPr>
              <w:lastRenderedPageBreak/>
              <w:t>Huawei, HiSi</w:t>
            </w:r>
          </w:p>
        </w:tc>
        <w:tc>
          <w:tcPr>
            <w:tcW w:w="666" w:type="dxa"/>
          </w:tcPr>
          <w:p w14:paraId="599BCD43" w14:textId="77777777" w:rsidR="00886B9F" w:rsidRPr="00862DFB" w:rsidRDefault="00886B9F">
            <w:pPr>
              <w:tabs>
                <w:tab w:val="left" w:pos="551"/>
              </w:tabs>
              <w:rPr>
                <w:rFonts w:eastAsia="等线"/>
                <w:lang w:val="en-US" w:eastAsia="ja-JP"/>
              </w:rPr>
            </w:pPr>
          </w:p>
        </w:tc>
        <w:tc>
          <w:tcPr>
            <w:tcW w:w="7734" w:type="dxa"/>
          </w:tcPr>
          <w:p w14:paraId="491E73BB"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等线"/>
                <w:lang w:val="en-US" w:eastAsia="ko-KR"/>
              </w:rPr>
            </w:pPr>
            <w:r w:rsidRPr="00862DFB">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14:paraId="6E9D562E"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24443405" w14:textId="1C57B676"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等线"/>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等线"/>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1DF7D4BD"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47A91B72" w14:textId="727E85D0"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2C14E31B" w14:textId="07E701F2"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44424BEC"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3E67809D" w14:textId="77777777"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14:paraId="23BDE5BF" w14:textId="77777777"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等线"/>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等线"/>
                <w:lang w:val="en-US" w:eastAsia="ko-KR"/>
              </w:rPr>
            </w:pPr>
          </w:p>
        </w:tc>
        <w:tc>
          <w:tcPr>
            <w:tcW w:w="7734" w:type="dxa"/>
          </w:tcPr>
          <w:p w14:paraId="6C8CEFC8" w14:textId="6EA9B48E"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5"/>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 xml:space="preserve">For TDD, center frequencies are assumed to be the same non-initial DL and UL BWPs </w:t>
            </w:r>
            <w:r w:rsidRPr="00526234">
              <w:rPr>
                <w:rFonts w:ascii="Times New Roman" w:hAnsi="Times New Roman" w:cs="Times New Roman"/>
                <w:b/>
                <w:sz w:val="20"/>
                <w:szCs w:val="20"/>
                <w:lang w:val="en-US"/>
              </w:rPr>
              <w:lastRenderedPageBreak/>
              <w:t>with the same BWP id for a RedCap UE.</w:t>
            </w:r>
          </w:p>
        </w:tc>
      </w:tr>
    </w:tbl>
    <w:p w14:paraId="4A4DBE45"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6E0C5562" w14:textId="77777777" w:rsidR="00F90018" w:rsidRPr="00862DFB" w:rsidRDefault="00F90018">
            <w:pPr>
              <w:tabs>
                <w:tab w:val="left" w:pos="551"/>
              </w:tabs>
              <w:rPr>
                <w:rFonts w:eastAsia="等线"/>
                <w:lang w:val="en-US" w:eastAsia="ko-KR"/>
              </w:rPr>
            </w:pPr>
          </w:p>
        </w:tc>
        <w:tc>
          <w:tcPr>
            <w:tcW w:w="7564" w:type="dxa"/>
          </w:tcPr>
          <w:p w14:paraId="6A34833D"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等线"/>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等线"/>
                <w:lang w:val="en-US" w:eastAsia="ko-KR"/>
              </w:rPr>
            </w:pPr>
            <w:r w:rsidRPr="00862DFB">
              <w:rPr>
                <w:rFonts w:eastAsia="等线"/>
                <w:lang w:val="en-US" w:eastAsia="zh-CN"/>
              </w:rPr>
              <w:t>CATT</w:t>
            </w:r>
          </w:p>
        </w:tc>
        <w:tc>
          <w:tcPr>
            <w:tcW w:w="1027" w:type="dxa"/>
          </w:tcPr>
          <w:p w14:paraId="1F458C46"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4A230C3B"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14:paraId="567B9DC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5F60EDA0" w14:textId="77777777" w:rsidR="00F90018" w:rsidRPr="00862DFB" w:rsidRDefault="00F90018">
            <w:pPr>
              <w:rPr>
                <w:rFonts w:eastAsia="等线"/>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等线"/>
                <w:lang w:val="en-US" w:eastAsia="zh-CN"/>
              </w:rPr>
            </w:pPr>
          </w:p>
        </w:tc>
        <w:tc>
          <w:tcPr>
            <w:tcW w:w="7564" w:type="dxa"/>
          </w:tcPr>
          <w:p w14:paraId="522331AD"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等线"/>
                <w:lang w:val="en-US" w:eastAsia="zh-CN"/>
              </w:rPr>
              <w:t>Y,but</w:t>
            </w:r>
          </w:p>
        </w:tc>
        <w:tc>
          <w:tcPr>
            <w:tcW w:w="7564" w:type="dxa"/>
          </w:tcPr>
          <w:p w14:paraId="3E052AC3"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宋体"/>
                <w:lang w:val="en-US" w:eastAsia="ja-JP"/>
              </w:rPr>
            </w:pPr>
            <w:r w:rsidRPr="00862DFB">
              <w:rPr>
                <w:rFonts w:eastAsia="宋体"/>
                <w:lang w:val="en-US" w:eastAsia="zh-CN"/>
              </w:rPr>
              <w:t>ZTE, Sanechips</w:t>
            </w:r>
          </w:p>
        </w:tc>
        <w:tc>
          <w:tcPr>
            <w:tcW w:w="1027" w:type="dxa"/>
          </w:tcPr>
          <w:p w14:paraId="58E2226C"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等线"/>
                <w:lang w:val="en-US" w:eastAsia="ko-KR"/>
              </w:rPr>
            </w:pPr>
            <w:r w:rsidRPr="00862DFB">
              <w:rPr>
                <w:rFonts w:eastAsia="等线"/>
                <w:lang w:val="en-US" w:eastAsia="ko-KR"/>
              </w:rPr>
              <w:t xml:space="preserve">Huawei, </w:t>
            </w:r>
            <w:r w:rsidRPr="00862DFB">
              <w:rPr>
                <w:rFonts w:eastAsia="等线"/>
                <w:lang w:val="en-US" w:eastAsia="ko-KR"/>
              </w:rPr>
              <w:lastRenderedPageBreak/>
              <w:t>HiSi</w:t>
            </w:r>
          </w:p>
        </w:tc>
        <w:tc>
          <w:tcPr>
            <w:tcW w:w="1027" w:type="dxa"/>
          </w:tcPr>
          <w:p w14:paraId="78CC7DA9" w14:textId="77777777" w:rsidR="004C358C" w:rsidRPr="00862DFB" w:rsidRDefault="004C358C" w:rsidP="00EA0C4C">
            <w:pPr>
              <w:tabs>
                <w:tab w:val="left" w:pos="551"/>
              </w:tabs>
              <w:rPr>
                <w:rFonts w:eastAsia="等线"/>
                <w:lang w:val="en-US" w:eastAsia="ko-KR"/>
              </w:rPr>
            </w:pPr>
          </w:p>
        </w:tc>
        <w:tc>
          <w:tcPr>
            <w:tcW w:w="7564" w:type="dxa"/>
          </w:tcPr>
          <w:p w14:paraId="57FDAF42"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w:t>
            </w:r>
            <w:r w:rsidRPr="00862DFB">
              <w:rPr>
                <w:rFonts w:eastAsia="等线"/>
                <w:lang w:val="en-US" w:eastAsia="ko-KR"/>
              </w:rPr>
              <w:lastRenderedPageBreak/>
              <w:t xml:space="preserve">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等线"/>
                <w:lang w:val="en-US" w:eastAsia="ko-KR"/>
              </w:rPr>
            </w:pPr>
            <w:r w:rsidRPr="00862DFB">
              <w:rPr>
                <w:rFonts w:eastAsia="等线"/>
                <w:lang w:val="en-US" w:eastAsia="ko-KR"/>
              </w:rPr>
              <w:lastRenderedPageBreak/>
              <w:t>IDCC</w:t>
            </w:r>
          </w:p>
        </w:tc>
        <w:tc>
          <w:tcPr>
            <w:tcW w:w="1027" w:type="dxa"/>
          </w:tcPr>
          <w:p w14:paraId="5E69D82E" w14:textId="6AE2F1FB"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1D97587F" w14:textId="77777777" w:rsidR="00A40800" w:rsidRPr="00862DFB" w:rsidRDefault="00A40800" w:rsidP="00EA0C4C">
            <w:pPr>
              <w:rPr>
                <w:rFonts w:eastAsia="等线"/>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等线"/>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312E97D9" w14:textId="77777777" w:rsidR="00794C93" w:rsidRPr="00862DFB" w:rsidRDefault="00794C93" w:rsidP="00EA0C4C">
            <w:pPr>
              <w:tabs>
                <w:tab w:val="left" w:pos="551"/>
              </w:tabs>
              <w:rPr>
                <w:rFonts w:eastAsia="等线"/>
                <w:lang w:val="en-US" w:eastAsia="ko-KR"/>
              </w:rPr>
            </w:pPr>
          </w:p>
        </w:tc>
        <w:tc>
          <w:tcPr>
            <w:tcW w:w="7564" w:type="dxa"/>
          </w:tcPr>
          <w:p w14:paraId="63842597" w14:textId="0648876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1CC9256F" w14:textId="079C4E0F"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6BADDB54" w14:textId="77777777" w:rsidR="005F72D8" w:rsidRPr="00862DFB" w:rsidRDefault="005F72D8" w:rsidP="005F72D8">
            <w:pPr>
              <w:rPr>
                <w:rFonts w:eastAsia="等线"/>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61D3C10D" w14:textId="797B459F" w:rsidR="00DB11AC" w:rsidRDefault="00DC0F94" w:rsidP="00DC0F94">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5C38CFB1" w14:textId="77777777" w:rsidR="00F90018" w:rsidRPr="00862DFB" w:rsidRDefault="00F90018">
            <w:pPr>
              <w:tabs>
                <w:tab w:val="left" w:pos="551"/>
              </w:tabs>
              <w:rPr>
                <w:rFonts w:eastAsia="等线"/>
                <w:lang w:val="en-US" w:eastAsia="ko-KR"/>
              </w:rPr>
            </w:pPr>
          </w:p>
        </w:tc>
        <w:tc>
          <w:tcPr>
            <w:tcW w:w="7923" w:type="dxa"/>
          </w:tcPr>
          <w:p w14:paraId="0A849BD6"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等线"/>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等线"/>
                <w:lang w:val="en-US" w:eastAsia="ko-KR"/>
              </w:rPr>
            </w:pPr>
            <w:r w:rsidRPr="00862DFB">
              <w:rPr>
                <w:rFonts w:eastAsia="等线"/>
                <w:lang w:val="en-US" w:eastAsia="zh-CN"/>
              </w:rPr>
              <w:lastRenderedPageBreak/>
              <w:t>CATT</w:t>
            </w:r>
          </w:p>
        </w:tc>
        <w:tc>
          <w:tcPr>
            <w:tcW w:w="666" w:type="dxa"/>
          </w:tcPr>
          <w:p w14:paraId="7952B683"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530AE7B"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67A29E4A" w14:textId="77777777"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14:paraId="18C926C3" w14:textId="77777777" w:rsidTr="003D2383">
        <w:tc>
          <w:tcPr>
            <w:tcW w:w="1183" w:type="dxa"/>
          </w:tcPr>
          <w:p w14:paraId="546F1398"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444FA415"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3E5688C1" w14:textId="77777777" w:rsidR="00F90018" w:rsidRPr="00862DFB" w:rsidRDefault="00F90018">
            <w:pPr>
              <w:rPr>
                <w:rFonts w:eastAsia="等线"/>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等线"/>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等线"/>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等线"/>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11FB3B5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6E20AB15" w14:textId="77777777" w:rsidR="00F90018" w:rsidRPr="00862DFB" w:rsidRDefault="0076677B">
            <w:pPr>
              <w:rPr>
                <w:rFonts w:eastAsia="等线"/>
                <w:lang w:val="en-US" w:eastAsia="zh-CN"/>
              </w:rPr>
            </w:pPr>
            <w:r w:rsidRPr="00862DFB">
              <w:rPr>
                <w:rFonts w:eastAsia="等线"/>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rsidTr="003D2383">
        <w:tc>
          <w:tcPr>
            <w:tcW w:w="1183" w:type="dxa"/>
          </w:tcPr>
          <w:p w14:paraId="7E84C71C"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等线"/>
                <w:lang w:val="en-US" w:eastAsia="zh-CN"/>
              </w:rPr>
            </w:pPr>
            <w:r w:rsidRPr="00862DFB">
              <w:rPr>
                <w:rFonts w:eastAsia="等线"/>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06CBA145" w14:textId="77777777" w:rsidR="00F90018" w:rsidRPr="00862DFB" w:rsidRDefault="00F90018">
            <w:pPr>
              <w:tabs>
                <w:tab w:val="left" w:pos="551"/>
              </w:tabs>
              <w:rPr>
                <w:rFonts w:eastAsia="等线"/>
                <w:lang w:val="en-US" w:eastAsia="ja-JP"/>
              </w:rPr>
            </w:pPr>
          </w:p>
        </w:tc>
        <w:tc>
          <w:tcPr>
            <w:tcW w:w="7923" w:type="dxa"/>
          </w:tcPr>
          <w:p w14:paraId="4CF69361" w14:textId="77777777" w:rsidR="00F90018" w:rsidRPr="00862DFB" w:rsidRDefault="0076677B">
            <w:pPr>
              <w:pStyle w:val="af5"/>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5"/>
              <w:ind w:left="0"/>
              <w:rPr>
                <w:rFonts w:ascii="Times New Roman" w:hAnsi="Times New Roman" w:cs="Times New Roman"/>
                <w:sz w:val="20"/>
                <w:szCs w:val="20"/>
                <w:lang w:val="en-US" w:eastAsia="zh-CN"/>
              </w:rPr>
            </w:pPr>
          </w:p>
          <w:p w14:paraId="2CA0F2BD" w14:textId="77777777" w:rsidR="00F90018" w:rsidRPr="00862DFB" w:rsidRDefault="0076677B">
            <w:pPr>
              <w:pStyle w:val="af5"/>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5"/>
              <w:ind w:left="0"/>
              <w:rPr>
                <w:rFonts w:ascii="Times New Roman" w:hAnsi="Times New Roman" w:cs="Times New Roman"/>
                <w:bCs/>
                <w:i/>
                <w:iCs/>
                <w:sz w:val="20"/>
                <w:szCs w:val="20"/>
                <w:lang w:val="en-US"/>
              </w:rPr>
            </w:pPr>
          </w:p>
          <w:p w14:paraId="7C46D07A" w14:textId="77777777" w:rsidR="00F90018" w:rsidRPr="00862DFB" w:rsidRDefault="0076677B">
            <w:pPr>
              <w:pStyle w:val="af5"/>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5"/>
              <w:ind w:left="0"/>
              <w:rPr>
                <w:rFonts w:ascii="Times New Roman" w:eastAsia="等线" w:hAnsi="Times New Roman" w:cs="Times New Roman"/>
                <w:sz w:val="20"/>
                <w:szCs w:val="20"/>
                <w:lang w:val="en-US" w:eastAsia="zh-CN"/>
              </w:rPr>
            </w:pPr>
          </w:p>
          <w:p w14:paraId="240CCD3A" w14:textId="77777777" w:rsidR="00F90018" w:rsidRPr="00862DFB" w:rsidRDefault="0076677B">
            <w:pPr>
              <w:pStyle w:val="af5"/>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32DA3EAA" w14:textId="77777777" w:rsidR="004C358C" w:rsidRPr="00862DFB" w:rsidRDefault="004C358C" w:rsidP="00EA0C4C">
            <w:pPr>
              <w:tabs>
                <w:tab w:val="left" w:pos="551"/>
              </w:tabs>
              <w:rPr>
                <w:rFonts w:eastAsia="等线"/>
                <w:lang w:val="en-US" w:eastAsia="ko-KR"/>
              </w:rPr>
            </w:pPr>
          </w:p>
        </w:tc>
        <w:tc>
          <w:tcPr>
            <w:tcW w:w="7923" w:type="dxa"/>
          </w:tcPr>
          <w:p w14:paraId="79A2C2D1"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F61D1A7" w14:textId="394D1451"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66B4E6D5" w14:textId="461BAF0D"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14:paraId="6A35606A" w14:textId="77777777" w:rsidR="003A1F2B" w:rsidRPr="00862DFB" w:rsidRDefault="003A1F2B" w:rsidP="003A1F2B">
            <w:pPr>
              <w:tabs>
                <w:tab w:val="left" w:pos="551"/>
              </w:tabs>
              <w:rPr>
                <w:rFonts w:eastAsia="等线"/>
                <w:lang w:val="en-US" w:eastAsia="ko-KR"/>
              </w:rPr>
            </w:pPr>
          </w:p>
        </w:tc>
        <w:tc>
          <w:tcPr>
            <w:tcW w:w="7923" w:type="dxa"/>
          </w:tcPr>
          <w:p w14:paraId="663975DF"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56BD2E3"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等线"/>
                <w:lang w:val="en-US" w:eastAsia="ko-KR"/>
              </w:rPr>
            </w:pPr>
            <w:r w:rsidRPr="00862DFB">
              <w:rPr>
                <w:rFonts w:eastAsia="等线"/>
                <w:lang w:val="en-US" w:eastAsia="ko-KR"/>
              </w:rPr>
              <w:t>Update 5 (i)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QCL’ed </w:t>
            </w:r>
            <w:r w:rsidRPr="00862DFB">
              <w:rPr>
                <w:rFonts w:eastAsia="等线"/>
                <w:color w:val="FF0000"/>
                <w:lang w:val="en-US" w:eastAsia="ko-KR"/>
              </w:rPr>
              <w:t xml:space="preserve">or not QCL’ed </w:t>
            </w:r>
            <w:r w:rsidRPr="00862DFB">
              <w:rPr>
                <w:rFonts w:eastAsia="等线"/>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2FBCE878" w14:textId="2A4B3A69"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7D2F1350" w14:textId="77777777" w:rsidR="00244A88" w:rsidRPr="00862DFB" w:rsidRDefault="00244A88" w:rsidP="00244A88">
            <w:pPr>
              <w:rPr>
                <w:rFonts w:eastAsia="等线"/>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5CE09C84" w14:textId="77777777" w:rsidR="00244A88" w:rsidRPr="00862DFB" w:rsidRDefault="00244A88" w:rsidP="00244A88">
            <w:pPr>
              <w:tabs>
                <w:tab w:val="left" w:pos="551"/>
              </w:tabs>
              <w:rPr>
                <w:rFonts w:eastAsia="等线"/>
                <w:lang w:val="en-US" w:eastAsia="ko-KR"/>
              </w:rPr>
            </w:pPr>
          </w:p>
        </w:tc>
        <w:tc>
          <w:tcPr>
            <w:tcW w:w="7923" w:type="dxa"/>
          </w:tcPr>
          <w:p w14:paraId="2FE1591C" w14:textId="329EB962"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14:paraId="5778E7D0" w14:textId="72413A20" w:rsidR="00E717C8" w:rsidRPr="00FF288D" w:rsidRDefault="00E717C8" w:rsidP="00E15429">
            <w:pPr>
              <w:rPr>
                <w:rFonts w:eastAsia="等线"/>
                <w:lang w:val="en-US" w:eastAsia="ko-KR"/>
              </w:rPr>
            </w:pPr>
            <w:r>
              <w:rPr>
                <w:rFonts w:eastAsia="等线"/>
                <w:lang w:val="en-US" w:eastAsia="ko-KR"/>
              </w:rPr>
              <w:lastRenderedPageBreak/>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lastRenderedPageBreak/>
              <w:t>High Priority Question 3.2-1</w:t>
            </w:r>
            <w:r>
              <w:rPr>
                <w:b/>
                <w:highlight w:val="yellow"/>
                <w:lang w:val="en-US"/>
              </w:rPr>
              <w:t>0a</w:t>
            </w:r>
            <w:r w:rsidRPr="00862DFB">
              <w:rPr>
                <w:b/>
                <w:lang w:val="en-US"/>
              </w:rPr>
              <w:t>: Companies are invited to provide their views</w:t>
            </w:r>
            <w:r>
              <w:rPr>
                <w:b/>
                <w:lang w:val="en-US"/>
              </w:rPr>
              <w:t xml:space="preserve"> on the comments </w:t>
            </w:r>
            <w:r>
              <w:rPr>
                <w:b/>
                <w:lang w:val="en-US"/>
              </w:rPr>
              <w:lastRenderedPageBreak/>
              <w:t>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等线"/>
                <w:lang w:val="en-US" w:eastAsia="ko-KR"/>
              </w:rPr>
            </w:pPr>
            <w:r>
              <w:rPr>
                <w:rFonts w:eastAsia="等线"/>
                <w:lang w:val="en-US" w:eastAsia="ko-KR"/>
              </w:rPr>
              <w:lastRenderedPageBreak/>
              <w:t>Intel</w:t>
            </w:r>
          </w:p>
        </w:tc>
        <w:tc>
          <w:tcPr>
            <w:tcW w:w="666" w:type="dxa"/>
          </w:tcPr>
          <w:p w14:paraId="757F5779" w14:textId="77777777" w:rsidR="000539AA" w:rsidRPr="00FF288D" w:rsidRDefault="000539AA" w:rsidP="003A1F2B">
            <w:pPr>
              <w:tabs>
                <w:tab w:val="left" w:pos="551"/>
              </w:tabs>
              <w:rPr>
                <w:rFonts w:eastAsia="等线"/>
                <w:lang w:val="en-US" w:eastAsia="ko-KR"/>
              </w:rPr>
            </w:pPr>
          </w:p>
        </w:tc>
        <w:tc>
          <w:tcPr>
            <w:tcW w:w="7923" w:type="dxa"/>
          </w:tcPr>
          <w:p w14:paraId="314BBB83" w14:textId="459BC0F5"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523946F7" w14:textId="77777777" w:rsidR="003A6987" w:rsidRPr="00FF288D" w:rsidRDefault="003A6987" w:rsidP="003A1F2B">
            <w:pPr>
              <w:tabs>
                <w:tab w:val="left" w:pos="551"/>
              </w:tabs>
              <w:rPr>
                <w:rFonts w:eastAsia="等线"/>
                <w:lang w:val="en-US" w:eastAsia="ko-KR"/>
              </w:rPr>
            </w:pPr>
          </w:p>
        </w:tc>
        <w:tc>
          <w:tcPr>
            <w:tcW w:w="7923" w:type="dxa"/>
          </w:tcPr>
          <w:p w14:paraId="26590744"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等线"/>
                <w:lang w:val="en-US" w:eastAsia="zh-CN"/>
              </w:rPr>
            </w:pPr>
            <w:r>
              <w:rPr>
                <w:rFonts w:eastAsia="等线" w:hint="eastAsia"/>
                <w:lang w:val="en-US" w:eastAsia="zh-CN"/>
              </w:rPr>
              <w:t>CATT</w:t>
            </w:r>
          </w:p>
        </w:tc>
        <w:tc>
          <w:tcPr>
            <w:tcW w:w="666" w:type="dxa"/>
          </w:tcPr>
          <w:p w14:paraId="73814AF7" w14:textId="72E38B9E"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14:paraId="1E70214A" w14:textId="77777777" w:rsidR="00C6570E" w:rsidRPr="00FC7A71" w:rsidRDefault="00C6570E" w:rsidP="00FF2226">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14:paraId="4225D2D4" w14:textId="4EB9D525"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1C57E6">
            <w:pPr>
              <w:rPr>
                <w:lang w:val="en-US"/>
              </w:rPr>
            </w:pPr>
            <w:r w:rsidRPr="00794CEC">
              <w:rPr>
                <w:rFonts w:hint="eastAsia"/>
                <w:lang w:val="en-US"/>
              </w:rPr>
              <w:t>H</w:t>
            </w:r>
            <w:r w:rsidRPr="00794CEC">
              <w:rPr>
                <w:lang w:val="en-US"/>
              </w:rPr>
              <w:t>uawei, HiSi</w:t>
            </w:r>
          </w:p>
        </w:tc>
        <w:tc>
          <w:tcPr>
            <w:tcW w:w="666" w:type="dxa"/>
          </w:tcPr>
          <w:p w14:paraId="3B012D65" w14:textId="77777777" w:rsidR="003D2383" w:rsidRPr="00794CEC" w:rsidRDefault="003D2383" w:rsidP="001C57E6">
            <w:pPr>
              <w:rPr>
                <w:lang w:val="en-US"/>
              </w:rPr>
            </w:pPr>
            <w:r w:rsidRPr="00794CEC">
              <w:rPr>
                <w:rFonts w:hint="eastAsia"/>
                <w:lang w:val="en-US"/>
              </w:rPr>
              <w:t>Y</w:t>
            </w:r>
          </w:p>
        </w:tc>
        <w:tc>
          <w:tcPr>
            <w:tcW w:w="7923" w:type="dxa"/>
          </w:tcPr>
          <w:p w14:paraId="3737457F" w14:textId="77777777" w:rsidR="003D2383" w:rsidRPr="00794CEC" w:rsidRDefault="003D2383" w:rsidP="001C57E6">
            <w:pPr>
              <w:rPr>
                <w:rFonts w:eastAsia="Malgun Gothic"/>
                <w:lang w:val="en-US" w:eastAsia="ko-KR"/>
              </w:rPr>
            </w:pPr>
          </w:p>
        </w:tc>
      </w:tr>
    </w:tbl>
    <w:p w14:paraId="49047729"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0F4358BF" w14:textId="77777777" w:rsidR="00F90018" w:rsidRPr="00862DFB" w:rsidRDefault="00F90018">
            <w:pPr>
              <w:tabs>
                <w:tab w:val="left" w:pos="551"/>
              </w:tabs>
              <w:rPr>
                <w:rFonts w:eastAsia="等线"/>
                <w:lang w:val="en-US" w:eastAsia="ko-KR"/>
              </w:rPr>
            </w:pPr>
          </w:p>
        </w:tc>
        <w:tc>
          <w:tcPr>
            <w:tcW w:w="7923" w:type="dxa"/>
          </w:tcPr>
          <w:p w14:paraId="25B05714"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等线"/>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688E5918" w14:textId="77777777" w:rsidR="00F90018" w:rsidRPr="00862DFB" w:rsidRDefault="00F90018">
            <w:pPr>
              <w:tabs>
                <w:tab w:val="left" w:pos="551"/>
              </w:tabs>
              <w:rPr>
                <w:rFonts w:eastAsia="等线"/>
                <w:lang w:val="en-US" w:eastAsia="ko-KR"/>
              </w:rPr>
            </w:pPr>
          </w:p>
        </w:tc>
        <w:tc>
          <w:tcPr>
            <w:tcW w:w="7923" w:type="dxa"/>
          </w:tcPr>
          <w:p w14:paraId="37FCCA08" w14:textId="77777777" w:rsidR="00F90018" w:rsidRPr="00862DFB" w:rsidRDefault="0076677B">
            <w:pPr>
              <w:rPr>
                <w:rFonts w:eastAsia="等线"/>
                <w:lang w:val="en-US" w:eastAsia="ko-KR"/>
              </w:rPr>
            </w:pPr>
            <w:r w:rsidRPr="00862DFB">
              <w:rPr>
                <w:rFonts w:eastAsia="等线"/>
                <w:lang w:val="en-US" w:eastAsia="zh-CN"/>
              </w:rPr>
              <w:t xml:space="preserve">Currently, regarding to </w:t>
            </w:r>
            <w:r w:rsidRPr="00862DFB">
              <w:rPr>
                <w:i/>
              </w:rPr>
              <w:t>bwp-SwitchingDelay</w:t>
            </w:r>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等线"/>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等线"/>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等线"/>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等线"/>
                <w:lang w:val="en-US" w:eastAsia="ko-KR"/>
              </w:rPr>
            </w:pPr>
          </w:p>
        </w:tc>
        <w:tc>
          <w:tcPr>
            <w:tcW w:w="7923" w:type="dxa"/>
          </w:tcPr>
          <w:p w14:paraId="1F65B2C4"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等线"/>
                <w:lang w:val="en-US" w:eastAsia="ko-KR"/>
              </w:rPr>
            </w:pPr>
          </w:p>
        </w:tc>
        <w:tc>
          <w:tcPr>
            <w:tcW w:w="7923" w:type="dxa"/>
          </w:tcPr>
          <w:p w14:paraId="23ABE326"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宋体"/>
                <w:lang w:val="en-US" w:eastAsia="ja-JP"/>
              </w:rPr>
            </w:pPr>
            <w:r w:rsidRPr="00862DFB">
              <w:rPr>
                <w:rFonts w:eastAsia="宋体"/>
                <w:lang w:val="en-US" w:eastAsia="zh-CN"/>
              </w:rPr>
              <w:lastRenderedPageBreak/>
              <w:t>ZTE, Sanechips</w:t>
            </w:r>
          </w:p>
        </w:tc>
        <w:tc>
          <w:tcPr>
            <w:tcW w:w="666" w:type="dxa"/>
          </w:tcPr>
          <w:p w14:paraId="05D473D3"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426C1887"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3DBBFF9F" w14:textId="77777777" w:rsidR="004C358C" w:rsidRPr="00862DFB" w:rsidRDefault="004C358C" w:rsidP="00EA0C4C">
            <w:pPr>
              <w:tabs>
                <w:tab w:val="left" w:pos="551"/>
              </w:tabs>
              <w:rPr>
                <w:rFonts w:eastAsia="等线"/>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等线"/>
                <w:lang w:val="en-US" w:eastAsia="ko-KR"/>
              </w:rPr>
            </w:pPr>
            <w:r w:rsidRPr="00862DFB">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6800B827" w14:textId="77777777" w:rsidR="004C358C" w:rsidRPr="00862DFB"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宋体"/>
                <w:lang w:val="en-US" w:eastAsia="zh-CN"/>
              </w:rPr>
            </w:pPr>
            <w:r w:rsidRPr="00862DFB">
              <w:rPr>
                <w:rFonts w:eastAsia="宋体"/>
                <w:lang w:val="en-US" w:eastAsia="zh-CN"/>
              </w:rPr>
              <w:t>MediaTek</w:t>
            </w:r>
          </w:p>
        </w:tc>
        <w:tc>
          <w:tcPr>
            <w:tcW w:w="666" w:type="dxa"/>
          </w:tcPr>
          <w:p w14:paraId="128973B3"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3E2845DC"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173A0B6D" w14:textId="6F367B8E"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28D523F3"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17075A3A" w14:textId="77777777" w:rsidR="009A73ED" w:rsidRPr="00862DFB" w:rsidRDefault="009A73ED" w:rsidP="00EA0C4C">
            <w:pPr>
              <w:tabs>
                <w:tab w:val="left" w:pos="551"/>
              </w:tabs>
              <w:rPr>
                <w:rFonts w:eastAsia="等线"/>
                <w:lang w:val="en-US" w:eastAsia="ko-KR"/>
              </w:rPr>
            </w:pPr>
          </w:p>
        </w:tc>
        <w:tc>
          <w:tcPr>
            <w:tcW w:w="7923" w:type="dxa"/>
          </w:tcPr>
          <w:p w14:paraId="101D1D25"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14:paraId="7EC7B35D" w14:textId="5D14F810"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E38EC0C" w14:textId="77777777" w:rsidR="00C94072" w:rsidRPr="00862DFB" w:rsidRDefault="00C94072" w:rsidP="00C94072">
            <w:pPr>
              <w:rPr>
                <w:rFonts w:eastAsia="等线"/>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等线"/>
                <w:lang w:val="en-US" w:eastAsia="ko-KR"/>
              </w:rPr>
            </w:pPr>
            <w:r w:rsidRPr="00B22F65">
              <w:rPr>
                <w:rFonts w:eastAsia="等线"/>
                <w:lang w:val="en-US" w:eastAsia="ko-KR"/>
              </w:rPr>
              <w:t>FL7</w:t>
            </w:r>
          </w:p>
          <w:p w14:paraId="668B8E19" w14:textId="00C4776B" w:rsidR="00110862" w:rsidRPr="00B22F65" w:rsidRDefault="00110862" w:rsidP="00227D6E">
            <w:pPr>
              <w:rPr>
                <w:rFonts w:eastAsia="等线"/>
                <w:lang w:val="en-US" w:eastAsia="ko-KR"/>
              </w:rPr>
            </w:pPr>
            <w:r>
              <w:rPr>
                <w:rFonts w:eastAsia="等线"/>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5"/>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during initial access, whether it is sufficient to reuse the existing approach </w:t>
            </w:r>
            <w:r w:rsidRPr="00B22F65">
              <w:rPr>
                <w:rFonts w:ascii="Times New Roman" w:eastAsiaTheme="minorEastAsia" w:hAnsi="Times New Roman" w:cs="Times New Roman"/>
                <w:i/>
                <w:iCs/>
                <w:sz w:val="20"/>
                <w:szCs w:val="20"/>
                <w:lang w:val="en-US" w:eastAsia="zh-CN"/>
              </w:rPr>
              <w:lastRenderedPageBreak/>
              <w:t>without specifying default value for the scenario of CORESET#0 having different center frequency with a separate initial UL BWP</w:t>
            </w:r>
          </w:p>
          <w:p w14:paraId="4E4360A3"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等线"/>
                <w:lang w:val="en-US" w:eastAsia="ko-KR"/>
              </w:rPr>
            </w:pPr>
            <w:r>
              <w:rPr>
                <w:rFonts w:eastAsia="等线"/>
                <w:lang w:val="en-US" w:eastAsia="ko-KR"/>
              </w:rPr>
              <w:lastRenderedPageBreak/>
              <w:t>Intel</w:t>
            </w:r>
          </w:p>
        </w:tc>
        <w:tc>
          <w:tcPr>
            <w:tcW w:w="666" w:type="dxa"/>
          </w:tcPr>
          <w:p w14:paraId="0FD8718A" w14:textId="43EC7EBB"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52A69C5E" w14:textId="77777777" w:rsidR="00795CF8" w:rsidRDefault="001875BD" w:rsidP="00EA0C4C">
            <w:pPr>
              <w:rPr>
                <w:rFonts w:eastAsia="等线"/>
                <w:lang w:val="en-US" w:eastAsia="ko-KR"/>
              </w:rPr>
            </w:pPr>
            <w:r>
              <w:rPr>
                <w:rFonts w:eastAsia="等线"/>
                <w:lang w:val="en-US" w:eastAsia="ko-KR"/>
              </w:rPr>
              <w:t xml:space="preserve">Not necessary. </w:t>
            </w:r>
          </w:p>
          <w:p w14:paraId="20878865" w14:textId="605FB4C4"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7D886EFB" w14:textId="54501D79"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F3A6CDD" w14:textId="5FC80FA9"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14:paraId="2837A1B2"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6F6F212A" w14:textId="405728A6"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等线"/>
                <w:lang w:val="en-US" w:eastAsia="zh-CN"/>
              </w:rPr>
            </w:pPr>
            <w:r>
              <w:rPr>
                <w:rFonts w:eastAsia="等线"/>
                <w:lang w:val="en-US" w:eastAsia="zh-CN"/>
              </w:rPr>
              <w:t>NEC</w:t>
            </w:r>
          </w:p>
        </w:tc>
        <w:tc>
          <w:tcPr>
            <w:tcW w:w="666" w:type="dxa"/>
          </w:tcPr>
          <w:p w14:paraId="26F77153" w14:textId="7677832D"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14:paraId="7DC3357F" w14:textId="6DC7AED1"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等线"/>
                <w:lang w:val="en-US" w:eastAsia="zh-CN"/>
              </w:rPr>
            </w:pPr>
            <w:r>
              <w:rPr>
                <w:rFonts w:eastAsia="等线" w:hint="eastAsia"/>
                <w:lang w:val="en-US" w:eastAsia="zh-CN"/>
              </w:rPr>
              <w:t>CATT</w:t>
            </w:r>
          </w:p>
        </w:tc>
        <w:tc>
          <w:tcPr>
            <w:tcW w:w="666" w:type="dxa"/>
          </w:tcPr>
          <w:p w14:paraId="417CA2FC" w14:textId="10448310"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14:paraId="6585664D" w14:textId="2F64B7C8"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1C57E6">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HiSi</w:t>
            </w:r>
          </w:p>
        </w:tc>
        <w:tc>
          <w:tcPr>
            <w:tcW w:w="666" w:type="dxa"/>
          </w:tcPr>
          <w:p w14:paraId="755FCC1E" w14:textId="77777777" w:rsidR="003D2383" w:rsidRPr="00862DFB" w:rsidRDefault="003D2383" w:rsidP="001C57E6">
            <w:pPr>
              <w:tabs>
                <w:tab w:val="left" w:pos="551"/>
              </w:tabs>
              <w:rPr>
                <w:rFonts w:eastAsia="等线"/>
                <w:lang w:val="en-US" w:eastAsia="zh-CN"/>
              </w:rPr>
            </w:pPr>
            <w:r>
              <w:rPr>
                <w:rFonts w:eastAsia="等线" w:hint="eastAsia"/>
                <w:lang w:val="en-US" w:eastAsia="zh-CN"/>
              </w:rPr>
              <w:t>Y</w:t>
            </w:r>
          </w:p>
        </w:tc>
        <w:tc>
          <w:tcPr>
            <w:tcW w:w="7923" w:type="dxa"/>
          </w:tcPr>
          <w:p w14:paraId="772682D2" w14:textId="412A897A" w:rsidR="003D2383" w:rsidRPr="00862DFB" w:rsidRDefault="003D2383" w:rsidP="001C57E6">
            <w:pPr>
              <w:rPr>
                <w:rFonts w:eastAsia="等线" w:hint="eastAsia"/>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Debdeep also questioned in another question</w:t>
            </w:r>
            <w:bookmarkStart w:id="10" w:name="_GoBack"/>
            <w:bookmarkEnd w:id="10"/>
            <w:r>
              <w:rPr>
                <w:rFonts w:eastAsia="等线"/>
                <w:lang w:val="en-US" w:eastAsia="zh-CN"/>
              </w:rPr>
              <w:t xml:space="preserve">. Since it possibly happens even in legacy case we would consider it is feasible/sufficient to keep the same treatment. However, it is better to ask RAN4. </w:t>
            </w: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5"/>
        <w:numPr>
          <w:ilvl w:val="0"/>
          <w:numId w:val="71"/>
        </w:numPr>
        <w:rPr>
          <w:sz w:val="20"/>
          <w:szCs w:val="20"/>
          <w:lang w:val="en-US"/>
        </w:rPr>
      </w:pPr>
      <w:r>
        <w:rPr>
          <w:sz w:val="20"/>
          <w:szCs w:val="20"/>
          <w:lang w:val="en-US"/>
        </w:rPr>
        <w:lastRenderedPageBreak/>
        <w:t>[7]: Define new capabilities like FG 6-1/6-1a/6-2/6-3/6-4 to consider SSB and CORESET of CSS presence in the UE-specific DL BWP.</w:t>
      </w:r>
    </w:p>
    <w:p w14:paraId="0BD3380B" w14:textId="77777777"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5"/>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5"/>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宋体"/>
                <w:lang w:val="en-US" w:eastAsia="zh-CN"/>
              </w:rPr>
              <w:t>ZTE, Sanechips</w:t>
            </w:r>
          </w:p>
        </w:tc>
        <w:tc>
          <w:tcPr>
            <w:tcW w:w="1372" w:type="dxa"/>
          </w:tcPr>
          <w:p w14:paraId="71BEECB4"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48BA54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宋体"/>
                <w:lang w:val="en-US" w:eastAsia="zh-CN"/>
              </w:rPr>
            </w:pPr>
            <w:r>
              <w:rPr>
                <w:rFonts w:eastAsia="宋体"/>
                <w:lang w:val="en-US" w:eastAsia="zh-CN"/>
              </w:rPr>
              <w:lastRenderedPageBreak/>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50EA907D"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1B5E553" w14:textId="77777777" w:rsidR="00F90018" w:rsidRDefault="00F90018">
            <w:pPr>
              <w:widowControl w:val="0"/>
              <w:snapToGrid w:val="0"/>
              <w:spacing w:line="300" w:lineRule="auto"/>
              <w:jc w:val="both"/>
              <w:rPr>
                <w:rFonts w:eastAsia="宋体"/>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宋体"/>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宋体"/>
                <w:lang w:val="en-US" w:eastAsia="zh-CN"/>
              </w:rPr>
            </w:pPr>
            <w:r>
              <w:rPr>
                <w:rFonts w:eastAsia="宋体"/>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20BA40E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宋体"/>
                <w:lang w:val="en-US" w:eastAsia="zh-CN"/>
              </w:rPr>
            </w:pPr>
            <w:r>
              <w:rPr>
                <w:rFonts w:eastAsia="宋体" w:hint="eastAsia"/>
                <w:lang w:val="en-US" w:eastAsia="zh-CN"/>
              </w:rPr>
              <w:t>ZTE, Sanechips</w:t>
            </w:r>
          </w:p>
        </w:tc>
        <w:tc>
          <w:tcPr>
            <w:tcW w:w="1372" w:type="dxa"/>
          </w:tcPr>
          <w:p w14:paraId="36D41AFF" w14:textId="77777777" w:rsidR="00F90018" w:rsidRDefault="00F90018">
            <w:pPr>
              <w:tabs>
                <w:tab w:val="left" w:pos="551"/>
              </w:tabs>
              <w:rPr>
                <w:rFonts w:eastAsia="宋体"/>
                <w:lang w:val="en-US" w:eastAsia="zh-CN"/>
              </w:rPr>
            </w:pPr>
          </w:p>
        </w:tc>
        <w:tc>
          <w:tcPr>
            <w:tcW w:w="6780" w:type="dxa"/>
          </w:tcPr>
          <w:p w14:paraId="021C8973"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1BF251D9"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A3A9FEA" w14:textId="77777777" w:rsidR="00F90018" w:rsidRDefault="00F90018">
            <w:pPr>
              <w:rPr>
                <w:rFonts w:eastAsia="宋体"/>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宋体"/>
                <w:lang w:val="en-US" w:eastAsia="zh-CN"/>
              </w:rPr>
            </w:pPr>
            <w:r>
              <w:rPr>
                <w:rFonts w:eastAsia="宋体"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02F35761" w14:textId="77777777" w:rsidR="00F90018" w:rsidRDefault="0076677B">
            <w:pPr>
              <w:rPr>
                <w:rFonts w:eastAsia="宋体"/>
                <w:lang w:val="en-US" w:eastAsia="zh-CN"/>
              </w:rPr>
            </w:pPr>
            <w:r>
              <w:rPr>
                <w:rFonts w:eastAsia="宋体" w:hint="eastAsia"/>
                <w:lang w:val="en-US" w:eastAsia="zh-CN"/>
              </w:rPr>
              <w:t>Share the same view as ZTE.</w:t>
            </w:r>
          </w:p>
          <w:p w14:paraId="4C6BCE1F"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宋体"/>
                <w:lang w:val="en-US" w:eastAsia="ko-KR"/>
              </w:rPr>
            </w:pPr>
            <w:r>
              <w:rPr>
                <w:rFonts w:eastAsia="宋体" w:hint="eastAsia"/>
                <w:lang w:val="en-US" w:eastAsia="ko-KR"/>
              </w:rPr>
              <w:t>LGE</w:t>
            </w:r>
          </w:p>
        </w:tc>
        <w:tc>
          <w:tcPr>
            <w:tcW w:w="1372" w:type="dxa"/>
          </w:tcPr>
          <w:p w14:paraId="508F594D" w14:textId="77777777" w:rsidR="00F90018" w:rsidRDefault="00F90018">
            <w:pPr>
              <w:tabs>
                <w:tab w:val="left" w:pos="551"/>
              </w:tabs>
              <w:rPr>
                <w:rFonts w:eastAsia="宋体"/>
                <w:lang w:val="en-US" w:eastAsia="zh-CN"/>
              </w:rPr>
            </w:pPr>
          </w:p>
        </w:tc>
        <w:tc>
          <w:tcPr>
            <w:tcW w:w="6780" w:type="dxa"/>
          </w:tcPr>
          <w:p w14:paraId="2661C7A6"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0EEE5FD0"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9DE7392" w14:textId="77777777" w:rsidR="00F90018" w:rsidRDefault="00F90018">
            <w:pPr>
              <w:rPr>
                <w:rFonts w:eastAsia="宋体"/>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lastRenderedPageBreak/>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宋体"/>
                <w:lang w:val="en-US" w:eastAsia="ko-KR"/>
              </w:rPr>
            </w:pPr>
            <w:r>
              <w:rPr>
                <w:rFonts w:eastAsia="宋体" w:hint="eastAsia"/>
                <w:lang w:val="en-US" w:eastAsia="zh-CN"/>
              </w:rPr>
              <w:t>ZTE, Sanechips</w:t>
            </w:r>
          </w:p>
        </w:tc>
        <w:tc>
          <w:tcPr>
            <w:tcW w:w="1372" w:type="dxa"/>
          </w:tcPr>
          <w:p w14:paraId="3FE4B751"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4597498"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525AFE"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279A123"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36776BEF" w14:textId="77777777">
        <w:tc>
          <w:tcPr>
            <w:tcW w:w="1479" w:type="dxa"/>
          </w:tcPr>
          <w:p w14:paraId="285A0B88"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宋体"/>
                <w:lang w:val="en-US" w:eastAsia="zh-CN"/>
              </w:rPr>
            </w:pPr>
          </w:p>
        </w:tc>
        <w:tc>
          <w:tcPr>
            <w:tcW w:w="6780" w:type="dxa"/>
          </w:tcPr>
          <w:p w14:paraId="424399FE"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w:t>
            </w:r>
            <w:r>
              <w:rPr>
                <w:rFonts w:ascii="Times New Roman" w:hAnsi="Times New Roman" w:cs="Times New Roman"/>
                <w:sz w:val="20"/>
                <w:szCs w:val="20"/>
                <w:lang w:val="en-US" w:eastAsia="ko-KR"/>
              </w:rPr>
              <w:lastRenderedPageBreak/>
              <w:t xml:space="preserve">(RRM/RLM/LR). To our understanding, currently NCD-SSB cannot be used for serving cell measurements or as QCL sources. </w:t>
            </w:r>
          </w:p>
          <w:p w14:paraId="16950F0F"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lastRenderedPageBreak/>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宋体"/>
                <w:lang w:val="en-US" w:eastAsia="ja-JP"/>
              </w:rPr>
            </w:pPr>
            <w:r>
              <w:rPr>
                <w:rFonts w:eastAsia="宋体" w:hint="eastAsia"/>
                <w:lang w:val="en-US" w:eastAsia="zh-CN"/>
              </w:rPr>
              <w:t>CMCC</w:t>
            </w:r>
          </w:p>
        </w:tc>
        <w:tc>
          <w:tcPr>
            <w:tcW w:w="1372" w:type="dxa"/>
          </w:tcPr>
          <w:p w14:paraId="1C99696B"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446DE88A" w14:textId="77777777" w:rsidR="00F90018" w:rsidRDefault="0076677B">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4C149C">
            <w:pPr>
              <w:rPr>
                <w:color w:val="0000FF"/>
                <w:u w:val="single"/>
                <w:lang w:val="en-US"/>
              </w:rPr>
            </w:pPr>
            <w:hyperlink r:id="rId49" w:history="1">
              <w:r w:rsidR="0076677B">
                <w:rPr>
                  <w:rStyle w:val="af2"/>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4C149C">
            <w:pPr>
              <w:rPr>
                <w:color w:val="0000FF"/>
                <w:u w:val="single"/>
                <w:lang w:val="en-US"/>
              </w:rPr>
            </w:pPr>
            <w:hyperlink r:id="rId50" w:history="1">
              <w:r w:rsidR="0076677B">
                <w:rPr>
                  <w:rStyle w:val="af2"/>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4C149C">
            <w:hyperlink r:id="rId51" w:history="1">
              <w:r w:rsidR="0076677B">
                <w:rPr>
                  <w:rStyle w:val="af2"/>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4C149C">
            <w:pPr>
              <w:rPr>
                <w:color w:val="0000FF"/>
                <w:u w:val="single"/>
                <w:lang w:val="en-US"/>
              </w:rPr>
            </w:pPr>
            <w:hyperlink r:id="rId52" w:history="1">
              <w:r w:rsidR="0076677B">
                <w:rPr>
                  <w:rStyle w:val="af2"/>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4C149C">
            <w:pPr>
              <w:rPr>
                <w:color w:val="0000FF"/>
                <w:u w:val="single"/>
                <w:lang w:val="en-US"/>
              </w:rPr>
            </w:pPr>
            <w:hyperlink r:id="rId53" w:history="1">
              <w:r w:rsidR="0076677B">
                <w:rPr>
                  <w:rStyle w:val="af2"/>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4C149C">
            <w:pPr>
              <w:rPr>
                <w:color w:val="0000FF"/>
                <w:u w:val="single"/>
                <w:lang w:val="en-US"/>
              </w:rPr>
            </w:pPr>
            <w:hyperlink r:id="rId54" w:history="1">
              <w:r w:rsidR="0076677B">
                <w:rPr>
                  <w:rStyle w:val="af2"/>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4C149C">
            <w:pPr>
              <w:rPr>
                <w:color w:val="0000FF"/>
                <w:u w:val="single"/>
                <w:lang w:val="en-US"/>
              </w:rPr>
            </w:pPr>
            <w:hyperlink r:id="rId55" w:history="1">
              <w:r w:rsidR="0076677B">
                <w:rPr>
                  <w:rStyle w:val="af2"/>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4C149C">
            <w:pPr>
              <w:rPr>
                <w:color w:val="0000FF"/>
                <w:u w:val="single"/>
                <w:lang w:val="en-US"/>
              </w:rPr>
            </w:pPr>
            <w:hyperlink r:id="rId56" w:history="1">
              <w:r w:rsidR="0076677B">
                <w:rPr>
                  <w:rStyle w:val="af2"/>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4C149C">
            <w:pPr>
              <w:rPr>
                <w:color w:val="0000FF"/>
                <w:u w:val="single"/>
                <w:lang w:val="en-US"/>
              </w:rPr>
            </w:pPr>
            <w:hyperlink r:id="rId57" w:history="1">
              <w:r w:rsidR="0076677B">
                <w:rPr>
                  <w:rStyle w:val="af2"/>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4C149C">
            <w:pPr>
              <w:rPr>
                <w:color w:val="0000FF"/>
                <w:u w:val="single"/>
                <w:lang w:val="en-US"/>
              </w:rPr>
            </w:pPr>
            <w:hyperlink r:id="rId58" w:history="1">
              <w:r w:rsidR="0076677B">
                <w:rPr>
                  <w:rStyle w:val="af2"/>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4C149C">
            <w:pPr>
              <w:rPr>
                <w:color w:val="0000FF"/>
                <w:u w:val="single"/>
                <w:lang w:val="en-US"/>
              </w:rPr>
            </w:pPr>
            <w:hyperlink r:id="rId59" w:history="1">
              <w:r w:rsidR="0076677B">
                <w:rPr>
                  <w:rStyle w:val="af2"/>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4C149C">
            <w:pPr>
              <w:rPr>
                <w:color w:val="0000FF"/>
                <w:u w:val="single"/>
                <w:lang w:val="en-US"/>
              </w:rPr>
            </w:pPr>
            <w:hyperlink r:id="rId60" w:history="1">
              <w:r w:rsidR="0076677B">
                <w:rPr>
                  <w:rStyle w:val="af2"/>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4C149C">
            <w:pPr>
              <w:rPr>
                <w:color w:val="0000FF"/>
                <w:u w:val="single"/>
                <w:lang w:val="en-US"/>
              </w:rPr>
            </w:pPr>
            <w:hyperlink r:id="rId61" w:history="1">
              <w:r w:rsidR="0076677B">
                <w:rPr>
                  <w:rStyle w:val="af2"/>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C9D335D" w14:textId="77777777" w:rsidR="00F90018" w:rsidRDefault="004C149C">
            <w:pPr>
              <w:rPr>
                <w:lang w:val="en-US"/>
              </w:rPr>
            </w:pPr>
            <w:hyperlink r:id="rId62" w:history="1">
              <w:r w:rsidR="0076677B">
                <w:rPr>
                  <w:rStyle w:val="af2"/>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4C149C">
            <w:pPr>
              <w:rPr>
                <w:color w:val="0000FF"/>
                <w:u w:val="single"/>
                <w:lang w:val="en-US"/>
              </w:rPr>
            </w:pPr>
            <w:hyperlink r:id="rId63" w:history="1">
              <w:r w:rsidR="0076677B">
                <w:rPr>
                  <w:rStyle w:val="af2"/>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4C149C">
            <w:pPr>
              <w:rPr>
                <w:color w:val="0000FF"/>
                <w:u w:val="single"/>
                <w:lang w:val="en-US"/>
              </w:rPr>
            </w:pPr>
            <w:hyperlink r:id="rId64" w:history="1">
              <w:r w:rsidR="0076677B">
                <w:rPr>
                  <w:rStyle w:val="af2"/>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4C149C">
            <w:pPr>
              <w:rPr>
                <w:color w:val="0000FF"/>
                <w:u w:val="single"/>
                <w:lang w:val="en-US"/>
              </w:rPr>
            </w:pPr>
            <w:hyperlink r:id="rId65" w:history="1">
              <w:r w:rsidR="0076677B">
                <w:rPr>
                  <w:rStyle w:val="af2"/>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4C149C">
            <w:pPr>
              <w:rPr>
                <w:color w:val="0000FF"/>
                <w:u w:val="single"/>
                <w:lang w:eastAsia="sv-SE"/>
              </w:rPr>
            </w:pPr>
            <w:hyperlink r:id="rId66" w:history="1">
              <w:r w:rsidR="0076677B">
                <w:rPr>
                  <w:rStyle w:val="af2"/>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4C149C">
            <w:pPr>
              <w:rPr>
                <w:color w:val="0000FF"/>
                <w:u w:val="single"/>
                <w:lang w:val="en-US"/>
              </w:rPr>
            </w:pPr>
            <w:hyperlink r:id="rId68" w:history="1">
              <w:r w:rsidR="0076677B">
                <w:rPr>
                  <w:rStyle w:val="af2"/>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4C149C">
            <w:pPr>
              <w:rPr>
                <w:color w:val="0000FF"/>
                <w:u w:val="single"/>
                <w:lang w:val="en-US"/>
              </w:rPr>
            </w:pPr>
            <w:hyperlink r:id="rId69" w:history="1">
              <w:r w:rsidR="0076677B">
                <w:rPr>
                  <w:rStyle w:val="af2"/>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4C149C">
            <w:pPr>
              <w:rPr>
                <w:color w:val="0000FF"/>
                <w:u w:val="single"/>
                <w:lang w:val="en-US"/>
              </w:rPr>
            </w:pPr>
            <w:hyperlink r:id="rId70" w:history="1">
              <w:r w:rsidR="0076677B">
                <w:rPr>
                  <w:rStyle w:val="af2"/>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4C149C">
            <w:pPr>
              <w:rPr>
                <w:color w:val="0000FF"/>
                <w:u w:val="single"/>
                <w:lang w:val="en-US"/>
              </w:rPr>
            </w:pPr>
            <w:hyperlink r:id="rId71" w:history="1">
              <w:r w:rsidR="0076677B">
                <w:rPr>
                  <w:rStyle w:val="af2"/>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4C149C">
            <w:pPr>
              <w:rPr>
                <w:color w:val="0000FF"/>
                <w:u w:val="single"/>
                <w:lang w:val="en-US"/>
              </w:rPr>
            </w:pPr>
            <w:hyperlink r:id="rId72" w:history="1">
              <w:r w:rsidR="0076677B">
                <w:rPr>
                  <w:rStyle w:val="af2"/>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4C149C">
            <w:pPr>
              <w:rPr>
                <w:color w:val="0000FF"/>
                <w:u w:val="single"/>
                <w:lang w:val="en-US"/>
              </w:rPr>
            </w:pPr>
            <w:hyperlink r:id="rId73" w:history="1">
              <w:r w:rsidR="0076677B">
                <w:rPr>
                  <w:rStyle w:val="af2"/>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4C149C">
            <w:pPr>
              <w:rPr>
                <w:color w:val="0000FF"/>
                <w:u w:val="single"/>
                <w:lang w:val="en-US"/>
              </w:rPr>
            </w:pPr>
            <w:hyperlink r:id="rId74" w:history="1">
              <w:r w:rsidR="0076677B">
                <w:rPr>
                  <w:rStyle w:val="af2"/>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4C149C">
            <w:pPr>
              <w:rPr>
                <w:color w:val="0000FF"/>
                <w:u w:val="single"/>
                <w:lang w:val="en-US"/>
              </w:rPr>
            </w:pPr>
            <w:hyperlink r:id="rId75" w:history="1">
              <w:r w:rsidR="0076677B">
                <w:rPr>
                  <w:rStyle w:val="af2"/>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4C149C">
            <w:pPr>
              <w:rPr>
                <w:color w:val="0000FF"/>
                <w:u w:val="single"/>
                <w:lang w:val="en-US"/>
              </w:rPr>
            </w:pPr>
            <w:hyperlink r:id="rId76" w:history="1">
              <w:r w:rsidR="0076677B">
                <w:rPr>
                  <w:rStyle w:val="af2"/>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4C149C">
            <w:pPr>
              <w:rPr>
                <w:color w:val="0000FF"/>
                <w:u w:val="single"/>
                <w:lang w:val="en-US"/>
              </w:rPr>
            </w:pPr>
            <w:hyperlink r:id="rId77" w:history="1">
              <w:r w:rsidR="0076677B">
                <w:rPr>
                  <w:rStyle w:val="af2"/>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4C149C">
            <w:pPr>
              <w:rPr>
                <w:lang w:val="en-US"/>
              </w:rPr>
            </w:pPr>
            <w:hyperlink r:id="rId78" w:history="1">
              <w:r w:rsidR="0076677B">
                <w:rPr>
                  <w:rStyle w:val="af2"/>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4C149C">
            <w:pPr>
              <w:rPr>
                <w:rStyle w:val="af2"/>
                <w:color w:val="0000FF"/>
                <w:lang w:val="en-US"/>
              </w:rPr>
            </w:pPr>
            <w:hyperlink r:id="rId79" w:history="1">
              <w:r w:rsidR="0076677B">
                <w:rPr>
                  <w:rStyle w:val="af2"/>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4C149C">
            <w:pPr>
              <w:rPr>
                <w:rStyle w:val="af2"/>
                <w:color w:val="0000FF"/>
                <w:lang w:val="en-US"/>
              </w:rPr>
            </w:pPr>
            <w:hyperlink r:id="rId80" w:history="1">
              <w:r w:rsidR="0076677B">
                <w:rPr>
                  <w:rStyle w:val="af2"/>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4C149C">
            <w:pPr>
              <w:rPr>
                <w:lang w:val="en-US"/>
              </w:rPr>
            </w:pPr>
            <w:hyperlink r:id="rId81" w:history="1">
              <w:r w:rsidR="0076677B">
                <w:rPr>
                  <w:rStyle w:val="af2"/>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4C149C">
            <w:pPr>
              <w:rPr>
                <w:color w:val="0000FF"/>
                <w:u w:val="single"/>
                <w:lang w:val="en-US"/>
              </w:rPr>
            </w:pPr>
            <w:hyperlink r:id="rId82" w:history="1">
              <w:r w:rsidR="0076677B">
                <w:rPr>
                  <w:rStyle w:val="af2"/>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4C149C">
            <w:hyperlink r:id="rId83" w:history="1">
              <w:r w:rsidR="0076677B">
                <w:rPr>
                  <w:rStyle w:val="af2"/>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4C149C">
            <w:hyperlink r:id="rId84" w:history="1">
              <w:r w:rsidR="0076677B">
                <w:rPr>
                  <w:rStyle w:val="af2"/>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4C149C">
            <w:hyperlink r:id="rId85" w:history="1">
              <w:r w:rsidR="0076677B">
                <w:rPr>
                  <w:rStyle w:val="af2"/>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4C149C" w:rsidP="00060112">
            <w:hyperlink r:id="rId86" w:history="1">
              <w:r w:rsidR="002F2DB6">
                <w:rPr>
                  <w:rStyle w:val="af2"/>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0F9A2" w14:textId="77777777" w:rsidR="004C149C" w:rsidRDefault="004C149C" w:rsidP="004C358C">
      <w:pPr>
        <w:spacing w:after="0" w:line="240" w:lineRule="auto"/>
      </w:pPr>
      <w:r>
        <w:separator/>
      </w:r>
    </w:p>
  </w:endnote>
  <w:endnote w:type="continuationSeparator" w:id="0">
    <w:p w14:paraId="700D8CAF" w14:textId="77777777" w:rsidR="004C149C" w:rsidRDefault="004C149C"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2725" w14:textId="77777777" w:rsidR="004C149C" w:rsidRDefault="004C149C" w:rsidP="004C358C">
      <w:pPr>
        <w:spacing w:after="0" w:line="240" w:lineRule="auto"/>
      </w:pPr>
      <w:r>
        <w:separator/>
      </w:r>
    </w:p>
  </w:footnote>
  <w:footnote w:type="continuationSeparator" w:id="0">
    <w:p w14:paraId="732E6528" w14:textId="77777777" w:rsidR="004C149C" w:rsidRDefault="004C149C"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E1AEC7B8-1EAA-44C0-AD39-F68B500A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8D3073-C389-4BBA-ACA9-62318291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43222</Words>
  <Characters>246369</Characters>
  <Application>Microsoft Office Word</Application>
  <DocSecurity>0</DocSecurity>
  <Lines>2053</Lines>
  <Paragraphs>578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289013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3</cp:revision>
  <dcterms:created xsi:type="dcterms:W3CDTF">2021-10-19T06:48:00Z</dcterms:created>
  <dcterms:modified xsi:type="dcterms:W3CDTF">2021-10-19T06:48:00Z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