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646E1D53"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EA46D9">
        <w:rPr>
          <w:rFonts w:eastAsia="SimSun"/>
          <w:sz w:val="22"/>
          <w:szCs w:val="22"/>
          <w:lang w:eastAsia="zh-CN"/>
        </w:rPr>
        <w:t>xxxx</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0D2B095"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4C" w14:textId="6EC32E43" w:rsidR="00A70AEE" w:rsidRDefault="00A70AEE" w:rsidP="00A70AEE">
            <w:pPr>
              <w:widowControl w:val="0"/>
              <w:snapToGrid w:val="0"/>
              <w:spacing w:before="120" w:after="120" w:line="240" w:lineRule="auto"/>
              <w:rPr>
                <w:rFonts w:eastAsia="Microsoft YaHei"/>
                <w:sz w:val="20"/>
                <w:szCs w:val="20"/>
              </w:rPr>
            </w:pPr>
          </w:p>
        </w:tc>
      </w:tr>
      <w:tr w:rsidR="00E07FB6" w14:paraId="00E3AE50" w14:textId="77777777" w:rsidTr="00515754">
        <w:tc>
          <w:tcPr>
            <w:tcW w:w="2405" w:type="dxa"/>
          </w:tcPr>
          <w:p w14:paraId="00E3AE4E" w14:textId="0198FE0B" w:rsidR="00E07FB6" w:rsidRPr="00E07FB6" w:rsidRDefault="00E07FB6" w:rsidP="00E07FB6">
            <w:pPr>
              <w:widowControl w:val="0"/>
              <w:snapToGrid w:val="0"/>
              <w:spacing w:before="120" w:after="120" w:line="240" w:lineRule="auto"/>
              <w:rPr>
                <w:rFonts w:eastAsia="Microsoft YaHei"/>
                <w:sz w:val="20"/>
                <w:szCs w:val="20"/>
              </w:rPr>
            </w:pPr>
          </w:p>
        </w:tc>
        <w:tc>
          <w:tcPr>
            <w:tcW w:w="6945" w:type="dxa"/>
          </w:tcPr>
          <w:p w14:paraId="00E3AE4F" w14:textId="3DCD21DD" w:rsidR="00E07FB6" w:rsidRDefault="00E07FB6" w:rsidP="00E07FB6">
            <w:pPr>
              <w:widowControl w:val="0"/>
              <w:snapToGrid w:val="0"/>
              <w:spacing w:before="120" w:after="120" w:line="240" w:lineRule="auto"/>
              <w:rPr>
                <w:rFonts w:eastAsia="Microsoft YaHei"/>
                <w:sz w:val="20"/>
                <w:szCs w:val="20"/>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1D8A5A2D"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EE" w14:textId="4B76899E" w:rsidR="00A70AEE" w:rsidRDefault="00A70AEE" w:rsidP="00A70AEE">
            <w:pPr>
              <w:widowControl w:val="0"/>
              <w:snapToGrid w:val="0"/>
              <w:spacing w:before="120" w:after="120" w:line="240" w:lineRule="auto"/>
              <w:rPr>
                <w:rFonts w:eastAsia="Microsoft YaHei"/>
                <w:sz w:val="20"/>
                <w:szCs w:val="20"/>
              </w:rPr>
            </w:pPr>
          </w:p>
        </w:tc>
      </w:tr>
      <w:tr w:rsidR="00E07FB6" w14:paraId="00E3AEF2" w14:textId="77777777" w:rsidTr="00515754">
        <w:tc>
          <w:tcPr>
            <w:tcW w:w="2405" w:type="dxa"/>
          </w:tcPr>
          <w:p w14:paraId="00E3AEF0" w14:textId="535F616E"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5FB239C7" w:rsidR="00E07FB6" w:rsidRDefault="00E07FB6" w:rsidP="00E07FB6">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w:t>
            </w:r>
            <w:r w:rsidRPr="00531E0E">
              <w:rPr>
                <w:rFonts w:eastAsia="Microsoft YaHei"/>
                <w:sz w:val="20"/>
                <w:szCs w:val="20"/>
              </w:rPr>
              <w:lastRenderedPageBreak/>
              <w:t>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lastRenderedPageBreak/>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5980BEC3"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F4F" w14:textId="4D79ECDD" w:rsidR="001D2028" w:rsidRDefault="001D2028" w:rsidP="00A70AEE">
            <w:pPr>
              <w:widowControl w:val="0"/>
              <w:snapToGrid w:val="0"/>
              <w:spacing w:before="120" w:after="120" w:line="240" w:lineRule="auto"/>
              <w:rPr>
                <w:rFonts w:eastAsia="Microsoft YaHei"/>
                <w:sz w:val="20"/>
                <w:szCs w:val="20"/>
              </w:rPr>
            </w:pPr>
          </w:p>
        </w:tc>
      </w:tr>
      <w:tr w:rsidR="00E07FB6" w14:paraId="00E3AF53" w14:textId="77777777" w:rsidTr="00515754">
        <w:tc>
          <w:tcPr>
            <w:tcW w:w="2405" w:type="dxa"/>
          </w:tcPr>
          <w:p w14:paraId="00E3AF51" w14:textId="4FCC5679"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52" w14:textId="3B232EEF" w:rsidR="00E07FB6" w:rsidRDefault="00E07FB6" w:rsidP="00E07FB6">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9009A9"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CATT, </w:t>
      </w:r>
      <w:r>
        <w:rPr>
          <w:rFonts w:eastAsia="Microsoft YaHei" w:hint="eastAsia"/>
          <w:sz w:val="20"/>
          <w:szCs w:val="20"/>
        </w:rPr>
        <w:t>I</w:t>
      </w:r>
      <w:r>
        <w:rPr>
          <w:rFonts w:eastAsia="Microsoft YaHei"/>
          <w:sz w:val="20"/>
          <w:szCs w:val="20"/>
        </w:rPr>
        <w:t>ntel, ZTE, Qualcomm</w:t>
      </w:r>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7AFBDF9" w:rsidR="00FA6A0F" w:rsidRDefault="00FA6A0F" w:rsidP="00FA6A0F">
            <w:pPr>
              <w:widowControl w:val="0"/>
              <w:snapToGrid w:val="0"/>
              <w:spacing w:before="120" w:after="120" w:line="240" w:lineRule="auto"/>
              <w:rPr>
                <w:rFonts w:eastAsia="Microsoft YaHei"/>
                <w:sz w:val="20"/>
                <w:szCs w:val="20"/>
              </w:rPr>
            </w:pPr>
          </w:p>
        </w:tc>
        <w:tc>
          <w:tcPr>
            <w:tcW w:w="6945" w:type="dxa"/>
          </w:tcPr>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1B22C47D" w:rsidR="00FA6A0F" w:rsidRDefault="00FA6A0F" w:rsidP="00FA6A0F">
            <w:pPr>
              <w:widowControl w:val="0"/>
              <w:snapToGrid w:val="0"/>
              <w:spacing w:before="120" w:after="120" w:line="240" w:lineRule="auto"/>
              <w:rPr>
                <w:rFonts w:eastAsia="Microsoft YaHei"/>
                <w:sz w:val="20"/>
                <w:szCs w:val="20"/>
              </w:rPr>
            </w:pPr>
          </w:p>
        </w:tc>
        <w:tc>
          <w:tcPr>
            <w:tcW w:w="6945" w:type="dxa"/>
          </w:tcPr>
          <w:p w14:paraId="588CADCA" w14:textId="5C17E115" w:rsidR="00FA6A0F" w:rsidRDefault="00FA6A0F" w:rsidP="00FA6A0F">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5A0ABB60" w:rsidR="00F9038C" w:rsidRDefault="00F9038C" w:rsidP="00F9038C">
            <w:pPr>
              <w:widowControl w:val="0"/>
              <w:snapToGrid w:val="0"/>
              <w:spacing w:before="120" w:after="120" w:line="240" w:lineRule="auto"/>
              <w:rPr>
                <w:rFonts w:eastAsia="Microsoft YaHei"/>
                <w:sz w:val="20"/>
                <w:szCs w:val="20"/>
              </w:rPr>
            </w:pPr>
          </w:p>
        </w:tc>
        <w:tc>
          <w:tcPr>
            <w:tcW w:w="6945" w:type="dxa"/>
          </w:tcPr>
          <w:p w14:paraId="489F9656" w14:textId="3235EE7B" w:rsidR="00F9038C" w:rsidRDefault="00F9038C" w:rsidP="00F9038C">
            <w:pPr>
              <w:widowControl w:val="0"/>
              <w:snapToGrid w:val="0"/>
              <w:spacing w:before="120" w:after="120" w:line="240" w:lineRule="auto"/>
              <w:rPr>
                <w:rFonts w:eastAsia="Microsoft YaHei"/>
                <w:sz w:val="20"/>
                <w:szCs w:val="20"/>
              </w:rPr>
            </w:pPr>
          </w:p>
        </w:tc>
      </w:tr>
      <w:tr w:rsidR="00FA6A0F" w14:paraId="5CAB888A" w14:textId="77777777" w:rsidTr="006E3B3D">
        <w:tc>
          <w:tcPr>
            <w:tcW w:w="2405" w:type="dxa"/>
          </w:tcPr>
          <w:p w14:paraId="0499BC4A" w14:textId="2359B2AE" w:rsidR="00FA6A0F" w:rsidRDefault="00FA6A0F" w:rsidP="00FA6A0F">
            <w:pPr>
              <w:widowControl w:val="0"/>
              <w:snapToGrid w:val="0"/>
              <w:spacing w:before="120" w:after="120" w:line="240" w:lineRule="auto"/>
              <w:rPr>
                <w:rFonts w:eastAsia="Microsoft YaHei"/>
                <w:sz w:val="20"/>
                <w:szCs w:val="20"/>
              </w:rPr>
            </w:pPr>
          </w:p>
        </w:tc>
        <w:tc>
          <w:tcPr>
            <w:tcW w:w="6945" w:type="dxa"/>
          </w:tcPr>
          <w:p w14:paraId="18D91FF4" w14:textId="68C331C8" w:rsidR="00F827EC" w:rsidRDefault="00F827EC" w:rsidP="00FA6A0F">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r w:rsidR="00342333">
              <w:rPr>
                <w:rFonts w:eastAsia="Microsoft YaHei"/>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9F0E14"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lastRenderedPageBreak/>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0AF2C154" w:rsidR="00F9038C" w:rsidRDefault="00F9038C" w:rsidP="00F9038C">
            <w:pPr>
              <w:widowControl w:val="0"/>
              <w:snapToGrid w:val="0"/>
              <w:spacing w:before="120" w:after="120" w:line="240" w:lineRule="auto"/>
              <w:rPr>
                <w:rFonts w:eastAsia="Microsoft YaHei"/>
                <w:sz w:val="20"/>
                <w:szCs w:val="20"/>
              </w:rPr>
            </w:pPr>
          </w:p>
        </w:tc>
        <w:tc>
          <w:tcPr>
            <w:tcW w:w="6945" w:type="dxa"/>
          </w:tcPr>
          <w:p w14:paraId="00E3AFCB" w14:textId="68BF38CB" w:rsidR="00F9038C" w:rsidRDefault="00F9038C" w:rsidP="00F9038C">
            <w:pPr>
              <w:widowControl w:val="0"/>
              <w:snapToGrid w:val="0"/>
              <w:spacing w:before="120" w:after="120" w:line="240" w:lineRule="auto"/>
              <w:rPr>
                <w:rFonts w:eastAsia="Microsoft YaHei"/>
                <w:sz w:val="20"/>
                <w:szCs w:val="20"/>
              </w:rPr>
            </w:pPr>
          </w:p>
        </w:tc>
      </w:tr>
      <w:tr w:rsidR="00FA6A0F" w14:paraId="00E3AFCF" w14:textId="77777777" w:rsidTr="00515754">
        <w:tc>
          <w:tcPr>
            <w:tcW w:w="2405" w:type="dxa"/>
          </w:tcPr>
          <w:p w14:paraId="00E3AFCD" w14:textId="06C7537F" w:rsidR="00FA6A0F" w:rsidRDefault="00FA6A0F" w:rsidP="00FA6A0F">
            <w:pPr>
              <w:widowControl w:val="0"/>
              <w:snapToGrid w:val="0"/>
              <w:spacing w:before="120" w:after="120" w:line="240" w:lineRule="auto"/>
              <w:rPr>
                <w:rFonts w:eastAsia="Microsoft YaHei"/>
                <w:sz w:val="20"/>
                <w:szCs w:val="20"/>
              </w:rPr>
            </w:pPr>
          </w:p>
        </w:tc>
        <w:tc>
          <w:tcPr>
            <w:tcW w:w="6945" w:type="dxa"/>
          </w:tcPr>
          <w:p w14:paraId="00E3AFCE" w14:textId="1DEF777A" w:rsidR="00FA6A0F" w:rsidRDefault="00FA6A0F" w:rsidP="00FA6A0F">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0B08375C"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the majority of companies can accept this proposal, FL encourages companies to consider the limited </w:t>
      </w:r>
      <w:r>
        <w:rPr>
          <w:rFonts w:eastAsiaTheme="minorEastAsia"/>
          <w:sz w:val="20"/>
          <w:szCs w:val="20"/>
        </w:rPr>
        <w:lastRenderedPageBreak/>
        <w:t>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6EC8527B" w:rsidR="00FA6A0F" w:rsidRDefault="00FA6A0F" w:rsidP="00FA6A0F">
            <w:pPr>
              <w:widowControl w:val="0"/>
              <w:snapToGrid w:val="0"/>
              <w:spacing w:before="120" w:after="120" w:line="240" w:lineRule="auto"/>
              <w:rPr>
                <w:rFonts w:eastAsia="Microsoft YaHei"/>
                <w:sz w:val="20"/>
                <w:szCs w:val="20"/>
              </w:rPr>
            </w:pPr>
          </w:p>
        </w:tc>
        <w:tc>
          <w:tcPr>
            <w:tcW w:w="6945" w:type="dxa"/>
          </w:tcPr>
          <w:p w14:paraId="37A7AE6C" w14:textId="05BE40CB" w:rsidR="00FA6A0F" w:rsidRDefault="00FA6A0F" w:rsidP="00FA6A0F">
            <w:pPr>
              <w:widowControl w:val="0"/>
              <w:snapToGrid w:val="0"/>
              <w:spacing w:before="120" w:after="120" w:line="240" w:lineRule="auto"/>
              <w:rPr>
                <w:rFonts w:eastAsia="Microsoft YaHei"/>
                <w:sz w:val="20"/>
                <w:szCs w:val="20"/>
              </w:rPr>
            </w:pPr>
          </w:p>
        </w:tc>
      </w:tr>
      <w:tr w:rsidR="00FA6A0F" w14:paraId="5E96F4F6" w14:textId="77777777" w:rsidTr="006E3B3D">
        <w:tc>
          <w:tcPr>
            <w:tcW w:w="2405" w:type="dxa"/>
          </w:tcPr>
          <w:p w14:paraId="0FF65CC8" w14:textId="2D391437" w:rsidR="00FA6A0F" w:rsidRDefault="00FA6A0F" w:rsidP="00FA6A0F">
            <w:pPr>
              <w:widowControl w:val="0"/>
              <w:snapToGrid w:val="0"/>
              <w:spacing w:before="120" w:after="120" w:line="240" w:lineRule="auto"/>
              <w:rPr>
                <w:rFonts w:eastAsia="Microsoft YaHei"/>
                <w:sz w:val="20"/>
                <w:szCs w:val="20"/>
              </w:rPr>
            </w:pPr>
          </w:p>
        </w:tc>
        <w:tc>
          <w:tcPr>
            <w:tcW w:w="6945" w:type="dxa"/>
          </w:tcPr>
          <w:p w14:paraId="79521FB2" w14:textId="1611355E" w:rsidR="00FA6A0F" w:rsidRDefault="00FA6A0F" w:rsidP="00FA6A0F">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r w:rsidR="00041995">
              <w:rPr>
                <w:rFonts w:eastAsia="Microsoft YaHei"/>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CF969F8" w:rsidR="00981C47" w:rsidRPr="00CC772A"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26C851C7" w14:textId="4AABD439" w:rsidR="00CC772A" w:rsidRPr="00CC772A" w:rsidRDefault="00CC772A" w:rsidP="00DA66D7">
            <w:pPr>
              <w:widowControl w:val="0"/>
              <w:snapToGrid w:val="0"/>
              <w:spacing w:before="120" w:after="120" w:line="240" w:lineRule="auto"/>
              <w:rPr>
                <w:rFonts w:eastAsia="Malgun Gothic"/>
                <w:sz w:val="20"/>
                <w:szCs w:val="20"/>
                <w:lang w:eastAsia="ko-KR"/>
              </w:rPr>
            </w:pPr>
          </w:p>
        </w:tc>
      </w:tr>
      <w:tr w:rsidR="00FA6A0F" w14:paraId="4487C4F0" w14:textId="77777777" w:rsidTr="006E3B3D">
        <w:tc>
          <w:tcPr>
            <w:tcW w:w="2405" w:type="dxa"/>
          </w:tcPr>
          <w:p w14:paraId="343C5757" w14:textId="4384DAB8" w:rsidR="00FA6A0F" w:rsidRDefault="00FA6A0F" w:rsidP="00FA6A0F">
            <w:pPr>
              <w:widowControl w:val="0"/>
              <w:snapToGrid w:val="0"/>
              <w:spacing w:before="120" w:after="120" w:line="240" w:lineRule="auto"/>
              <w:rPr>
                <w:rFonts w:eastAsia="Microsoft YaHei"/>
                <w:sz w:val="20"/>
                <w:szCs w:val="20"/>
              </w:rPr>
            </w:pPr>
          </w:p>
        </w:tc>
        <w:tc>
          <w:tcPr>
            <w:tcW w:w="6945" w:type="dxa"/>
          </w:tcPr>
          <w:p w14:paraId="09EF832B" w14:textId="47633213" w:rsidR="0024070B" w:rsidRPr="00FA6A0F" w:rsidRDefault="0024070B" w:rsidP="006A0F20">
            <w:pPr>
              <w:widowControl w:val="0"/>
              <w:snapToGrid w:val="0"/>
              <w:spacing w:before="120" w:after="120" w:line="240" w:lineRule="auto"/>
              <w:rPr>
                <w:rFonts w:eastAsia="Microsoft YaHei"/>
                <w:sz w:val="20"/>
                <w:szCs w:val="20"/>
                <w:highlight w:val="yellow"/>
              </w:rPr>
            </w:pPr>
          </w:p>
        </w:tc>
      </w:tr>
      <w:tr w:rsidR="00FA6A0F" w14:paraId="718F6803" w14:textId="77777777" w:rsidTr="006E3B3D">
        <w:tc>
          <w:tcPr>
            <w:tcW w:w="2405" w:type="dxa"/>
          </w:tcPr>
          <w:p w14:paraId="279B0D7F" w14:textId="3672F902" w:rsidR="00FA6A0F" w:rsidRDefault="00FA6A0F" w:rsidP="00FA6A0F">
            <w:pPr>
              <w:widowControl w:val="0"/>
              <w:snapToGrid w:val="0"/>
              <w:spacing w:before="120" w:after="120" w:line="240" w:lineRule="auto"/>
              <w:rPr>
                <w:rFonts w:eastAsia="Microsoft YaHei"/>
                <w:sz w:val="20"/>
                <w:szCs w:val="20"/>
              </w:rPr>
            </w:pPr>
          </w:p>
        </w:tc>
        <w:tc>
          <w:tcPr>
            <w:tcW w:w="6945" w:type="dxa"/>
          </w:tcPr>
          <w:p w14:paraId="0261809B" w14:textId="5AC79A30" w:rsidR="00FA6A0F" w:rsidRDefault="00FA6A0F" w:rsidP="00FA6A0F">
            <w:pPr>
              <w:widowControl w:val="0"/>
              <w:snapToGrid w:val="0"/>
              <w:spacing w:before="120" w:after="120" w:line="240" w:lineRule="auto"/>
              <w:rPr>
                <w:rFonts w:eastAsia="Microsoft YaHei"/>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proofErr w:type="gramStart"/>
            <w:r w:rsidRPr="00226859">
              <w:rPr>
                <w:rFonts w:eastAsia="Microsoft YaHei"/>
                <w:sz w:val="20"/>
                <w:szCs w:val="20"/>
                <w:lang w:val="fr-FR"/>
              </w:rPr>
              <w:t>vivo</w:t>
            </w:r>
            <w:proofErr w:type="gramEnd"/>
            <w:r w:rsidRPr="00226859">
              <w:rPr>
                <w:rFonts w:eastAsia="Microsoft YaHei"/>
                <w:sz w:val="20"/>
                <w:szCs w:val="20"/>
                <w:lang w:val="fr-FR"/>
              </w:rPr>
              <w:t>,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6A44FBAC" w:rsidR="00981C47" w:rsidRPr="00C85680"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4831FF4B" w14:textId="25BD4D23" w:rsidR="00981C47" w:rsidRPr="00C85680" w:rsidRDefault="00981C47" w:rsidP="00D5041A">
            <w:pPr>
              <w:widowControl w:val="0"/>
              <w:snapToGrid w:val="0"/>
              <w:spacing w:before="120" w:after="120" w:line="240" w:lineRule="auto"/>
              <w:rPr>
                <w:rFonts w:eastAsia="Malgun Gothic"/>
                <w:sz w:val="20"/>
                <w:szCs w:val="20"/>
                <w:lang w:eastAsia="ko-KR"/>
              </w:rPr>
            </w:pPr>
          </w:p>
        </w:tc>
      </w:tr>
      <w:tr w:rsidR="00FA6A0F" w14:paraId="55A625BA" w14:textId="77777777" w:rsidTr="006E3B3D">
        <w:tc>
          <w:tcPr>
            <w:tcW w:w="2405" w:type="dxa"/>
          </w:tcPr>
          <w:p w14:paraId="1D0E7B21" w14:textId="5AA6634B" w:rsidR="00FA6A0F" w:rsidRDefault="00FA6A0F" w:rsidP="00FA6A0F">
            <w:pPr>
              <w:widowControl w:val="0"/>
              <w:snapToGrid w:val="0"/>
              <w:spacing w:before="120" w:after="120" w:line="240" w:lineRule="auto"/>
              <w:rPr>
                <w:rFonts w:eastAsia="Microsoft YaHei"/>
                <w:sz w:val="20"/>
                <w:szCs w:val="20"/>
              </w:rPr>
            </w:pPr>
          </w:p>
        </w:tc>
        <w:tc>
          <w:tcPr>
            <w:tcW w:w="6945" w:type="dxa"/>
          </w:tcPr>
          <w:p w14:paraId="4F965776" w14:textId="7377EC05" w:rsidR="00FA6A0F" w:rsidRDefault="00FA6A0F" w:rsidP="00FA6A0F">
            <w:pPr>
              <w:widowControl w:val="0"/>
              <w:snapToGrid w:val="0"/>
              <w:spacing w:before="120" w:after="120" w:line="240" w:lineRule="auto"/>
              <w:rPr>
                <w:rFonts w:eastAsia="Microsoft YaHei"/>
                <w:sz w:val="20"/>
                <w:szCs w:val="20"/>
              </w:rPr>
            </w:pPr>
          </w:p>
        </w:tc>
      </w:tr>
      <w:tr w:rsidR="00FA6A0F" w14:paraId="118CCB9D" w14:textId="77777777" w:rsidTr="006E3B3D">
        <w:tc>
          <w:tcPr>
            <w:tcW w:w="2405" w:type="dxa"/>
          </w:tcPr>
          <w:p w14:paraId="620244EF" w14:textId="6614FDC0" w:rsidR="00FA6A0F" w:rsidRDefault="00FA6A0F" w:rsidP="00FA6A0F">
            <w:pPr>
              <w:widowControl w:val="0"/>
              <w:snapToGrid w:val="0"/>
              <w:spacing w:before="120" w:after="120" w:line="240" w:lineRule="auto"/>
              <w:rPr>
                <w:rFonts w:eastAsia="Microsoft YaHei"/>
                <w:sz w:val="20"/>
                <w:szCs w:val="20"/>
              </w:rPr>
            </w:pPr>
          </w:p>
        </w:tc>
        <w:tc>
          <w:tcPr>
            <w:tcW w:w="6945" w:type="dxa"/>
          </w:tcPr>
          <w:p w14:paraId="0C1B620A" w14:textId="3C3C083E" w:rsidR="005F7FD5" w:rsidRDefault="005F7FD5" w:rsidP="00FA6A0F">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lastRenderedPageBreak/>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4E475A3C" w:rsidR="00FA6A0F" w:rsidRDefault="00FA6A0F" w:rsidP="00FA6A0F">
            <w:pPr>
              <w:widowControl w:val="0"/>
              <w:snapToGrid w:val="0"/>
              <w:spacing w:before="120" w:after="120" w:line="240" w:lineRule="auto"/>
              <w:rPr>
                <w:rFonts w:eastAsia="Microsoft YaHei"/>
                <w:sz w:val="20"/>
                <w:szCs w:val="20"/>
              </w:rPr>
            </w:pPr>
          </w:p>
        </w:tc>
        <w:tc>
          <w:tcPr>
            <w:tcW w:w="6945" w:type="dxa"/>
          </w:tcPr>
          <w:p w14:paraId="20468920" w14:textId="43EF4C1A" w:rsidR="00FA6A0F" w:rsidRDefault="00FA6A0F" w:rsidP="006A0F20">
            <w:pPr>
              <w:widowControl w:val="0"/>
              <w:snapToGrid w:val="0"/>
              <w:spacing w:before="120" w:after="120" w:line="240" w:lineRule="auto"/>
              <w:rPr>
                <w:rFonts w:eastAsia="Microsoft YaHei"/>
                <w:sz w:val="20"/>
                <w:szCs w:val="20"/>
              </w:rPr>
            </w:pPr>
          </w:p>
        </w:tc>
      </w:tr>
      <w:tr w:rsidR="00FA6A0F" w14:paraId="62556776" w14:textId="77777777" w:rsidTr="00CD7E4B">
        <w:tc>
          <w:tcPr>
            <w:tcW w:w="2405" w:type="dxa"/>
          </w:tcPr>
          <w:p w14:paraId="2DDD27D0" w14:textId="7ADD53B8" w:rsidR="00FA6A0F" w:rsidRDefault="00FA6A0F" w:rsidP="00FA6A0F">
            <w:pPr>
              <w:widowControl w:val="0"/>
              <w:snapToGrid w:val="0"/>
              <w:spacing w:before="120" w:after="120" w:line="240" w:lineRule="auto"/>
              <w:rPr>
                <w:rFonts w:eastAsia="Microsoft YaHei"/>
                <w:sz w:val="20"/>
                <w:szCs w:val="20"/>
              </w:rPr>
            </w:pPr>
          </w:p>
        </w:tc>
        <w:tc>
          <w:tcPr>
            <w:tcW w:w="6945" w:type="dxa"/>
          </w:tcPr>
          <w:p w14:paraId="184D2371" w14:textId="225D9301" w:rsidR="00FA6A0F" w:rsidRDefault="00FA6A0F" w:rsidP="006B77E5">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r>
        <w:rPr>
          <w:rFonts w:eastAsia="Microsoft YaHei"/>
          <w:sz w:val="20"/>
          <w:szCs w:val="20"/>
        </w:rPr>
        <w:t>, NTT DOCOMO</w:t>
      </w:r>
    </w:p>
    <w:p w14:paraId="619B2B92" w14:textId="77777777"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 support (Prefer Max CS = 12): Ericsson, MotM/Lenovo</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On how to support 4 port, we do acknowlege the issue</w:t>
            </w:r>
            <w:r w:rsidR="00331CB0">
              <w:rPr>
                <w:rFonts w:eastAsia="Microsoft YaHei"/>
                <w:sz w:val="20"/>
                <w:szCs w:val="20"/>
              </w:rPr>
              <w:t xml:space="preserve"> and open to discuss the solutions</w:t>
            </w:r>
            <w:r>
              <w:rPr>
                <w:rFonts w:eastAsia="Microsoft YaHei"/>
                <w:sz w:val="20"/>
                <w:szCs w:val="20"/>
              </w:rPr>
              <w:t xml:space="preserve">. </w:t>
            </w:r>
            <w:bookmarkStart w:id="2" w:name="_GoBack"/>
            <w:bookmarkEnd w:id="2"/>
          </w:p>
        </w:tc>
      </w:tr>
      <w:tr w:rsidR="00FA6A0F" w14:paraId="1AD00958" w14:textId="77777777" w:rsidTr="006E3B3D">
        <w:tc>
          <w:tcPr>
            <w:tcW w:w="2405" w:type="dxa"/>
          </w:tcPr>
          <w:p w14:paraId="6EF8CAE9" w14:textId="20BCBE61" w:rsidR="00FA6A0F" w:rsidRDefault="00FA6A0F" w:rsidP="00FA6A0F">
            <w:pPr>
              <w:widowControl w:val="0"/>
              <w:snapToGrid w:val="0"/>
              <w:spacing w:before="120" w:after="120" w:line="240" w:lineRule="auto"/>
              <w:rPr>
                <w:rFonts w:eastAsia="Microsoft YaHei"/>
                <w:sz w:val="20"/>
                <w:szCs w:val="20"/>
              </w:rPr>
            </w:pPr>
          </w:p>
        </w:tc>
        <w:tc>
          <w:tcPr>
            <w:tcW w:w="6945" w:type="dxa"/>
          </w:tcPr>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50043A47" w:rsidR="00FA6A0F" w:rsidRDefault="00FA6A0F" w:rsidP="00FA6A0F">
            <w:pPr>
              <w:widowControl w:val="0"/>
              <w:snapToGrid w:val="0"/>
              <w:spacing w:before="120" w:after="120" w:line="240" w:lineRule="auto"/>
              <w:rPr>
                <w:rFonts w:eastAsia="Microsoft YaHei"/>
                <w:sz w:val="20"/>
                <w:szCs w:val="20"/>
              </w:rPr>
            </w:pPr>
          </w:p>
        </w:tc>
        <w:tc>
          <w:tcPr>
            <w:tcW w:w="6945" w:type="dxa"/>
          </w:tcPr>
          <w:p w14:paraId="26A38A0B" w14:textId="03E05407" w:rsidR="00FA6A0F" w:rsidRDefault="00FA6A0F" w:rsidP="00FA6A0F">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w:t>
            </w:r>
            <w:r w:rsidRPr="00D94CC9">
              <w:rPr>
                <w:rFonts w:eastAsia="Microsoft YaHei"/>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9F0E14" w:rsidP="00426015">
            <w:pPr>
              <w:spacing w:after="0" w:line="240" w:lineRule="auto"/>
              <w:rPr>
                <w:bCs/>
                <w:sz w:val="20"/>
                <w:szCs w:val="20"/>
              </w:rPr>
            </w:pPr>
            <w:hyperlink r:id="rId13"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9F0E14" w:rsidP="00426015">
            <w:pPr>
              <w:spacing w:after="0" w:line="240" w:lineRule="auto"/>
              <w:rPr>
                <w:bCs/>
                <w:sz w:val="20"/>
                <w:szCs w:val="20"/>
              </w:rPr>
            </w:pPr>
            <w:hyperlink r:id="rId14"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9F0E14" w:rsidP="00426015">
            <w:pPr>
              <w:spacing w:after="0" w:line="240" w:lineRule="auto"/>
              <w:rPr>
                <w:bCs/>
                <w:sz w:val="20"/>
                <w:szCs w:val="20"/>
              </w:rPr>
            </w:pPr>
            <w:hyperlink r:id="rId15"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9F0E14" w:rsidP="00426015">
            <w:pPr>
              <w:spacing w:after="0" w:line="240" w:lineRule="auto"/>
              <w:rPr>
                <w:bCs/>
                <w:sz w:val="20"/>
                <w:szCs w:val="20"/>
              </w:rPr>
            </w:pPr>
            <w:hyperlink r:id="rId16"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9F0E14" w:rsidP="00426015">
            <w:pPr>
              <w:spacing w:after="0" w:line="240" w:lineRule="auto"/>
              <w:rPr>
                <w:bCs/>
                <w:sz w:val="20"/>
                <w:szCs w:val="20"/>
              </w:rPr>
            </w:pPr>
            <w:hyperlink r:id="rId17"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9F0E14" w:rsidP="00426015">
            <w:pPr>
              <w:spacing w:after="0" w:line="240" w:lineRule="auto"/>
              <w:rPr>
                <w:bCs/>
                <w:sz w:val="20"/>
                <w:szCs w:val="20"/>
              </w:rPr>
            </w:pPr>
            <w:hyperlink r:id="rId18"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9F0E14" w:rsidP="00426015">
            <w:pPr>
              <w:spacing w:after="0" w:line="240" w:lineRule="auto"/>
              <w:rPr>
                <w:bCs/>
                <w:sz w:val="20"/>
                <w:szCs w:val="20"/>
              </w:rPr>
            </w:pPr>
            <w:hyperlink r:id="rId19"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9F0E14" w:rsidP="00426015">
            <w:pPr>
              <w:spacing w:after="0" w:line="240" w:lineRule="auto"/>
              <w:rPr>
                <w:bCs/>
                <w:sz w:val="20"/>
                <w:szCs w:val="20"/>
              </w:rPr>
            </w:pPr>
            <w:hyperlink r:id="rId20"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B1D57" w14:textId="77777777" w:rsidR="0096672E" w:rsidRDefault="0096672E" w:rsidP="0066336C">
      <w:pPr>
        <w:spacing w:after="0" w:line="240" w:lineRule="auto"/>
      </w:pPr>
      <w:r>
        <w:separator/>
      </w:r>
    </w:p>
  </w:endnote>
  <w:endnote w:type="continuationSeparator" w:id="0">
    <w:p w14:paraId="2D792454" w14:textId="77777777" w:rsidR="0096672E" w:rsidRDefault="0096672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icrosoft YaHei">
    <w:panose1 w:val="020B0503020204020204"/>
    <w:charset w:val="86"/>
    <w:family w:val="swiss"/>
    <w:pitch w:val="variable"/>
    <w:sig w:usb0="80000287" w:usb1="28C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30A1" w14:textId="77777777" w:rsidR="0096672E" w:rsidRDefault="0096672E" w:rsidP="0066336C">
      <w:pPr>
        <w:spacing w:after="0" w:line="240" w:lineRule="auto"/>
      </w:pPr>
      <w:r>
        <w:separator/>
      </w:r>
    </w:p>
  </w:footnote>
  <w:footnote w:type="continuationSeparator" w:id="0">
    <w:p w14:paraId="4BB5B438" w14:textId="77777777" w:rsidR="0096672E" w:rsidRDefault="0096672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6B48"/>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07C7C"/>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875.zip" TargetMode="External"/><Relationship Id="rId18"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7.zip" TargetMode="External"/><Relationship Id="rId20"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0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8956.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EEA5A7-4D74-EF43-B5B3-CFD5EBBA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19</Pages>
  <Words>5373</Words>
  <Characters>35679</Characters>
  <Application>Microsoft Office Word</Application>
  <DocSecurity>0</DocSecurity>
  <Lines>1049</Lines>
  <Paragraphs>760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105</cp:revision>
  <dcterms:created xsi:type="dcterms:W3CDTF">2021-10-11T09:19:00Z</dcterms:created>
  <dcterms:modified xsi:type="dcterms:W3CDTF">2021-10-11T18:57:00Z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