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00263EBB">
        <w:rPr>
          <w:sz w:val="20"/>
          <w:szCs w:val="20"/>
        </w:rPr>
        <w:t>-e/Inbox/drafts/8.1.2.3</w:t>
      </w:r>
      <w:r w:rsidRPr="00F843D2">
        <w:rPr>
          <w:sz w:val="20"/>
          <w:szCs w:val="20"/>
        </w:rPr>
        <w:t>/</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196"/>
        <w:gridCol w:w="895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xml:space="preserve">”, suggest </w:t>
            </w:r>
            <w:proofErr w:type="gramStart"/>
            <w:r>
              <w:rPr>
                <w:rFonts w:eastAsia="DengXian"/>
                <w:bCs/>
                <w:sz w:val="18"/>
                <w:szCs w:val="18"/>
                <w:lang w:eastAsia="zh-CN"/>
              </w:rPr>
              <w:t>to add</w:t>
            </w:r>
            <w:proofErr w:type="gramEnd"/>
            <w:r>
              <w:rPr>
                <w:rFonts w:eastAsia="DengXian"/>
                <w:bCs/>
                <w:sz w:val="18"/>
                <w:szCs w:val="18"/>
                <w:lang w:eastAsia="zh-CN"/>
              </w:rPr>
              <w:t xml:space="preserve">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w:t>
            </w:r>
            <w:proofErr w:type="gramStart"/>
            <w:r w:rsidR="00ED23CF">
              <w:rPr>
                <w:rFonts w:eastAsia="DengXian"/>
                <w:bCs/>
                <w:color w:val="000000" w:themeColor="text1"/>
                <w:sz w:val="18"/>
                <w:szCs w:val="18"/>
                <w:lang w:eastAsia="zh-CN"/>
              </w:rPr>
              <w:t>to add</w:t>
            </w:r>
            <w:proofErr w:type="gramEnd"/>
            <w:r w:rsidR="00ED23CF">
              <w:rPr>
                <w:rFonts w:eastAsia="DengXian"/>
                <w:bCs/>
                <w:color w:val="000000" w:themeColor="text1"/>
                <w:sz w:val="18"/>
                <w:szCs w:val="18"/>
                <w:lang w:eastAsia="zh-CN"/>
              </w:rPr>
              <w:t xml:space="preserve">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correspon</w:t>
            </w:r>
            <w:r w:rsidR="00ED23CF" w:rsidRPr="00ED23CF">
              <w:rPr>
                <w:rFonts w:eastAsia="DengXian"/>
                <w:bCs/>
                <w:color w:val="FF0000"/>
                <w:sz w:val="18"/>
                <w:szCs w:val="18"/>
                <w:lang w:eastAsia="zh-CN"/>
              </w:rPr>
              <w:t>d</w:t>
            </w:r>
            <w:r w:rsidR="00ED23CF" w:rsidRPr="00ED23CF">
              <w:rPr>
                <w:rFonts w:eastAsia="DengXian"/>
                <w:bCs/>
                <w:color w:val="FF0000"/>
                <w:sz w:val="18"/>
                <w:szCs w:val="18"/>
                <w:lang w:eastAsia="zh-CN"/>
              </w:rPr>
              <w:t>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proofErr w:type="spellStart"/>
            <w:r>
              <w:rPr>
                <w:rFonts w:eastAsia="DengXian"/>
                <w:sz w:val="18"/>
                <w:szCs w:val="18"/>
                <w:lang w:eastAsia="zh-CN"/>
              </w:rPr>
              <w:t>MediaTek</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w:t>
            </w:r>
            <w:proofErr w:type="spellStart"/>
            <w:r w:rsidRPr="007279DC">
              <w:rPr>
                <w:rFonts w:eastAsia="DengXian"/>
                <w:bCs/>
                <w:sz w:val="18"/>
                <w:szCs w:val="18"/>
                <w:lang w:eastAsia="zh-CN"/>
              </w:rPr>
              <w:t>preivoius</w:t>
            </w:r>
            <w:proofErr w:type="spellEnd"/>
            <w:r w:rsidRPr="007279DC">
              <w:rPr>
                <w:rFonts w:eastAsia="DengXian"/>
                <w:bCs/>
                <w:sz w:val="18"/>
                <w:szCs w:val="18"/>
                <w:lang w:eastAsia="zh-CN"/>
              </w:rPr>
              <w:t xml:space="preserve">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FA3268">
            <w:pPr>
              <w:pStyle w:val="0Maintext"/>
              <w:numPr>
                <w:ilvl w:val="0"/>
                <w:numId w:val="4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w:t>
            </w:r>
            <w:proofErr w:type="spellStart"/>
            <w:r w:rsidRPr="007279DC">
              <w:rPr>
                <w:i/>
                <w:sz w:val="18"/>
                <w:szCs w:val="18"/>
              </w:rPr>
              <w:t>AssociatedReportConfigInfo</w:t>
            </w:r>
            <w:proofErr w:type="spellEnd"/>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FA3268">
            <w:pPr>
              <w:pStyle w:val="a3"/>
              <w:numPr>
                <w:ilvl w:val="1"/>
                <w:numId w:val="4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FA3268">
            <w:pPr>
              <w:pStyle w:val="0Maintext"/>
              <w:numPr>
                <w:ilvl w:val="0"/>
                <w:numId w:val="46"/>
              </w:numPr>
              <w:spacing w:after="0" w:line="240" w:lineRule="auto"/>
              <w:jc w:val="left"/>
              <w:rPr>
                <w:sz w:val="18"/>
                <w:szCs w:val="18"/>
                <w:highlight w:val="yellow"/>
              </w:rPr>
            </w:pPr>
            <w:r w:rsidRPr="007279DC">
              <w:rPr>
                <w:sz w:val="18"/>
                <w:szCs w:val="18"/>
                <w:highlight w:val="yellow"/>
              </w:rPr>
              <w:t>When associated with periodic/semi-persist resource setting, the resource setting comprises two CMR r</w:t>
            </w:r>
            <w:r w:rsidRPr="007279DC">
              <w:rPr>
                <w:sz w:val="18"/>
                <w:szCs w:val="18"/>
                <w:highlight w:val="yellow"/>
              </w:rPr>
              <w:t>e</w:t>
            </w:r>
            <w:r w:rsidRPr="007279DC">
              <w:rPr>
                <w:sz w:val="18"/>
                <w:szCs w:val="18"/>
                <w:highlight w:val="yellow"/>
              </w:rPr>
              <w:t xml:space="preserv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w:t>
            </w:r>
            <w:r w:rsidRPr="00410E96">
              <w:rPr>
                <w:i/>
                <w:iCs/>
              </w:rPr>
              <w:t>m</w:t>
            </w:r>
            <w:r w:rsidRPr="00410E96">
              <w:rPr>
                <w:i/>
                <w:iCs/>
              </w:rPr>
              <w:t>FailureRecoverySCellConfig-r16</w:t>
            </w:r>
            <w:r>
              <w:rPr>
                <w:sz w:val="20"/>
                <w:szCs w:val="20"/>
              </w:rPr>
              <w:t xml:space="preserve">” for </w:t>
            </w:r>
            <w:proofErr w:type="spellStart"/>
            <w:r>
              <w:rPr>
                <w:sz w:val="20"/>
                <w:szCs w:val="20"/>
              </w:rPr>
              <w:t>SCell</w:t>
            </w:r>
            <w:proofErr w:type="spellEnd"/>
            <w:r>
              <w:rPr>
                <w:sz w:val="20"/>
                <w:szCs w:val="20"/>
              </w:rPr>
              <w:t xml:space="preserve">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lastRenderedPageBreak/>
              <w:t>L</w:t>
            </w:r>
            <w:r>
              <w:rPr>
                <w:rFonts w:eastAsia="宋体"/>
                <w:sz w:val="18"/>
                <w:szCs w:val="18"/>
                <w:lang w:eastAsia="zh-CN"/>
              </w:rPr>
              <w:t>enovo/</w:t>
            </w:r>
            <w:proofErr w:type="spellStart"/>
            <w:r>
              <w:rPr>
                <w:rFonts w:eastAsia="宋体"/>
                <w:sz w:val="18"/>
                <w:szCs w:val="18"/>
                <w:lang w:eastAsia="zh-CN"/>
              </w:rPr>
              <w:t>MotM</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xml:space="preserve">. If </w:t>
            </w:r>
            <w:proofErr w:type="gramStart"/>
            <w:r>
              <w:rPr>
                <w:bCs/>
                <w:sz w:val="18"/>
                <w:szCs w:val="20"/>
                <w:lang w:eastAsia="zh-CN"/>
              </w:rPr>
              <w:t>different thres</w:t>
            </w:r>
            <w:r>
              <w:rPr>
                <w:bCs/>
                <w:sz w:val="18"/>
                <w:szCs w:val="20"/>
                <w:lang w:eastAsia="zh-CN"/>
              </w:rPr>
              <w:t>h</w:t>
            </w:r>
            <w:r>
              <w:rPr>
                <w:bCs/>
                <w:sz w:val="18"/>
                <w:szCs w:val="20"/>
                <w:lang w:eastAsia="zh-CN"/>
              </w:rPr>
              <w:t>olds for different TRPs is</w:t>
            </w:r>
            <w:proofErr w:type="gramEnd"/>
            <w:r>
              <w:rPr>
                <w:bCs/>
                <w:sz w:val="18"/>
                <w:szCs w:val="20"/>
                <w:lang w:eastAsia="zh-CN"/>
              </w:rPr>
              <w:t xml:space="preserve">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proofErr w:type="spellStart"/>
            <w:r w:rsidRPr="00A07D4C">
              <w:rPr>
                <w:rFonts w:eastAsia="微软雅黑"/>
                <w:i/>
                <w:iCs/>
                <w:sz w:val="18"/>
                <w:szCs w:val="18"/>
                <w:lang w:val="en-GB"/>
              </w:rPr>
              <w:t>maxNrofNZP</w:t>
            </w:r>
            <w:proofErr w:type="spellEnd"/>
            <w:r w:rsidRPr="00A07D4C">
              <w:rPr>
                <w:rFonts w:eastAsia="微软雅黑"/>
                <w:i/>
                <w:iCs/>
                <w:sz w:val="18"/>
                <w:szCs w:val="18"/>
                <w:lang w:val="en-GB"/>
              </w:rPr>
              <w:t>-CSI-RS-</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 16 and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xml:space="preserve"> =1, we only need to raise the upper bound for CSI-RS resource set in 38.214, i.e., to change ‘</w:t>
            </w:r>
            <w:proofErr w:type="spellStart"/>
            <w:r w:rsidRPr="00A07D4C">
              <w:rPr>
                <w:rFonts w:eastAsia="微软雅黑"/>
                <w:i/>
                <w:iCs/>
                <w:sz w:val="18"/>
                <w:szCs w:val="18"/>
                <w:lang w:val="en-GB"/>
              </w:rPr>
              <w:t>maxNrofCSI</w:t>
            </w:r>
            <w:proofErr w:type="spellEnd"/>
            <w:r w:rsidRPr="00A07D4C">
              <w:rPr>
                <w:rFonts w:eastAsia="微软雅黑"/>
                <w:i/>
                <w:iCs/>
                <w:sz w:val="18"/>
                <w:szCs w:val="18"/>
                <w:lang w:val="en-GB"/>
              </w:rPr>
              <w:t>-SSB-</w:t>
            </w:r>
            <w:proofErr w:type="spellStart"/>
            <w:r w:rsidRPr="00A07D4C">
              <w:rPr>
                <w:rFonts w:eastAsia="微软雅黑"/>
                <w:i/>
                <w:iCs/>
                <w:sz w:val="18"/>
                <w:szCs w:val="18"/>
                <w:lang w:val="en-GB"/>
              </w:rPr>
              <w:t>ResourceSetsPerConfig</w:t>
            </w:r>
            <w:proofErr w:type="spellEnd"/>
            <w:r w:rsidRPr="00A07D4C">
              <w:rPr>
                <w:rFonts w:eastAsia="微软雅黑"/>
                <w:sz w:val="18"/>
                <w:szCs w:val="18"/>
                <w:lang w:val="en-GB"/>
              </w:rPr>
              <w:t>’ to 2.</w:t>
            </w:r>
          </w:p>
          <w:p w14:paraId="0B77C81E" w14:textId="77777777" w:rsidR="00A07D4C" w:rsidRPr="00A07D4C" w:rsidRDefault="00A07D4C" w:rsidP="00A07D4C">
            <w:pPr>
              <w:pStyle w:val="a3"/>
              <w:numPr>
                <w:ilvl w:val="0"/>
                <w:numId w:val="4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9355" w:type="dxa"/>
              <w:tblLook w:val="04A0" w:firstRow="1" w:lastRow="0" w:firstColumn="1" w:lastColumn="0" w:noHBand="0" w:noVBand="1"/>
            </w:tblPr>
            <w:tblGrid>
              <w:gridCol w:w="2768"/>
              <w:gridCol w:w="1180"/>
              <w:gridCol w:w="447"/>
              <w:gridCol w:w="2976"/>
              <w:gridCol w:w="1984"/>
            </w:tblGrid>
            <w:tr w:rsidR="00A07D4C" w:rsidRPr="00A07D4C" w14:paraId="30596419" w14:textId="77777777" w:rsidTr="007A11CB">
              <w:trPr>
                <w:trHeight w:val="600"/>
              </w:trPr>
              <w:tc>
                <w:tcPr>
                  <w:tcW w:w="2768"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proofErr w:type="spellStart"/>
                  <w:r w:rsidRPr="00A07D4C">
                    <w:rPr>
                      <w:color w:val="FF0000"/>
                      <w:sz w:val="18"/>
                      <w:szCs w:val="18"/>
                    </w:rPr>
                    <w:t>maxNrofCSI</w:t>
                  </w:r>
                  <w:proofErr w:type="spellEnd"/>
                  <w:r w:rsidRPr="00A07D4C">
                    <w:rPr>
                      <w:color w:val="FF0000"/>
                      <w:sz w:val="18"/>
                      <w:szCs w:val="18"/>
                    </w:rPr>
                    <w:t>-SSB-</w:t>
                  </w:r>
                  <w:proofErr w:type="spellStart"/>
                  <w:r w:rsidRPr="00A07D4C">
                    <w:rPr>
                      <w:color w:val="FF0000"/>
                      <w:sz w:val="18"/>
                      <w:szCs w:val="18"/>
                    </w:rPr>
                    <w:t>ResourceSetsPerConfig</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47"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976"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w:t>
                  </w:r>
                  <w:proofErr w:type="spellStart"/>
                  <w:r w:rsidRPr="00A07D4C">
                    <w:rPr>
                      <w:color w:val="FF0000"/>
                      <w:sz w:val="18"/>
                      <w:szCs w:val="18"/>
                    </w:rPr>
                    <w:t>Resouce</w:t>
                  </w:r>
                  <w:proofErr w:type="spellEnd"/>
                  <w:r w:rsidRPr="00A07D4C">
                    <w:rPr>
                      <w:color w:val="FF0000"/>
                      <w:sz w:val="18"/>
                      <w:szCs w:val="18"/>
                    </w:rPr>
                    <w:t xml:space="preserve"> set per CSI-</w:t>
                  </w:r>
                  <w:proofErr w:type="spellStart"/>
                  <w:r w:rsidRPr="00A07D4C">
                    <w:rPr>
                      <w:color w:val="FF0000"/>
                      <w:sz w:val="18"/>
                      <w:szCs w:val="18"/>
                    </w:rPr>
                    <w:t>ResourceConfig</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w:t>
            </w:r>
            <w:r>
              <w:rPr>
                <w:rFonts w:eastAsia="DengXian"/>
                <w:sz w:val="18"/>
                <w:szCs w:val="18"/>
                <w:lang w:eastAsia="zh-CN"/>
              </w:rPr>
              <w:t>O</w:t>
            </w:r>
            <w:r>
              <w:rPr>
                <w:rFonts w:eastAsia="DengXian"/>
                <w:sz w:val="18"/>
                <w:szCs w:val="18"/>
                <w:lang w:eastAsia="zh-CN"/>
              </w:rPr>
              <w:t>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proofErr w:type="spellStart"/>
            <w:r w:rsidRPr="00B50052">
              <w:rPr>
                <w:rFonts w:eastAsia="DengXian"/>
                <w:i/>
                <w:iCs/>
                <w:sz w:val="18"/>
                <w:szCs w:val="18"/>
                <w:lang w:eastAsia="zh-CN"/>
              </w:rPr>
              <w:t>maxNrofCSI</w:t>
            </w:r>
            <w:proofErr w:type="spellEnd"/>
            <w:r w:rsidRPr="00B50052">
              <w:rPr>
                <w:rFonts w:eastAsia="DengXian"/>
                <w:i/>
                <w:iCs/>
                <w:sz w:val="18"/>
                <w:szCs w:val="18"/>
                <w:lang w:eastAsia="zh-CN"/>
              </w:rPr>
              <w:t>-SSB-</w:t>
            </w:r>
            <w:proofErr w:type="spellStart"/>
            <w:r w:rsidRPr="00B50052">
              <w:rPr>
                <w:rFonts w:eastAsia="DengXian"/>
                <w:i/>
                <w:iCs/>
                <w:sz w:val="18"/>
                <w:szCs w:val="18"/>
                <w:lang w:eastAsia="zh-CN"/>
              </w:rPr>
              <w:t>ResourceSetsPerConfig</w:t>
            </w:r>
            <w:proofErr w:type="spellEnd"/>
            <w:r>
              <w:rPr>
                <w:rFonts w:eastAsia="DengXian"/>
                <w:sz w:val="18"/>
                <w:szCs w:val="18"/>
                <w:lang w:eastAsia="zh-CN"/>
              </w:rPr>
              <w:t>’ to 2. In addition, we should also clarify ‘</w:t>
            </w:r>
            <w:proofErr w:type="spellStart"/>
            <w:r w:rsidRPr="00B50052">
              <w:rPr>
                <w:rFonts w:eastAsia="DengXian"/>
                <w:i/>
                <w:iCs/>
                <w:sz w:val="18"/>
                <w:szCs w:val="18"/>
                <w:lang w:val="en-GB" w:eastAsia="zh-CN"/>
              </w:rPr>
              <w:t>maxNrofNZP</w:t>
            </w:r>
            <w:proofErr w:type="spellEnd"/>
            <w:r w:rsidRPr="00B50052">
              <w:rPr>
                <w:rFonts w:eastAsia="DengXian"/>
                <w:i/>
                <w:iCs/>
                <w:sz w:val="18"/>
                <w:szCs w:val="18"/>
                <w:lang w:val="en-GB" w:eastAsia="zh-CN"/>
              </w:rPr>
              <w:t>-CSI-RS-</w:t>
            </w:r>
            <w:proofErr w:type="spellStart"/>
            <w:r w:rsidRPr="00B50052">
              <w:rPr>
                <w:rFonts w:eastAsia="DengXian"/>
                <w:i/>
                <w:iCs/>
                <w:sz w:val="18"/>
                <w:szCs w:val="18"/>
                <w:lang w:val="en-GB" w:eastAsia="zh-CN"/>
              </w:rPr>
              <w:t>ResourceSetsPerConfig</w:t>
            </w:r>
            <w:proofErr w:type="spellEnd"/>
            <w:r>
              <w:rPr>
                <w:rFonts w:eastAsia="DengXian"/>
                <w:sz w:val="18"/>
                <w:szCs w:val="18"/>
                <w:lang w:eastAsia="zh-CN"/>
              </w:rPr>
              <w:t xml:space="preserve">’ to be 2 for </w:t>
            </w:r>
            <w:r w:rsidRPr="00B50052">
              <w:rPr>
                <w:rFonts w:eastAsia="DengXian"/>
                <w:sz w:val="18"/>
                <w:szCs w:val="18"/>
                <w:lang w:eastAsia="zh-CN"/>
              </w:rPr>
              <w:t>periodic/semi-persist r</w:t>
            </w:r>
            <w:r w:rsidRPr="00B50052">
              <w:rPr>
                <w:rFonts w:eastAsia="DengXian"/>
                <w:sz w:val="18"/>
                <w:szCs w:val="18"/>
                <w:lang w:eastAsia="zh-CN"/>
              </w:rPr>
              <w:t>e</w:t>
            </w:r>
            <w:r w:rsidRPr="00B50052">
              <w:rPr>
                <w:rFonts w:eastAsia="DengXian"/>
                <w:sz w:val="18"/>
                <w:szCs w:val="18"/>
                <w:lang w:eastAsia="zh-CN"/>
              </w:rPr>
              <w:t>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w:t>
            </w:r>
            <w:r w:rsidRPr="00FC0141">
              <w:rPr>
                <w:rFonts w:eastAsia="微软雅黑"/>
                <w:sz w:val="18"/>
                <w:szCs w:val="18"/>
                <w:lang w:val="en-GB"/>
              </w:rPr>
              <w:t>e</w:t>
            </w:r>
            <w:r w:rsidRPr="00FC0141">
              <w:rPr>
                <w:rFonts w:eastAsia="微软雅黑"/>
                <w:sz w:val="18"/>
                <w:szCs w:val="18"/>
                <w:lang w:val="en-GB"/>
              </w:rPr>
              <w:t>source set in 38.214, i.e., to change ‘</w:t>
            </w:r>
            <w:proofErr w:type="spellStart"/>
            <w:r w:rsidRPr="00FC0141">
              <w:rPr>
                <w:rFonts w:eastAsia="微软雅黑"/>
                <w:sz w:val="18"/>
                <w:szCs w:val="18"/>
                <w:lang w:val="en-GB"/>
              </w:rPr>
              <w:t>maxNrofCSI</w:t>
            </w:r>
            <w:proofErr w:type="spellEnd"/>
            <w:r w:rsidRPr="00FC0141">
              <w:rPr>
                <w:rFonts w:eastAsia="微软雅黑"/>
                <w:sz w:val="18"/>
                <w:szCs w:val="18"/>
                <w:lang w:val="en-GB"/>
              </w:rPr>
              <w:t>-SSB-</w:t>
            </w:r>
            <w:proofErr w:type="spellStart"/>
            <w:r w:rsidRPr="00FC0141">
              <w:rPr>
                <w:rFonts w:eastAsia="微软雅黑"/>
                <w:sz w:val="18"/>
                <w:szCs w:val="18"/>
                <w:lang w:val="en-GB"/>
              </w:rPr>
              <w:t>ResourceSetsPerConfig</w:t>
            </w:r>
            <w:proofErr w:type="spellEnd"/>
            <w:r w:rsidRPr="00FC0141">
              <w:rPr>
                <w:rFonts w:eastAsia="微软雅黑"/>
                <w:sz w:val="18"/>
                <w:szCs w:val="18"/>
                <w:lang w:val="en-GB"/>
              </w:rPr>
              <w:t>’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beamFailureDete</w:t>
            </w:r>
            <w:r w:rsidRPr="00203F68">
              <w:rPr>
                <w:rFonts w:eastAsia="DengXian"/>
                <w:bCs/>
                <w:color w:val="000000" w:themeColor="text1"/>
                <w:sz w:val="18"/>
                <w:szCs w:val="18"/>
                <w:lang w:eastAsia="zh-CN"/>
              </w:rPr>
              <w:t>c</w:t>
            </w:r>
            <w:r w:rsidRPr="00203F68">
              <w:rPr>
                <w:rFonts w:eastAsia="DengXian"/>
                <w:bCs/>
                <w:color w:val="000000" w:themeColor="text1"/>
                <w:sz w:val="18"/>
                <w:szCs w:val="18"/>
                <w:lang w:eastAsia="zh-CN"/>
              </w:rPr>
              <w:t>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691B05">
            <w:pPr>
              <w:pStyle w:val="a3"/>
              <w:numPr>
                <w:ilvl w:val="0"/>
                <w:numId w:val="4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691B05">
            <w:pPr>
              <w:pStyle w:val="a3"/>
              <w:numPr>
                <w:ilvl w:val="0"/>
                <w:numId w:val="4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different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proofErr w:type="spellStart"/>
            <w:r w:rsidR="00F91DFB" w:rsidRPr="00203F68">
              <w:rPr>
                <w:rFonts w:eastAsia="DengXian"/>
                <w:bCs/>
                <w:color w:val="000000" w:themeColor="text1"/>
                <w:sz w:val="18"/>
                <w:szCs w:val="18"/>
                <w:lang w:eastAsia="zh-CN"/>
              </w:rPr>
              <w:t>beamFailureInstanceMaxCount</w:t>
            </w:r>
            <w:proofErr w:type="spellEnd"/>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 xml:space="preserve">and </w:t>
            </w:r>
            <w:proofErr w:type="spellStart"/>
            <w:r w:rsidR="00F91DFB" w:rsidRPr="00203F68">
              <w:rPr>
                <w:rFonts w:eastAsia="DengXian"/>
                <w:bCs/>
                <w:color w:val="000000" w:themeColor="text1"/>
                <w:sz w:val="18"/>
                <w:szCs w:val="18"/>
                <w:lang w:eastAsia="zh-CN"/>
              </w:rPr>
              <w:t>beamFailureDetectionTimer</w:t>
            </w:r>
            <w:proofErr w:type="spellEnd"/>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F843D2">
      <w:pPr>
        <w:pStyle w:val="2"/>
        <w:numPr>
          <w:ilvl w:val="0"/>
          <w:numId w:val="7"/>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w:t>
            </w:r>
            <w:proofErr w:type="spellStart"/>
            <w:r>
              <w:rPr>
                <w:rFonts w:eastAsia="DengXian" w:hint="eastAsia"/>
                <w:bCs/>
                <w:color w:val="000000" w:themeColor="text1"/>
                <w:sz w:val="18"/>
                <w:szCs w:val="18"/>
                <w:lang w:eastAsia="zh-CN"/>
              </w:rPr>
              <w:t>Convida</w:t>
            </w:r>
            <w:proofErr w:type="spellEnd"/>
            <w:r>
              <w:rPr>
                <w:rFonts w:eastAsia="DengXian" w:hint="eastAsia"/>
                <w:bCs/>
                <w:color w:val="000000" w:themeColor="text1"/>
                <w:sz w:val="18"/>
                <w:szCs w:val="18"/>
                <w:lang w:eastAsia="zh-CN"/>
              </w:rPr>
              <w:t xml:space="preserve"> and HW respectively are copied from the first table. </w:t>
            </w:r>
          </w:p>
          <w:p w14:paraId="65E6EE2D" w14:textId="77777777" w:rsidR="00E92989" w:rsidRPr="007A1BBF"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DengXian"/>
                <w:sz w:val="18"/>
                <w:szCs w:val="18"/>
                <w:lang w:eastAsia="zh-CN"/>
              </w:rPr>
            </w:pPr>
            <w:proofErr w:type="spellStart"/>
            <w:r>
              <w:rPr>
                <w:rFonts w:eastAsia="DengXian"/>
                <w:sz w:val="18"/>
                <w:szCs w:val="18"/>
                <w:lang w:eastAsia="zh-CN"/>
              </w:rPr>
              <w:t>Convida</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DengXian"/>
                <w:sz w:val="18"/>
                <w:szCs w:val="18"/>
              </w:rPr>
            </w:pPr>
          </w:p>
          <w:p w14:paraId="324180CC" w14:textId="77777777" w:rsidR="00343D07" w:rsidRDefault="00343D07" w:rsidP="00F64CE1">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DengXian"/>
                <w:sz w:val="18"/>
                <w:szCs w:val="18"/>
              </w:rPr>
            </w:pPr>
          </w:p>
          <w:p w14:paraId="3A42B7EB" w14:textId="77777777" w:rsidR="00343D07" w:rsidRDefault="00343D07" w:rsidP="00F64CE1">
            <w:pPr>
              <w:snapToGrid w:val="0"/>
              <w:jc w:val="both"/>
              <w:rPr>
                <w:rFonts w:eastAsia="DengXian"/>
                <w:sz w:val="18"/>
                <w:szCs w:val="18"/>
              </w:rPr>
            </w:pPr>
            <w:r>
              <w:rPr>
                <w:rFonts w:eastAsia="DengXian"/>
                <w:sz w:val="18"/>
                <w:szCs w:val="18"/>
              </w:rPr>
              <w:lastRenderedPageBreak/>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DengXian"/>
                <w:sz w:val="18"/>
                <w:szCs w:val="18"/>
              </w:rPr>
            </w:pPr>
          </w:p>
          <w:p w14:paraId="26D881EE" w14:textId="77777777" w:rsidR="00343D07" w:rsidRDefault="00343D07" w:rsidP="00F64CE1">
            <w:pPr>
              <w:snapToGrid w:val="0"/>
              <w:jc w:val="both"/>
              <w:rPr>
                <w:rFonts w:eastAsia="DengXian"/>
                <w:sz w:val="18"/>
                <w:szCs w:val="18"/>
              </w:rPr>
            </w:pPr>
            <w:r>
              <w:rPr>
                <w:rFonts w:eastAsia="DengXian"/>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F64CE1">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F64CE1">
            <w:pPr>
              <w:snapToGrid w:val="0"/>
              <w:jc w:val="both"/>
              <w:rPr>
                <w:rFonts w:eastAsia="DengXian"/>
                <w:sz w:val="18"/>
                <w:szCs w:val="18"/>
              </w:rPr>
            </w:pPr>
          </w:p>
          <w:p w14:paraId="389C1D89" w14:textId="77777777" w:rsidR="00343D07" w:rsidRDefault="00343D07" w:rsidP="00F64CE1">
            <w:pPr>
              <w:snapToGrid w:val="0"/>
              <w:jc w:val="both"/>
              <w:rPr>
                <w:rFonts w:eastAsia="DengXian"/>
                <w:sz w:val="18"/>
                <w:szCs w:val="18"/>
              </w:rPr>
            </w:pPr>
            <w:r>
              <w:rPr>
                <w:rFonts w:eastAsia="DengXian"/>
                <w:sz w:val="18"/>
                <w:szCs w:val="18"/>
              </w:rPr>
              <w:t xml:space="preserve">Regarding </w:t>
            </w:r>
            <w:proofErr w:type="spellStart"/>
            <w:r w:rsidRPr="00D8741A">
              <w:rPr>
                <w:rFonts w:eastAsia="DengXian"/>
                <w:i/>
                <w:iCs/>
                <w:sz w:val="18"/>
                <w:szCs w:val="18"/>
              </w:rPr>
              <w:t>beamFailureInstanceMaxCount</w:t>
            </w:r>
            <w:proofErr w:type="spellEnd"/>
            <w:r>
              <w:rPr>
                <w:rFonts w:eastAsia="DengXian"/>
                <w:sz w:val="18"/>
                <w:szCs w:val="18"/>
              </w:rPr>
              <w:t xml:space="preserve"> and </w:t>
            </w:r>
            <w:proofErr w:type="spellStart"/>
            <w:r w:rsidRPr="00D8741A">
              <w:rPr>
                <w:rFonts w:eastAsia="DengXian"/>
                <w:i/>
                <w:iCs/>
                <w:sz w:val="18"/>
                <w:szCs w:val="18"/>
              </w:rPr>
              <w:t>beamFailureDetectionTimer</w:t>
            </w:r>
            <w:proofErr w:type="spellEnd"/>
            <w:r>
              <w:rPr>
                <w:rFonts w:eastAsia="DengXian"/>
                <w:sz w:val="18"/>
                <w:szCs w:val="18"/>
              </w:rPr>
              <w:t>, there seems to be no need to introduce new parameters.</w:t>
            </w:r>
          </w:p>
          <w:p w14:paraId="5825E7D6" w14:textId="77777777" w:rsidR="00343D07" w:rsidRDefault="00343D07" w:rsidP="00F64CE1">
            <w:pPr>
              <w:snapToGrid w:val="0"/>
              <w:jc w:val="both"/>
              <w:rPr>
                <w:rFonts w:eastAsia="DengXian"/>
                <w:sz w:val="18"/>
                <w:szCs w:val="18"/>
              </w:rPr>
            </w:pPr>
          </w:p>
          <w:p w14:paraId="413BD921" w14:textId="77777777" w:rsidR="00343D07" w:rsidRPr="00565AE4" w:rsidRDefault="00343D07" w:rsidP="00F64CE1">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DengXian"/>
                <w:sz w:val="18"/>
                <w:szCs w:val="18"/>
              </w:rPr>
            </w:pPr>
          </w:p>
          <w:p w14:paraId="7F31EBC3" w14:textId="77777777" w:rsidR="00343D07" w:rsidRPr="00565AE4" w:rsidRDefault="00343D07" w:rsidP="00F64CE1">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proofErr w:type="spellStart"/>
            <w:r w:rsidRPr="007246BA">
              <w:rPr>
                <w:rFonts w:eastAsia="DengXian"/>
                <w:i/>
                <w:sz w:val="18"/>
                <w:szCs w:val="18"/>
              </w:rPr>
              <w:t>groupBasedBeamReporting</w:t>
            </w:r>
            <w:proofErr w:type="spellEnd"/>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t can further determine whether it is R15 or R17 group-based beam reporting accor</w:t>
            </w:r>
            <w:r w:rsidRPr="007246BA">
              <w:rPr>
                <w:rFonts w:eastAsia="DengXian"/>
                <w:sz w:val="18"/>
                <w:szCs w:val="18"/>
              </w:rPr>
              <w:t>d</w:t>
            </w:r>
            <w:r w:rsidRPr="007246BA">
              <w:rPr>
                <w:rFonts w:eastAsia="DengXian"/>
                <w:sz w:val="18"/>
                <w:szCs w:val="18"/>
              </w:rPr>
              <w:t xml:space="preserve">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w:t>
            </w:r>
            <w:r w:rsidRPr="002B5A75">
              <w:rPr>
                <w:rFonts w:eastAsia="DengXian"/>
                <w:sz w:val="18"/>
                <w:szCs w:val="18"/>
              </w:rPr>
              <w:t>i</w:t>
            </w:r>
            <w:r w:rsidRPr="002B5A75">
              <w:rPr>
                <w:rFonts w:eastAsia="DengXian"/>
                <w:sz w:val="18"/>
                <w:szCs w:val="18"/>
              </w:rPr>
              <w:t>cation effort</w:t>
            </w:r>
            <w:r w:rsidRPr="007246BA">
              <w:rPr>
                <w:rFonts w:eastAsia="DengXian"/>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DengXian"/>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AB6D44">
      <w:pPr>
        <w:pStyle w:val="2"/>
        <w:numPr>
          <w:ilvl w:val="0"/>
          <w:numId w:val="7"/>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 xml:space="preserve">suggest </w:t>
            </w:r>
            <w:proofErr w:type="gramStart"/>
            <w:r w:rsidR="00E3305F">
              <w:rPr>
                <w:rFonts w:eastAsia="DengXian"/>
                <w:bCs/>
                <w:color w:val="000000" w:themeColor="text1"/>
                <w:sz w:val="18"/>
                <w:szCs w:val="18"/>
                <w:lang w:eastAsia="zh-CN"/>
              </w:rPr>
              <w:t>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w:t>
            </w:r>
            <w:proofErr w:type="gramEnd"/>
            <w:r w:rsidR="00E3305F">
              <w:rPr>
                <w:rFonts w:eastAsia="DengXian"/>
                <w:bCs/>
                <w:color w:val="000000" w:themeColor="text1"/>
                <w:sz w:val="18"/>
                <w:szCs w:val="18"/>
                <w:lang w:eastAsia="zh-CN"/>
              </w:rPr>
              <w:t xml:space="preserve">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w:t>
            </w:r>
            <w:r>
              <w:rPr>
                <w:rFonts w:eastAsia="DengXian"/>
                <w:bCs/>
                <w:color w:val="000000" w:themeColor="text1"/>
                <w:sz w:val="18"/>
                <w:szCs w:val="18"/>
                <w:lang w:eastAsia="zh-CN"/>
              </w:rPr>
              <w:t>r</w:t>
            </w:r>
            <w:r>
              <w:rPr>
                <w:rFonts w:eastAsia="DengXian"/>
                <w:bCs/>
                <w:color w:val="000000" w:themeColor="text1"/>
                <w:sz w:val="18"/>
                <w:szCs w:val="18"/>
                <w:lang w:eastAsia="zh-CN"/>
              </w:rPr>
              <w:t>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Then, RRC or MAC-CE based BFD configuration is still on-going discussion, and so we suggest to wait for the final RAN1 decision before adding </w:t>
            </w:r>
            <w:proofErr w:type="gramStart"/>
            <w:r>
              <w:rPr>
                <w:rFonts w:eastAsia="DengXian"/>
                <w:bCs/>
                <w:color w:val="000000" w:themeColor="text1"/>
                <w:sz w:val="18"/>
                <w:szCs w:val="18"/>
                <w:lang w:eastAsia="zh-CN"/>
              </w:rPr>
              <w:t>‘</w:t>
            </w:r>
            <w:proofErr w:type="spellStart"/>
            <w:r w:rsidRPr="00E3305F">
              <w:rPr>
                <w:rFonts w:eastAsia="DengXian"/>
                <w:bCs/>
                <w:color w:val="000000" w:themeColor="text1"/>
                <w:sz w:val="18"/>
                <w:szCs w:val="18"/>
                <w:lang w:eastAsia="zh-CN"/>
              </w:rPr>
              <w:t>failureDetectionResourcesToAddModList</w:t>
            </w:r>
            <w:proofErr w:type="spellEnd"/>
            <w:r w:rsidRPr="00E3305F">
              <w:rPr>
                <w:rFonts w:eastAsia="DengXian"/>
                <w:bCs/>
                <w:color w:val="000000" w:themeColor="text1"/>
                <w:sz w:val="18"/>
                <w:szCs w:val="18"/>
                <w:lang w:eastAsia="zh-CN"/>
              </w:rPr>
              <w:t>[</w:t>
            </w:r>
            <w:proofErr w:type="gramEnd"/>
            <w:r w:rsidRPr="00E3305F">
              <w:rPr>
                <w:rFonts w:eastAsia="DengXian"/>
                <w:bCs/>
                <w:color w:val="000000" w:themeColor="text1"/>
                <w:sz w:val="18"/>
                <w:szCs w:val="18"/>
                <w:lang w:eastAsia="zh-CN"/>
              </w:rPr>
              <w: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w:t>
            </w:r>
            <w:r w:rsidRPr="00E3305F">
              <w:rPr>
                <w:rFonts w:eastAsia="DengXian"/>
                <w:bCs/>
                <w:color w:val="000000" w:themeColor="text1"/>
                <w:sz w:val="18"/>
                <w:szCs w:val="18"/>
                <w:lang w:eastAsia="zh-CN"/>
              </w:rPr>
              <w:t>d</w:t>
            </w:r>
            <w:r w:rsidRPr="00E3305F">
              <w:rPr>
                <w:rFonts w:eastAsia="DengXian"/>
                <w:bCs/>
                <w:color w:val="000000" w:themeColor="text1"/>
                <w:sz w:val="18"/>
                <w:szCs w:val="18"/>
                <w:lang w:eastAsia="zh-CN"/>
              </w:rPr>
              <w:t>ModList2</w:t>
            </w:r>
            <w:r>
              <w:rPr>
                <w:rFonts w:eastAsia="DengXian"/>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DengXian" w:hint="eastAsia"/>
                <w:bCs/>
                <w:color w:val="000000" w:themeColor="text1"/>
                <w:sz w:val="18"/>
                <w:szCs w:val="18"/>
                <w:lang w:eastAsia="zh-CN"/>
              </w:rPr>
            </w:pPr>
            <w:r>
              <w:rPr>
                <w:rFonts w:eastAsia="DengXian" w:hint="eastAsia"/>
                <w:bCs/>
                <w:color w:val="000000" w:themeColor="text1"/>
                <w:sz w:val="18"/>
                <w:szCs w:val="18"/>
                <w:lang w:eastAsia="zh-CN"/>
              </w:rPr>
              <w:t xml:space="preserve">@ZTE: 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DengXian" w:hint="eastAsia"/>
                <w:bCs/>
                <w:color w:val="000000" w:themeColor="text1"/>
                <w:sz w:val="18"/>
                <w:szCs w:val="18"/>
                <w:lang w:eastAsia="zh-CN"/>
              </w:rPr>
            </w:pPr>
            <w:r>
              <w:rPr>
                <w:rFonts w:eastAsia="DengXian"/>
                <w:bCs/>
                <w:color w:val="000000" w:themeColor="text1"/>
                <w:sz w:val="18"/>
                <w:szCs w:val="18"/>
                <w:lang w:eastAsia="zh-CN"/>
              </w:rPr>
              <w:t>F</w:t>
            </w:r>
            <w:r>
              <w:rPr>
                <w:rFonts w:eastAsia="DengXian" w:hint="eastAsia"/>
                <w:bCs/>
                <w:color w:val="000000" w:themeColor="text1"/>
                <w:sz w:val="18"/>
                <w:szCs w:val="18"/>
                <w:lang w:eastAsia="zh-CN"/>
              </w:rPr>
              <w:t>or ZTE</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s </w:t>
            </w:r>
            <w:r>
              <w:rPr>
                <w:rFonts w:eastAsia="DengXian"/>
                <w:bCs/>
                <w:color w:val="000000" w:themeColor="text1"/>
                <w:sz w:val="18"/>
                <w:szCs w:val="18"/>
                <w:lang w:eastAsia="zh-CN"/>
              </w:rPr>
              <w:t>second</w:t>
            </w:r>
            <w:r>
              <w:rPr>
                <w:rFonts w:eastAsia="DengXian" w:hint="eastAsia"/>
                <w:bCs/>
                <w:color w:val="000000" w:themeColor="text1"/>
                <w:sz w:val="18"/>
                <w:szCs w:val="18"/>
                <w:lang w:eastAsia="zh-CN"/>
              </w:rPr>
              <w:t xml:space="preserve"> comment, in the last meeting, we already have the following agreement on explicit configuration of BFD-RS set. </w:t>
            </w:r>
            <w:r>
              <w:rPr>
                <w:rFonts w:eastAsia="DengXian"/>
                <w:bCs/>
                <w:color w:val="000000" w:themeColor="text1"/>
                <w:sz w:val="18"/>
                <w:szCs w:val="18"/>
                <w:lang w:eastAsia="zh-CN"/>
              </w:rPr>
              <w:t>S</w:t>
            </w:r>
            <w:r>
              <w:rPr>
                <w:rFonts w:eastAsia="DengXian" w:hint="eastAsia"/>
                <w:bCs/>
                <w:color w:val="000000" w:themeColor="text1"/>
                <w:sz w:val="18"/>
                <w:szCs w:val="18"/>
                <w:lang w:eastAsia="zh-CN"/>
              </w:rPr>
              <w:t>o, no matter MAC-CE based updated is supported or not, at least RRC parameter for explicit configur</w:t>
            </w:r>
            <w:r>
              <w:rPr>
                <w:rFonts w:eastAsia="DengXian" w:hint="eastAsia"/>
                <w:bCs/>
                <w:color w:val="000000" w:themeColor="text1"/>
                <w:sz w:val="18"/>
                <w:szCs w:val="18"/>
                <w:lang w:eastAsia="zh-CN"/>
              </w:rPr>
              <w:t>a</w:t>
            </w:r>
            <w:r>
              <w:rPr>
                <w:rFonts w:eastAsia="DengXian" w:hint="eastAsia"/>
                <w:bCs/>
                <w:color w:val="000000" w:themeColor="text1"/>
                <w:sz w:val="18"/>
                <w:szCs w:val="18"/>
                <w:lang w:eastAsia="zh-CN"/>
              </w:rPr>
              <w:t xml:space="preserve">tion is needed. </w:t>
            </w:r>
          </w:p>
          <w:p w14:paraId="0F4D83D3" w14:textId="77777777" w:rsidR="00054F3A" w:rsidRDefault="00054F3A" w:rsidP="00054F3A">
            <w:pPr>
              <w:snapToGrid w:val="0"/>
              <w:rPr>
                <w:rFonts w:eastAsia="DengXian" w:hint="eastAsia"/>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bookmarkStart w:id="0" w:name="_GoBack"/>
            <w:bookmarkEnd w:id="0"/>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54F3A">
            <w:pPr>
              <w:pStyle w:val="0Maintext"/>
              <w:numPr>
                <w:ilvl w:val="0"/>
                <w:numId w:val="4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54F3A">
            <w:pPr>
              <w:pStyle w:val="0Maintext"/>
              <w:numPr>
                <w:ilvl w:val="0"/>
                <w:numId w:val="4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DengXian"/>
                <w:bCs/>
                <w:color w:val="000000" w:themeColor="text1"/>
                <w:sz w:val="18"/>
                <w:szCs w:val="18"/>
                <w:lang w:val="fr-FR" w:eastAsia="zh-CN"/>
              </w:rPr>
            </w:pPr>
          </w:p>
        </w:tc>
      </w:tr>
    </w:tbl>
    <w:p w14:paraId="7F8B7BB6" w14:textId="77777777" w:rsidR="007D322C" w:rsidRPr="00AB6D44" w:rsidRDefault="007D322C" w:rsidP="00927EA6">
      <w:pPr>
        <w:snapToGrid w:val="0"/>
        <w:jc w:val="both"/>
        <w:rPr>
          <w:sz w:val="18"/>
          <w:szCs w:val="18"/>
        </w:rPr>
      </w:pPr>
    </w:p>
    <w:sectPr w:rsidR="007D322C" w:rsidRPr="00AB6D4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3C853" w14:textId="77777777" w:rsidR="00212114" w:rsidRDefault="00212114">
      <w:r>
        <w:separator/>
      </w:r>
    </w:p>
  </w:endnote>
  <w:endnote w:type="continuationSeparator" w:id="0">
    <w:p w14:paraId="3D4D6BD8" w14:textId="77777777" w:rsidR="00212114" w:rsidRDefault="0021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834CF" w14:textId="77777777" w:rsidR="00212114" w:rsidRDefault="00212114">
      <w:r>
        <w:rPr>
          <w:color w:val="000000"/>
        </w:rPr>
        <w:separator/>
      </w:r>
    </w:p>
  </w:footnote>
  <w:footnote w:type="continuationSeparator" w:id="0">
    <w:p w14:paraId="439B0707" w14:textId="77777777" w:rsidR="00212114" w:rsidRDefault="00212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B1336"/>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7"/>
  </w:num>
  <w:num w:numId="4">
    <w:abstractNumId w:val="16"/>
  </w:num>
  <w:num w:numId="5">
    <w:abstractNumId w:val="37"/>
  </w:num>
  <w:num w:numId="6">
    <w:abstractNumId w:val="11"/>
  </w:num>
  <w:num w:numId="7">
    <w:abstractNumId w:val="33"/>
  </w:num>
  <w:num w:numId="8">
    <w:abstractNumId w:val="24"/>
  </w:num>
  <w:num w:numId="9">
    <w:abstractNumId w:val="40"/>
  </w:num>
  <w:num w:numId="10">
    <w:abstractNumId w:val="35"/>
  </w:num>
  <w:num w:numId="11">
    <w:abstractNumId w:val="26"/>
  </w:num>
  <w:num w:numId="12">
    <w:abstractNumId w:val="9"/>
  </w:num>
  <w:num w:numId="13">
    <w:abstractNumId w:val="38"/>
  </w:num>
  <w:num w:numId="14">
    <w:abstractNumId w:val="28"/>
  </w:num>
  <w:num w:numId="15">
    <w:abstractNumId w:val="32"/>
  </w:num>
  <w:num w:numId="16">
    <w:abstractNumId w:val="17"/>
  </w:num>
  <w:num w:numId="17">
    <w:abstractNumId w:val="23"/>
  </w:num>
  <w:num w:numId="18">
    <w:abstractNumId w:val="47"/>
  </w:num>
  <w:num w:numId="19">
    <w:abstractNumId w:val="42"/>
  </w:num>
  <w:num w:numId="20">
    <w:abstractNumId w:val="45"/>
  </w:num>
  <w:num w:numId="21">
    <w:abstractNumId w:val="14"/>
  </w:num>
  <w:num w:numId="22">
    <w:abstractNumId w:val="13"/>
  </w:num>
  <w:num w:numId="23">
    <w:abstractNumId w:val="41"/>
  </w:num>
  <w:num w:numId="24">
    <w:abstractNumId w:val="0"/>
  </w:num>
  <w:num w:numId="25">
    <w:abstractNumId w:val="46"/>
  </w:num>
  <w:num w:numId="26">
    <w:abstractNumId w:val="6"/>
  </w:num>
  <w:num w:numId="27">
    <w:abstractNumId w:val="21"/>
  </w:num>
  <w:num w:numId="28">
    <w:abstractNumId w:val="1"/>
  </w:num>
  <w:num w:numId="29">
    <w:abstractNumId w:val="39"/>
  </w:num>
  <w:num w:numId="30">
    <w:abstractNumId w:val="20"/>
  </w:num>
  <w:num w:numId="31">
    <w:abstractNumId w:val="2"/>
  </w:num>
  <w:num w:numId="32">
    <w:abstractNumId w:val="4"/>
  </w:num>
  <w:num w:numId="33">
    <w:abstractNumId w:val="8"/>
  </w:num>
  <w:num w:numId="34">
    <w:abstractNumId w:val="12"/>
  </w:num>
  <w:num w:numId="35">
    <w:abstractNumId w:val="43"/>
  </w:num>
  <w:num w:numId="36">
    <w:abstractNumId w:val="25"/>
  </w:num>
  <w:num w:numId="37">
    <w:abstractNumId w:val="48"/>
  </w:num>
  <w:num w:numId="38">
    <w:abstractNumId w:val="5"/>
  </w:num>
  <w:num w:numId="39">
    <w:abstractNumId w:val="27"/>
  </w:num>
  <w:num w:numId="40">
    <w:abstractNumId w:val="30"/>
  </w:num>
  <w:num w:numId="41">
    <w:abstractNumId w:val="15"/>
  </w:num>
  <w:num w:numId="42">
    <w:abstractNumId w:val="19"/>
  </w:num>
  <w:num w:numId="43">
    <w:abstractNumId w:val="34"/>
  </w:num>
  <w:num w:numId="44">
    <w:abstractNumId w:val="14"/>
  </w:num>
  <w:num w:numId="45">
    <w:abstractNumId w:val="22"/>
  </w:num>
  <w:num w:numId="46">
    <w:abstractNumId w:val="31"/>
  </w:num>
  <w:num w:numId="47">
    <w:abstractNumId w:val="29"/>
  </w:num>
  <w:num w:numId="48">
    <w:abstractNumId w:val="36"/>
  </w:num>
  <w:num w:numId="49">
    <w:abstractNumId w:val="3"/>
  </w:num>
  <w:num w:numId="5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AUAcWak5y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
    <w:uiPriority w:val="99"/>
    <w:qFormat/>
    <w:rsid w:val="000E097D"/>
    <w:pPr>
      <w:spacing w:after="160" w:line="256" w:lineRule="auto"/>
      <w:ind w:left="720"/>
    </w:pPr>
    <w:rPr>
      <w:rFonts w:eastAsia="宋体"/>
      <w:lang w:eastAsia="en-US"/>
    </w:rPr>
  </w:style>
  <w:style w:type="character" w:styleId="a4">
    <w:name w:val="annotation reference"/>
    <w:basedOn w:val="a0"/>
    <w:qFormat/>
    <w:rsid w:val="000E097D"/>
    <w:rPr>
      <w:sz w:val="16"/>
      <w:szCs w:val="16"/>
    </w:rPr>
  </w:style>
  <w:style w:type="paragraph" w:styleId="a5">
    <w:name w:val="annotation text"/>
    <w:basedOn w:val="a"/>
    <w:link w:val="Char0"/>
    <w:uiPriority w:val="99"/>
    <w:qFormat/>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har0">
    <w:name w:val="批注文字 Char"/>
    <w:basedOn w:val="a0"/>
    <w:link w:val="a5"/>
    <w:uiPriority w:val="99"/>
    <w:qFormat/>
    <w:rsid w:val="00054F3A"/>
    <w:rPr>
      <w:rFonts w:ascii="Times New Roman" w:eastAsia="宋体"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6FE3A-B1AF-49EB-8A87-A76A693F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8375</Characters>
  <Application>Microsoft Office Word</Application>
  <DocSecurity>0</DocSecurity>
  <Lines>69</Lines>
  <Paragraphs>19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2</cp:revision>
  <dcterms:created xsi:type="dcterms:W3CDTF">2021-10-15T01:57:00Z</dcterms:created>
  <dcterms:modified xsi:type="dcterms:W3CDTF">2021-10-15T01:57:00Z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