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DE37B1" w14:paraId="6B708C1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”, suggest </w:t>
            </w:r>
            <w:proofErr w:type="gram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to add</w:t>
            </w:r>
            <w:proofErr w:type="gram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</w:t>
            </w:r>
            <w:proofErr w:type="gramStart"/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to add</w:t>
            </w:r>
            <w:proofErr w:type="gramEnd"/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d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>When associated with periodic/semi-persist resource setting, the resource setting comprises two CMR r</w:t>
            </w:r>
            <w:r w:rsidRPr="007279DC">
              <w:rPr>
                <w:sz w:val="18"/>
                <w:szCs w:val="18"/>
                <w:highlight w:val="yellow"/>
              </w:rPr>
              <w:t>e</w:t>
            </w:r>
            <w:r w:rsidRPr="007279DC">
              <w:rPr>
                <w:sz w:val="18"/>
                <w:szCs w:val="18"/>
                <w:highlight w:val="yellow"/>
              </w:rPr>
              <w:t xml:space="preserve">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</w:t>
            </w:r>
            <w:r w:rsidRPr="00410E96">
              <w:rPr>
                <w:i/>
                <w:iCs/>
              </w:rPr>
              <w:t>m</w:t>
            </w:r>
            <w:r w:rsidRPr="00410E96">
              <w:rPr>
                <w:i/>
                <w:iCs/>
              </w:rPr>
              <w:t>FailureRecoverySCellConfig-r16</w:t>
            </w:r>
            <w:r>
              <w:rPr>
                <w:sz w:val="20"/>
                <w:szCs w:val="20"/>
              </w:rPr>
              <w:t xml:space="preserve">” for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BFR in rel16</w:t>
            </w:r>
          </w:p>
        </w:tc>
      </w:tr>
      <w:tr w:rsidR="009851BC" w14:paraId="566B7E9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 xml:space="preserve">. If </w:t>
            </w:r>
            <w:proofErr w:type="gramStart"/>
            <w:r>
              <w:rPr>
                <w:bCs/>
                <w:sz w:val="18"/>
                <w:szCs w:val="20"/>
                <w:lang w:eastAsia="zh-CN"/>
              </w:rPr>
              <w:t>different thres</w:t>
            </w:r>
            <w:r>
              <w:rPr>
                <w:bCs/>
                <w:sz w:val="18"/>
                <w:szCs w:val="20"/>
                <w:lang w:eastAsia="zh-CN"/>
              </w:rPr>
              <w:t>h</w:t>
            </w:r>
            <w:r>
              <w:rPr>
                <w:bCs/>
                <w:sz w:val="18"/>
                <w:szCs w:val="20"/>
                <w:lang w:eastAsia="zh-CN"/>
              </w:rPr>
              <w:t>olds for different TRPs is</w:t>
            </w:r>
            <w:proofErr w:type="gramEnd"/>
            <w:r>
              <w:rPr>
                <w:bCs/>
                <w:sz w:val="18"/>
                <w:szCs w:val="20"/>
                <w:lang w:eastAsia="zh-CN"/>
              </w:rPr>
              <w:t xml:space="preserve"> supported, then an agreement related to this should be made first. However, there is no such agreement yet.</w:t>
            </w:r>
          </w:p>
        </w:tc>
      </w:tr>
      <w:tr w:rsidR="00EA1C32" w14:paraId="0A68F0A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A07D4C"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a3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DengXian"/>
                <w:sz w:val="18"/>
                <w:szCs w:val="18"/>
                <w:lang w:eastAsia="zh-CN"/>
              </w:rPr>
              <w:t>TT D</w:t>
            </w:r>
            <w:r>
              <w:rPr>
                <w:rFonts w:eastAsia="DengXian"/>
                <w:sz w:val="18"/>
                <w:szCs w:val="18"/>
                <w:lang w:eastAsia="zh-CN"/>
              </w:rPr>
              <w:t>O</w:t>
            </w:r>
            <w:r>
              <w:rPr>
                <w:rFonts w:eastAsia="DengXian"/>
                <w:sz w:val="18"/>
                <w:szCs w:val="18"/>
                <w:lang w:eastAsia="zh-CN"/>
              </w:rPr>
              <w:t>COMO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periodic/semi-persist r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e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source setting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DengXian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rais</w:t>
            </w:r>
            <w:r>
              <w:rPr>
                <w:rFonts w:eastAsia="微软雅黑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 xml:space="preserve"> the upper bound for CSI-RS r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e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source set in 38.214, i.e., to change ‘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maxNrofCSI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-SSB-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ResourceSetsPerConfig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’ to 2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c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tionTimer-1, beamFailureDetectionTimer-2.</w:t>
            </w:r>
          </w:p>
        </w:tc>
      </w:tr>
      <w:tr w:rsidR="0099314C" w14:paraId="4A9DDCDC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C5CA71B" w:rsidR="0099314C" w:rsidRDefault="00902F2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958" w14:textId="7204F485" w:rsidR="00902F22" w:rsidRPr="00691B05" w:rsidRDefault="00902F22" w:rsidP="00691B05">
            <w:p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/>
                <w:sz w:val="18"/>
                <w:szCs w:val="20"/>
                <w:lang w:eastAsia="zh-CN"/>
              </w:rPr>
              <w:t>B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ased on the discussion above, the table of RRC parameters is updated in V01. 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T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 be specific, </w:t>
            </w:r>
          </w:p>
          <w:p w14:paraId="4FA5E1F4" w14:textId="77777777" w:rsidR="00902F22" w:rsidRPr="00691B05" w:rsidRDefault="00902F22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Row 6 is deleted and row 5 is revised, so that </w:t>
            </w:r>
            <w:r w:rsidRPr="00691B05">
              <w:rPr>
                <w:bCs/>
                <w:sz w:val="18"/>
                <w:szCs w:val="20"/>
                <w:lang w:eastAsia="zh-CN"/>
              </w:rPr>
              <w:t xml:space="preserve">one threshold 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 xml:space="preserve">can be configured </w:t>
            </w:r>
            <w:r w:rsidRPr="00691B05">
              <w:rPr>
                <w:bCs/>
                <w:sz w:val="18"/>
                <w:szCs w:val="20"/>
                <w:lang w:eastAsia="zh-CN"/>
              </w:rPr>
              <w:t>for two TRPs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.</w:t>
            </w:r>
          </w:p>
          <w:p w14:paraId="782EF496" w14:textId="1A4EFA25" w:rsidR="00876644" w:rsidRPr="00F91DFB" w:rsidRDefault="00876644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bCs/>
                <w:sz w:val="18"/>
                <w:szCs w:val="20"/>
                <w:lang w:eastAsia="zh-CN"/>
              </w:rPr>
              <w:t>R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egarding the issue raised by MTK, the table is updated according to ZTE</w:t>
            </w:r>
            <w:r w:rsidRPr="00691B05">
              <w:rPr>
                <w:bCs/>
                <w:sz w:val="18"/>
                <w:szCs w:val="20"/>
                <w:lang w:eastAsia="zh-CN"/>
              </w:rPr>
              <w:t>’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s suggestion.</w:t>
            </w:r>
          </w:p>
          <w:p w14:paraId="1C142037" w14:textId="07B0ECA3" w:rsidR="00173BDB" w:rsidRDefault="00691B05" w:rsidP="00691B05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>@QC: f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or row 8 and 9, further discussion seems to be needed regarding whether the SSB </w:t>
            </w:r>
            <w:r w:rsidR="00E8454F" w:rsidRPr="00691B05">
              <w:rPr>
                <w:rFonts w:eastAsia="DengXian"/>
                <w:sz w:val="18"/>
                <w:szCs w:val="20"/>
                <w:lang w:eastAsia="zh-CN"/>
              </w:rPr>
              <w:t>associated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 with a </w:t>
            </w:r>
            <w:r w:rsidR="00E8454F" w:rsidRPr="00691B05">
              <w:rPr>
                <w:rFonts w:eastAsia="DengXian"/>
                <w:bCs/>
                <w:sz w:val="18"/>
                <w:szCs w:val="20"/>
                <w:lang w:eastAsia="zh-CN"/>
              </w:rPr>
              <w:t>PCI different from serving cell PCI</w:t>
            </w:r>
            <w:r w:rsidR="00E8454F" w:rsidRPr="00691B05">
              <w:rPr>
                <w:rFonts w:eastAsia="DengXian" w:hint="eastAsia"/>
                <w:bCs/>
                <w:sz w:val="18"/>
                <w:szCs w:val="20"/>
                <w:lang w:eastAsia="zh-CN"/>
              </w:rPr>
              <w:t xml:space="preserve"> can be configured as a new beam.</w:t>
            </w:r>
          </w:p>
          <w:p w14:paraId="499479D1" w14:textId="13466D3E" w:rsidR="00564DC2" w:rsidRPr="00F91DFB" w:rsidRDefault="00564DC2" w:rsidP="00F91DFB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@vivo: to our understanding, 2 NBI-RS sets should be configured </w:t>
            </w:r>
            <w:r w:rsidR="00965C0C">
              <w:rPr>
                <w:rFonts w:eastAsia="DengXian" w:hint="eastAsia"/>
                <w:bCs/>
                <w:sz w:val="18"/>
                <w:szCs w:val="18"/>
                <w:lang w:eastAsia="zh-CN"/>
              </w:rPr>
              <w:t>to support</w:t>
            </w: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TRP-specific BFR.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F91DFB" w:rsidRPr="00F91DFB">
              <w:rPr>
                <w:rFonts w:eastAsia="DengXian"/>
                <w:bCs/>
                <w:sz w:val="18"/>
                <w:szCs w:val="18"/>
                <w:lang w:eastAsia="zh-CN"/>
              </w:rPr>
              <w:t>W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>e have agreed to s</w:t>
            </w:r>
            <w:r w:rsidR="00F91DFB" w:rsidRPr="00F91DFB">
              <w:rPr>
                <w:sz w:val="18"/>
                <w:szCs w:val="18"/>
              </w:rPr>
              <w:t>upport TRP-specific BFD counter and timer in the MAC procedure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. </w:t>
            </w:r>
            <w:r w:rsidR="00F91DFB">
              <w:rPr>
                <w:sz w:val="18"/>
                <w:szCs w:val="18"/>
                <w:lang w:eastAsia="zh-CN"/>
              </w:rPr>
              <w:t>I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>t doesn</w:t>
            </w:r>
            <w:r w:rsidR="00F91DFB">
              <w:rPr>
                <w:sz w:val="18"/>
                <w:szCs w:val="18"/>
                <w:lang w:eastAsia="zh-CN"/>
              </w:rPr>
              <w:t>’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t necessarily mean that an additional set of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beamFailureInstanceMaxCount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and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beamFailureDetectionTimer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is needed.</w:t>
            </w:r>
          </w:p>
          <w:p w14:paraId="3C52AC04" w14:textId="3E742E4C" w:rsidR="00E8454F" w:rsidRPr="00E8454F" w:rsidRDefault="00691B05" w:rsidP="00564DC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@OPPO: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c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onfiguration of per-TRP BFR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can be indicated by the 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presence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of 2 BFD-RS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/NBI-RS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sets.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</w:t>
            </w:r>
          </w:p>
        </w:tc>
      </w:tr>
      <w:tr w:rsidR="00EE77A8" w14:paraId="31E18DD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2C1A726F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F83B681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 xml:space="preserve">version </w:t>
      </w:r>
      <w:r w:rsidR="00343D07">
        <w:rPr>
          <w:rFonts w:hint="eastAsia"/>
          <w:lang w:eastAsia="zh-CN"/>
        </w:rPr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F64CE1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F64CE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343D07" w14:paraId="30059F68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Convida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B9AD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#5 and #6, one threshold should be sufficient, since we haven’t agreed to introduce a 2</w:t>
            </w:r>
            <w:r w:rsidRPr="00493562">
              <w:rPr>
                <w:rFonts w:eastAsia="DengXian"/>
                <w:sz w:val="18"/>
                <w:szCs w:val="18"/>
                <w:vertAlign w:val="superscript"/>
              </w:rPr>
              <w:t>nd</w:t>
            </w:r>
            <w:r>
              <w:rPr>
                <w:rFonts w:eastAsia="DengXian"/>
                <w:sz w:val="18"/>
                <w:szCs w:val="18"/>
              </w:rPr>
              <w:t xml:space="preserve"> threshold. For row #5, “new” may be changed to “up to RAN2”, since it’s up to RAN2 if they reuse the existing parameter for threshold.</w:t>
            </w:r>
          </w:p>
          <w:p w14:paraId="0A030E1F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24180CC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#8, “new” may be changed to “up to RAN2”, since it’s up to RAN2 if they reuse the first CB RS list.</w:t>
            </w:r>
          </w:p>
          <w:p w14:paraId="15F6DB2B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A42B7EB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row#9 and #9, we also think they should be mandatorily configured with at least one resource, if M-TRP BFR is configured.</w:t>
            </w:r>
          </w:p>
          <w:p w14:paraId="2C968E29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26D881EE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explicitly configured BFD-RS sets, at least a second list seems to be needed:</w:t>
            </w:r>
          </w:p>
          <w:p w14:paraId="5AFD426E" w14:textId="77777777" w:rsidR="00343D07" w:rsidRPr="00D8741A" w:rsidRDefault="00343D07" w:rsidP="00F64CE1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failureDetectionResourcesToAddModList2</w:t>
            </w:r>
          </w:p>
          <w:p w14:paraId="40EA4DED" w14:textId="77777777" w:rsidR="00343D07" w:rsidRPr="00D8741A" w:rsidRDefault="00343D07" w:rsidP="00F64CE1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failureDetectionResourcesToReleaseList2</w:t>
            </w:r>
          </w:p>
          <w:p w14:paraId="77BC6060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RAN2 may decide if they want to reuse the existing list for the first explicit BFD-RS set.</w:t>
            </w:r>
          </w:p>
          <w:p w14:paraId="10CA3691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89C1D89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beamFailureInstanceMaxCount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and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beamFailureDetectionTimer</w:t>
            </w:r>
            <w:proofErr w:type="spellEnd"/>
            <w:r>
              <w:rPr>
                <w:rFonts w:eastAsia="DengXian"/>
                <w:sz w:val="18"/>
                <w:szCs w:val="18"/>
              </w:rPr>
              <w:t>, there seems to be no need to introduce new parameters.</w:t>
            </w:r>
          </w:p>
          <w:p w14:paraId="5825E7D6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413BD921" w14:textId="77777777" w:rsidR="00343D07" w:rsidRPr="00565AE4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Agree with FL that per-TRP BFR can be indicated by the presence of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2 BFD-RS/NBI-RS sets</w:t>
            </w:r>
            <w:r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343D07" w14:paraId="392E920C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7B68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We share similar view as FL that more discussions are needed on </w:t>
            </w:r>
            <w:r w:rsidRPr="007246BA">
              <w:rPr>
                <w:rFonts w:eastAsia="DengXian"/>
                <w:sz w:val="18"/>
                <w:szCs w:val="18"/>
              </w:rPr>
              <w:t>whether SSB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associated with PCI different from serving cell PCI can be configured as </w:t>
            </w:r>
            <w:r>
              <w:rPr>
                <w:rFonts w:eastAsia="DengXian"/>
                <w:sz w:val="18"/>
                <w:szCs w:val="18"/>
              </w:rPr>
              <w:t xml:space="preserve">resources for new beam identification (the discussions in 8.1.2.3 thus far focused on intra-cell multi-TRP operation). </w:t>
            </w:r>
          </w:p>
          <w:p w14:paraId="6C010BE3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7F31EBC3" w14:textId="77777777" w:rsidR="00343D07" w:rsidRPr="00565AE4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In addition, we want to point out that group-based reporting in R16 reused the RRC enabler in R15, and it can also be reused for R17. To be specific, o</w:t>
            </w:r>
            <w:r w:rsidRPr="007246BA">
              <w:rPr>
                <w:rFonts w:eastAsia="DengXian"/>
                <w:sz w:val="18"/>
                <w:szCs w:val="18"/>
              </w:rPr>
              <w:t xml:space="preserve">nce </w:t>
            </w:r>
            <w:proofErr w:type="spellStart"/>
            <w:r w:rsidRPr="007246BA">
              <w:rPr>
                <w:rFonts w:eastAsia="DengXian"/>
                <w:i/>
                <w:sz w:val="18"/>
                <w:szCs w:val="18"/>
              </w:rPr>
              <w:t>groupBasedBeamReporting</w:t>
            </w:r>
            <w:proofErr w:type="spellEnd"/>
            <w:r w:rsidRPr="007246BA">
              <w:rPr>
                <w:rFonts w:eastAsia="DengXian"/>
                <w:sz w:val="18"/>
                <w:szCs w:val="18"/>
              </w:rPr>
              <w:t xml:space="preserve"> is configured as enabled, the UE know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group-based beam reporting is configured</w:t>
            </w:r>
            <w:r>
              <w:rPr>
                <w:rFonts w:eastAsia="DengXian"/>
                <w:sz w:val="18"/>
                <w:szCs w:val="18"/>
              </w:rPr>
              <w:t>, and i</w:t>
            </w:r>
            <w:r w:rsidRPr="007246BA">
              <w:rPr>
                <w:rFonts w:eastAsia="DengXian"/>
                <w:sz w:val="18"/>
                <w:szCs w:val="18"/>
              </w:rPr>
              <w:t>t can further determine whether it is R15 or R17 group-based beam reporting accor</w:t>
            </w:r>
            <w:r w:rsidRPr="007246BA">
              <w:rPr>
                <w:rFonts w:eastAsia="DengXian"/>
                <w:sz w:val="18"/>
                <w:szCs w:val="18"/>
              </w:rPr>
              <w:t>d</w:t>
            </w:r>
            <w:r w:rsidRPr="007246BA">
              <w:rPr>
                <w:rFonts w:eastAsia="DengXian"/>
                <w:sz w:val="18"/>
                <w:szCs w:val="18"/>
              </w:rPr>
              <w:t xml:space="preserve">ing to the number of </w:t>
            </w:r>
            <w:r>
              <w:rPr>
                <w:rFonts w:eastAsia="DengXian"/>
                <w:sz w:val="18"/>
                <w:szCs w:val="18"/>
              </w:rPr>
              <w:t xml:space="preserve">CMR </w:t>
            </w:r>
            <w:r w:rsidRPr="007246BA">
              <w:rPr>
                <w:rFonts w:eastAsia="DengXian"/>
                <w:sz w:val="18"/>
                <w:szCs w:val="18"/>
              </w:rPr>
              <w:t xml:space="preserve">sets to be measured, </w:t>
            </w:r>
            <w:r>
              <w:rPr>
                <w:rFonts w:eastAsia="DengXian"/>
                <w:sz w:val="18"/>
                <w:szCs w:val="18"/>
              </w:rPr>
              <w:t xml:space="preserve">which is different between </w:t>
            </w:r>
            <w:r w:rsidRPr="007246BA">
              <w:rPr>
                <w:rFonts w:eastAsia="DengXian"/>
                <w:sz w:val="18"/>
                <w:szCs w:val="18"/>
              </w:rPr>
              <w:t xml:space="preserve">R15 and R17. In this </w:t>
            </w:r>
            <w:r>
              <w:rPr>
                <w:rFonts w:eastAsia="DengXian"/>
                <w:sz w:val="18"/>
                <w:szCs w:val="18"/>
              </w:rPr>
              <w:t>way</w:t>
            </w:r>
            <w:r w:rsidRPr="007246BA">
              <w:rPr>
                <w:rFonts w:eastAsia="DengXian"/>
                <w:sz w:val="18"/>
                <w:szCs w:val="18"/>
              </w:rPr>
              <w:t xml:space="preserve">, there is no need to introduce a new </w:t>
            </w:r>
            <w:r>
              <w:rPr>
                <w:rFonts w:eastAsia="DengXian"/>
                <w:sz w:val="18"/>
                <w:szCs w:val="18"/>
              </w:rPr>
              <w:t xml:space="preserve">RRC </w:t>
            </w:r>
            <w:r w:rsidRPr="007246BA">
              <w:rPr>
                <w:rFonts w:eastAsia="DengXian"/>
                <w:sz w:val="18"/>
                <w:szCs w:val="18"/>
              </w:rPr>
              <w:t xml:space="preserve">parameter </w:t>
            </w:r>
            <w:r w:rsidRPr="002B5A75">
              <w:rPr>
                <w:rFonts w:eastAsia="DengXian"/>
                <w:i/>
                <w:sz w:val="18"/>
                <w:szCs w:val="18"/>
              </w:rPr>
              <w:t>groupBasedBeamReportingR17</w:t>
            </w:r>
            <w:r>
              <w:rPr>
                <w:rFonts w:eastAsia="DengXian"/>
                <w:sz w:val="18"/>
                <w:szCs w:val="18"/>
              </w:rPr>
              <w:t xml:space="preserve">, which helps reducing </w:t>
            </w:r>
            <w:r w:rsidRPr="002B5A75">
              <w:rPr>
                <w:rFonts w:eastAsia="DengXian"/>
                <w:sz w:val="18"/>
                <w:szCs w:val="18"/>
              </w:rPr>
              <w:t>signaling overhead and specif</w:t>
            </w:r>
            <w:r w:rsidRPr="002B5A75">
              <w:rPr>
                <w:rFonts w:eastAsia="DengXian"/>
                <w:sz w:val="18"/>
                <w:szCs w:val="18"/>
              </w:rPr>
              <w:t>i</w:t>
            </w:r>
            <w:r w:rsidRPr="002B5A75">
              <w:rPr>
                <w:rFonts w:eastAsia="DengXian"/>
                <w:sz w:val="18"/>
                <w:szCs w:val="18"/>
              </w:rPr>
              <w:t>cation effort</w:t>
            </w:r>
            <w:r w:rsidRPr="007246BA"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343D07" w14:paraId="4B117854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4A8E" w14:textId="165D257D" w:rsidR="00343D07" w:rsidRP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F4E0" w14:textId="77777777" w:rsidR="00343D07" w:rsidRDefault="00343D07" w:rsidP="00F64CE1">
            <w:pPr>
              <w:snapToGrid w:val="0"/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he above two comments are copied from the first table. </w:t>
            </w:r>
          </w:p>
          <w:p w14:paraId="43D4857A" w14:textId="60965784" w:rsidR="00343D07" w:rsidRPr="007A1BBF" w:rsidRDefault="00343D07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P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lease provide your views on v01 in this table</w:t>
            </w:r>
          </w:p>
        </w:tc>
      </w:tr>
      <w:tr w:rsidR="00343D07" w14:paraId="5A55B188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4F54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4512" w14:textId="77777777" w:rsidR="00343D07" w:rsidRPr="007A1BBF" w:rsidRDefault="00343D07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0A9431A4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5D0A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2026" w14:textId="77777777" w:rsidR="00343D07" w:rsidRPr="007A1BBF" w:rsidRDefault="00343D07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  <w:bookmarkStart w:id="0" w:name="_GoBack"/>
      <w:bookmarkEnd w:id="0"/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E3CB" w14:textId="77777777" w:rsidR="00091166" w:rsidRDefault="00091166">
      <w:r>
        <w:separator/>
      </w:r>
    </w:p>
  </w:endnote>
  <w:endnote w:type="continuationSeparator" w:id="0">
    <w:p w14:paraId="2AE7F01C" w14:textId="77777777" w:rsidR="00091166" w:rsidRDefault="0009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A6C99" w14:textId="77777777" w:rsidR="00091166" w:rsidRDefault="00091166">
      <w:r>
        <w:rPr>
          <w:color w:val="000000"/>
        </w:rPr>
        <w:separator/>
      </w:r>
    </w:p>
  </w:footnote>
  <w:footnote w:type="continuationSeparator" w:id="0">
    <w:p w14:paraId="12729D9A" w14:textId="77777777" w:rsidR="00091166" w:rsidRDefault="0009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7"/>
  </w:num>
  <w:num w:numId="4">
    <w:abstractNumId w:val="16"/>
  </w:num>
  <w:num w:numId="5">
    <w:abstractNumId w:val="36"/>
  </w:num>
  <w:num w:numId="6">
    <w:abstractNumId w:val="11"/>
  </w:num>
  <w:num w:numId="7">
    <w:abstractNumId w:val="32"/>
  </w:num>
  <w:num w:numId="8">
    <w:abstractNumId w:val="23"/>
  </w:num>
  <w:num w:numId="9">
    <w:abstractNumId w:val="39"/>
  </w:num>
  <w:num w:numId="10">
    <w:abstractNumId w:val="34"/>
  </w:num>
  <w:num w:numId="11">
    <w:abstractNumId w:val="25"/>
  </w:num>
  <w:num w:numId="12">
    <w:abstractNumId w:val="9"/>
  </w:num>
  <w:num w:numId="13">
    <w:abstractNumId w:val="37"/>
  </w:num>
  <w:num w:numId="14">
    <w:abstractNumId w:val="27"/>
  </w:num>
  <w:num w:numId="15">
    <w:abstractNumId w:val="31"/>
  </w:num>
  <w:num w:numId="16">
    <w:abstractNumId w:val="17"/>
  </w:num>
  <w:num w:numId="17">
    <w:abstractNumId w:val="22"/>
  </w:num>
  <w:num w:numId="18">
    <w:abstractNumId w:val="46"/>
  </w:num>
  <w:num w:numId="19">
    <w:abstractNumId w:val="41"/>
  </w:num>
  <w:num w:numId="20">
    <w:abstractNumId w:val="44"/>
  </w:num>
  <w:num w:numId="21">
    <w:abstractNumId w:val="14"/>
  </w:num>
  <w:num w:numId="22">
    <w:abstractNumId w:val="13"/>
  </w:num>
  <w:num w:numId="23">
    <w:abstractNumId w:val="40"/>
  </w:num>
  <w:num w:numId="24">
    <w:abstractNumId w:val="0"/>
  </w:num>
  <w:num w:numId="25">
    <w:abstractNumId w:val="45"/>
  </w:num>
  <w:num w:numId="26">
    <w:abstractNumId w:val="6"/>
  </w:num>
  <w:num w:numId="27">
    <w:abstractNumId w:val="20"/>
  </w:num>
  <w:num w:numId="28">
    <w:abstractNumId w:val="1"/>
  </w:num>
  <w:num w:numId="29">
    <w:abstractNumId w:val="38"/>
  </w:num>
  <w:num w:numId="30">
    <w:abstractNumId w:val="19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2"/>
  </w:num>
  <w:num w:numId="36">
    <w:abstractNumId w:val="24"/>
  </w:num>
  <w:num w:numId="37">
    <w:abstractNumId w:val="47"/>
  </w:num>
  <w:num w:numId="38">
    <w:abstractNumId w:val="5"/>
  </w:num>
  <w:num w:numId="39">
    <w:abstractNumId w:val="26"/>
  </w:num>
  <w:num w:numId="40">
    <w:abstractNumId w:val="29"/>
  </w:num>
  <w:num w:numId="41">
    <w:abstractNumId w:val="15"/>
  </w:num>
  <w:num w:numId="42">
    <w:abstractNumId w:val="18"/>
  </w:num>
  <w:num w:numId="43">
    <w:abstractNumId w:val="33"/>
  </w:num>
  <w:num w:numId="44">
    <w:abstractNumId w:val="14"/>
  </w:num>
  <w:num w:numId="45">
    <w:abstractNumId w:val="21"/>
  </w:num>
  <w:num w:numId="46">
    <w:abstractNumId w:val="30"/>
  </w:num>
  <w:num w:numId="47">
    <w:abstractNumId w:val="28"/>
  </w:num>
  <w:num w:numId="48">
    <w:abstractNumId w:val="35"/>
  </w:num>
  <w:num w:numId="4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166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2D88-8D89-420A-8D93-A3C135B8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CATT</cp:lastModifiedBy>
  <cp:revision>2</cp:revision>
  <dcterms:created xsi:type="dcterms:W3CDTF">2021-10-14T00:17:00Z</dcterms:created>
  <dcterms:modified xsi:type="dcterms:W3CDTF">2021-10-14T00:17:00Z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