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581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等线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”, </w:t>
            </w:r>
            <w:proofErr w:type="gramStart"/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i.e.</w:t>
            </w:r>
            <w:proofErr w:type="gramEnd"/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等线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 xml:space="preserve">” for </w:t>
            </w:r>
            <w:proofErr w:type="spellStart"/>
            <w:r>
              <w:rPr>
                <w:sz w:val="20"/>
                <w:szCs w:val="20"/>
              </w:rPr>
              <w:t>SCell</w:t>
            </w:r>
            <w:proofErr w:type="spellEnd"/>
            <w:r>
              <w:rPr>
                <w:sz w:val="20"/>
                <w:szCs w:val="20"/>
              </w:rPr>
              <w:t xml:space="preserve">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 w:rsidRPr="00A07D4C">
              <w:rPr>
                <w:rFonts w:eastAsia="等线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>may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微软雅黑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微软雅黑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微软雅黑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a3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微软雅黑"/>
                <w:sz w:val="18"/>
                <w:szCs w:val="18"/>
                <w:lang w:val="en-GB"/>
              </w:rPr>
            </w:pPr>
            <w:r w:rsidRPr="00A07D4C">
              <w:rPr>
                <w:rFonts w:eastAsia="微软雅黑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等线"/>
                <w:sz w:val="18"/>
                <w:szCs w:val="18"/>
                <w:lang w:eastAsia="zh-CN"/>
              </w:rPr>
              <w:t>TT DOCOMO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等线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等线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等线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等线"/>
                <w:sz w:val="18"/>
                <w:szCs w:val="18"/>
                <w:lang w:eastAsia="zh-CN"/>
              </w:rPr>
              <w:t>periodic/semi-persist resource setting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等线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等线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微软雅黑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>rais</w:t>
            </w:r>
            <w:r>
              <w:rPr>
                <w:rFonts w:eastAsia="微软雅黑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微软雅黑"/>
                <w:sz w:val="18"/>
                <w:szCs w:val="18"/>
                <w:lang w:val="en-GB"/>
              </w:rPr>
              <w:t xml:space="preserve"> the upper bound for CSI-RS resource set in 38.214, i.e., to change ‘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maxNrofCSI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-SSB-</w:t>
            </w:r>
            <w:proofErr w:type="spellStart"/>
            <w:r w:rsidRPr="00FC0141">
              <w:rPr>
                <w:rFonts w:eastAsia="微软雅黑"/>
                <w:sz w:val="18"/>
                <w:szCs w:val="18"/>
                <w:lang w:val="en-GB"/>
              </w:rPr>
              <w:t>ResourceSetsPerConfig</w:t>
            </w:r>
            <w:proofErr w:type="spellEnd"/>
            <w:r w:rsidRPr="00FC0141">
              <w:rPr>
                <w:rFonts w:eastAsia="微软雅黑"/>
                <w:sz w:val="18"/>
                <w:szCs w:val="18"/>
                <w:lang w:val="en-GB"/>
              </w:rPr>
              <w:t>’ to 2</w:t>
            </w:r>
            <w:r>
              <w:rPr>
                <w:rFonts w:eastAsia="微软雅黑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beamFailureDetectionTimer-1, beamFailureDetectionTimer-2.</w:t>
            </w: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4389" w14:textId="77777777" w:rsidR="001E52D0" w:rsidRDefault="001E52D0">
      <w:r>
        <w:separator/>
      </w:r>
    </w:p>
  </w:endnote>
  <w:endnote w:type="continuationSeparator" w:id="0">
    <w:p w14:paraId="0295FAA9" w14:textId="77777777" w:rsidR="001E52D0" w:rsidRDefault="001E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7E0D" w14:textId="77777777" w:rsidR="001E52D0" w:rsidRDefault="001E52D0">
      <w:r>
        <w:rPr>
          <w:color w:val="000000"/>
        </w:rPr>
        <w:separator/>
      </w:r>
    </w:p>
  </w:footnote>
  <w:footnote w:type="continuationSeparator" w:id="0">
    <w:p w14:paraId="7F94BEC8" w14:textId="77777777" w:rsidR="001E52D0" w:rsidRDefault="001E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6"/>
  </w:num>
  <w:num w:numId="4">
    <w:abstractNumId w:val="15"/>
  </w:num>
  <w:num w:numId="5">
    <w:abstractNumId w:val="35"/>
  </w:num>
  <w:num w:numId="6">
    <w:abstractNumId w:val="10"/>
  </w:num>
  <w:num w:numId="7">
    <w:abstractNumId w:val="31"/>
  </w:num>
  <w:num w:numId="8">
    <w:abstractNumId w:val="22"/>
  </w:num>
  <w:num w:numId="9">
    <w:abstractNumId w:val="38"/>
  </w:num>
  <w:num w:numId="10">
    <w:abstractNumId w:val="33"/>
  </w:num>
  <w:num w:numId="11">
    <w:abstractNumId w:val="24"/>
  </w:num>
  <w:num w:numId="12">
    <w:abstractNumId w:val="8"/>
  </w:num>
  <w:num w:numId="13">
    <w:abstractNumId w:val="36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5"/>
  </w:num>
  <w:num w:numId="19">
    <w:abstractNumId w:val="40"/>
  </w:num>
  <w:num w:numId="20">
    <w:abstractNumId w:val="43"/>
  </w:num>
  <w:num w:numId="21">
    <w:abstractNumId w:val="13"/>
  </w:num>
  <w:num w:numId="22">
    <w:abstractNumId w:val="12"/>
  </w:num>
  <w:num w:numId="23">
    <w:abstractNumId w:val="39"/>
  </w:num>
  <w:num w:numId="24">
    <w:abstractNumId w:val="0"/>
  </w:num>
  <w:num w:numId="25">
    <w:abstractNumId w:val="44"/>
  </w:num>
  <w:num w:numId="26">
    <w:abstractNumId w:val="5"/>
  </w:num>
  <w:num w:numId="27">
    <w:abstractNumId w:val="19"/>
  </w:num>
  <w:num w:numId="28">
    <w:abstractNumId w:val="1"/>
  </w:num>
  <w:num w:numId="29">
    <w:abstractNumId w:val="37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1"/>
  </w:num>
  <w:num w:numId="36">
    <w:abstractNumId w:val="23"/>
  </w:num>
  <w:num w:numId="37">
    <w:abstractNumId w:val="46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 w:numId="48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"/>
    <w:basedOn w:val="a"/>
    <w:link w:val="10"/>
    <w:uiPriority w:val="99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宋体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7C14-D412-46DD-AAC8-5E7AB547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王 臣玺</cp:lastModifiedBy>
  <cp:revision>2</cp:revision>
  <dcterms:created xsi:type="dcterms:W3CDTF">2021-10-13T09:10:00Z</dcterms:created>
  <dcterms:modified xsi:type="dcterms:W3CDTF">2021-10-13T09:10:00Z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