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581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7420658" w:rsidR="002E6C30" w:rsidRDefault="007A1BBF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435D" w14:textId="2567129A" w:rsidR="007A1BBF" w:rsidRPr="007A1BBF" w:rsidRDefault="00A94105" w:rsidP="007A1BBF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sz w:val="18"/>
                <w:szCs w:val="18"/>
                <w:lang w:eastAsia="zh-CN"/>
              </w:rPr>
              <w:t>For the row “</w:t>
            </w:r>
            <w:r w:rsidR="007A1BBF" w:rsidRPr="007A1BBF">
              <w:rPr>
                <w:rFonts w:eastAsia="等线"/>
                <w:bCs/>
                <w:sz w:val="18"/>
                <w:szCs w:val="18"/>
                <w:lang w:eastAsia="zh-CN"/>
              </w:rPr>
              <w:t>new beam identification threshold for TRP 2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”, suggest to add the following FFS. The use case for separate thresholds is unclear.</w:t>
            </w:r>
          </w:p>
          <w:p w14:paraId="5CAC9DB8" w14:textId="77777777" w:rsidR="007A1BBF" w:rsidRDefault="007A1BBF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FA7A83C" w14:textId="623524B5" w:rsidR="007A1BBF" w:rsidRPr="00A94105" w:rsidRDefault="007A1BBF" w:rsidP="007A1BBF">
            <w:pPr>
              <w:snapToGrid w:val="0"/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</w:pPr>
            <w:r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 xml:space="preserve">FFS: whether </w:t>
            </w:r>
            <w:r w:rsidR="00A94105"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this parameter can reuse “</w:t>
            </w:r>
            <w:r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new beam identification threshold for TRP 1</w:t>
            </w:r>
            <w:r w:rsidR="00A94105"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”, i.e. same threshold for both TRPs</w:t>
            </w:r>
          </w:p>
          <w:p w14:paraId="5D71F64D" w14:textId="6AC4CC9E" w:rsidR="007A1BBF" w:rsidRDefault="007A1BBF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AEABB11" w14:textId="7D18A1AD" w:rsidR="00A94105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For the row #8 and 9, </w:t>
            </w:r>
            <w:r w:rsidR="00ED23CF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suggest to add PCI field to indicate SSB is from which cell. </w:t>
            </w:r>
          </w:p>
          <w:p w14:paraId="299029DF" w14:textId="1AA31E2A" w:rsidR="00A94105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03C0D6" w14:textId="548AB809" w:rsidR="007A1BBF" w:rsidRPr="007A1BBF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94105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resource list (including periodic CSI-RS resource configuration indexes and/or SS/PBCH block indexes</w:t>
            </w:r>
            <w:r w:rsidR="00ED23CF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ED23CF" w:rsidRPr="00ED23CF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and corresponding PCI if different from serving cell PCI</w:t>
            </w:r>
            <w:r w:rsidRPr="00A94105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) for M-TRP new beam identification set 1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B68CE6" w:rsidR="00115FC7" w:rsidRDefault="00FA3268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E8E" w14:textId="77777777" w:rsidR="00115FC7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Regarding row #5 and #6, we share similar view with QC that one threshold for both TRPs should be sufficient.</w:t>
            </w:r>
          </w:p>
          <w:p w14:paraId="0D118388" w14:textId="77777777" w:rsidR="00FA3268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  <w:p w14:paraId="0BF6A51D" w14:textId="3F758DC0" w:rsidR="00FA3268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According to preivoius agreements, we may also need to add one more resource </w:t>
            </w:r>
            <w:r w:rsidR="007279DC"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set </w:t>
            </w:r>
            <w:r w:rsid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list </w:t>
            </w:r>
            <w:r w:rsidR="007279DC"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for the 2nd CMR set for P/SP resource setting, e.g., </w:t>
            </w:r>
            <w:r w:rsidR="007279DC" w:rsidRPr="007279DC">
              <w:rPr>
                <w:rFonts w:eastAsia="等线"/>
                <w:bCs/>
                <w:i/>
                <w:sz w:val="18"/>
                <w:szCs w:val="18"/>
                <w:lang w:eastAsia="zh-CN"/>
              </w:rPr>
              <w:t>csi-RS-ResourceSetList2.</w:t>
            </w:r>
          </w:p>
          <w:p w14:paraId="02D51B3C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448280CC" w14:textId="05442068" w:rsidR="00FA3268" w:rsidRPr="007279DC" w:rsidRDefault="00FA3268" w:rsidP="00FA3268">
            <w:pPr>
              <w:rPr>
                <w:b/>
                <w:bCs/>
                <w:sz w:val="18"/>
                <w:szCs w:val="18"/>
                <w:highlight w:val="green"/>
                <w:lang w:eastAsia="x-none"/>
              </w:rPr>
            </w:pPr>
            <w:r w:rsidRPr="007279DC">
              <w:rPr>
                <w:b/>
                <w:bCs/>
                <w:sz w:val="18"/>
                <w:szCs w:val="18"/>
                <w:highlight w:val="green"/>
                <w:lang w:eastAsia="x-none"/>
              </w:rPr>
              <w:t>Agreement from RAN1#106</w:t>
            </w:r>
          </w:p>
          <w:p w14:paraId="5D93EE32" w14:textId="77777777" w:rsidR="00FA3268" w:rsidRPr="007279DC" w:rsidRDefault="00FA3268" w:rsidP="00FA3268">
            <w:pPr>
              <w:pStyle w:val="0Maintext"/>
              <w:spacing w:after="0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For aperiodic report of beam reporting option 2, </w:t>
            </w:r>
          </w:p>
          <w:p w14:paraId="0F25EE13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When associated with aperiodic resource setting, extend the existing RRC parameter </w:t>
            </w:r>
            <w:r w:rsidRPr="007279DC">
              <w:rPr>
                <w:i/>
                <w:sz w:val="18"/>
                <w:szCs w:val="18"/>
              </w:rPr>
              <w:t>CSI-AssociatedReportConfigInfo</w:t>
            </w:r>
            <w:r w:rsidRPr="007279DC">
              <w:rPr>
                <w:sz w:val="18"/>
                <w:szCs w:val="18"/>
              </w:rPr>
              <w:t xml:space="preserve"> to be configured with two CMR resource sets where each may be configured with their corresponding QCL information.</w:t>
            </w:r>
          </w:p>
          <w:p w14:paraId="3D2B16AF" w14:textId="77777777" w:rsidR="00FA3268" w:rsidRPr="007279DC" w:rsidRDefault="00FA3268" w:rsidP="00FA3268">
            <w:pPr>
              <w:pStyle w:val="ListParagraph"/>
              <w:numPr>
                <w:ilvl w:val="1"/>
                <w:numId w:val="47"/>
              </w:numPr>
              <w:snapToGri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FFS: Detailed association scheme </w:t>
            </w:r>
          </w:p>
          <w:p w14:paraId="391211DD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7279DC">
              <w:rPr>
                <w:sz w:val="18"/>
                <w:szCs w:val="18"/>
                <w:highlight w:val="yellow"/>
              </w:rPr>
              <w:t xml:space="preserve">When associated with periodic/semi-persist resource setting, the resource setting comprises two CMR resource sets. </w:t>
            </w:r>
          </w:p>
          <w:p w14:paraId="0F09348C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6F31A776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5EF25A7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CSI-ResourceConfig ::=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{</w:t>
            </w:r>
          </w:p>
          <w:p w14:paraId="1284959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csi-ResourceConfigId        CSI-ResourceConfigId,</w:t>
            </w:r>
          </w:p>
          <w:p w14:paraId="036AA077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</w:rPr>
              <w:t xml:space="preserve">    </w:t>
            </w:r>
            <w:r w:rsidRPr="007279DC">
              <w:rPr>
                <w:szCs w:val="18"/>
                <w:highlight w:val="yellow"/>
              </w:rPr>
              <w:t xml:space="preserve">csi-RS-ResourceSetList      </w:t>
            </w:r>
            <w:r w:rsidRPr="007279DC">
              <w:rPr>
                <w:color w:val="993366"/>
                <w:szCs w:val="18"/>
                <w:highlight w:val="yellow"/>
              </w:rPr>
              <w:t>CHOICE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2C9A9EF8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nzp-CSI-RS-SSB         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42D14A3D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nzp-CSI-RS-ResourceSetList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(1..maxNrofNZP-CSI-RS-ResourceSetsPerConfig))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NZP-CSI-RS-ResourceSetId</w:t>
            </w:r>
          </w:p>
          <w:p w14:paraId="7219DE33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                                                                                                              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,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656E34C6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csi-SSB-ResourceSetList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(1..maxNrofCSI-SSB-ResourceSetsPerConfig))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CSI-SSB-ResourceSetId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 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4FEB7FA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  <w:highlight w:val="yellow"/>
              </w:rPr>
              <w:t xml:space="preserve">        },</w:t>
            </w:r>
          </w:p>
          <w:p w14:paraId="188CD67A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    csi-IM-ResourceSetList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(</w:t>
            </w:r>
            <w:r w:rsidRPr="007279DC">
              <w:rPr>
                <w:color w:val="993366"/>
                <w:szCs w:val="18"/>
              </w:rPr>
              <w:t>SIZE</w:t>
            </w:r>
            <w:r w:rsidRPr="007279DC">
              <w:rPr>
                <w:szCs w:val="18"/>
              </w:rPr>
              <w:t xml:space="preserve"> (1..maxNrofCSI-IM-ResourceSetsPerConfig))</w:t>
            </w:r>
            <w:r w:rsidRPr="007279DC">
              <w:rPr>
                <w:color w:val="993366"/>
                <w:szCs w:val="18"/>
              </w:rPr>
              <w:t xml:space="preserve"> OF</w:t>
            </w:r>
            <w:r w:rsidRPr="007279DC">
              <w:rPr>
                <w:szCs w:val="18"/>
              </w:rPr>
              <w:t xml:space="preserve"> CSI-IM-ResourceSetId</w:t>
            </w:r>
          </w:p>
          <w:p w14:paraId="6E0CD19F" w14:textId="732A6E17" w:rsidR="00FA3268" w:rsidRPr="007279DC" w:rsidRDefault="00FA3268" w:rsidP="007279DC">
            <w:pPr>
              <w:pStyle w:val="PL"/>
              <w:tabs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szCs w:val="18"/>
              </w:rPr>
            </w:pPr>
            <w:r w:rsidRPr="007279DC">
              <w:rPr>
                <w:szCs w:val="18"/>
              </w:rPr>
              <w:t xml:space="preserve">    },</w:t>
            </w:r>
            <w:r w:rsidR="007279DC">
              <w:rPr>
                <w:szCs w:val="18"/>
              </w:rPr>
              <w:tab/>
            </w:r>
            <w:r w:rsidR="007279DC">
              <w:rPr>
                <w:szCs w:val="18"/>
              </w:rPr>
              <w:tab/>
            </w:r>
          </w:p>
          <w:p w14:paraId="7CD2AFA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</w:p>
          <w:p w14:paraId="39A9934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bwp-Id                      BWP-Id,</w:t>
            </w:r>
          </w:p>
          <w:p w14:paraId="3983DD24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resourceType                </w:t>
            </w:r>
            <w:r w:rsidRPr="007279DC">
              <w:rPr>
                <w:color w:val="993366"/>
                <w:szCs w:val="18"/>
              </w:rPr>
              <w:t>ENUMERATED</w:t>
            </w:r>
            <w:r w:rsidRPr="007279DC">
              <w:rPr>
                <w:szCs w:val="18"/>
              </w:rPr>
              <w:t xml:space="preserve"> { aperiodic, semiPersistent, periodic },</w:t>
            </w:r>
          </w:p>
          <w:p w14:paraId="12C7797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...</w:t>
            </w:r>
          </w:p>
          <w:p w14:paraId="098B4D02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>}</w:t>
            </w:r>
          </w:p>
          <w:p w14:paraId="3981367E" w14:textId="7A52F269" w:rsidR="00FA3268" w:rsidRPr="00FA3268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45253F2" w:rsidR="00534802" w:rsidRDefault="00410E96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1E8E4CC0" w:rsidR="009443D3" w:rsidRPr="009443D3" w:rsidRDefault="00410E96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new IE shall be added to indicate the configuration of per-TRP BFR on one BWP, similar to the “</w:t>
            </w:r>
            <w:r w:rsidRPr="00410E96">
              <w:rPr>
                <w:i/>
                <w:iCs/>
              </w:rPr>
              <w:t>BeamFailureRecoverySCellConfig-r16</w:t>
            </w:r>
            <w:r>
              <w:rPr>
                <w:sz w:val="20"/>
                <w:szCs w:val="20"/>
              </w:rPr>
              <w:t>” for SCell BFR in rel16</w:t>
            </w: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30389486" w:rsidR="009851BC" w:rsidRDefault="005527D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lastRenderedPageBreak/>
              <w:t>L</w:t>
            </w:r>
            <w:r>
              <w:rPr>
                <w:rFonts w:eastAsia="宋体"/>
                <w:sz w:val="18"/>
                <w:szCs w:val="18"/>
                <w:lang w:eastAsia="zh-CN"/>
              </w:rPr>
              <w:t>enovo/MotM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03923923" w:rsidR="009851BC" w:rsidRDefault="005527DA" w:rsidP="009851BC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share same view with QC that one threshold for both TRPs is </w:t>
            </w: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 If different thresholds for different TRPs is supported, then an agreement related to this should be made first. However, there is no such agreement yet.</w:t>
            </w: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3722BE2E" w:rsidR="00EA1C32" w:rsidRPr="00A07D4C" w:rsidRDefault="00A07D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 w:rsidRPr="00A07D4C">
              <w:rPr>
                <w:rFonts w:eastAsia="等线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8621" w14:textId="0FA0D4C2" w:rsid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 xml:space="preserve">Regarding QC’s comment, we do not have strong preference, and separate or common threshold </w:t>
            </w:r>
            <w:r w:rsidR="00016465">
              <w:rPr>
                <w:rFonts w:eastAsia="微软雅黑"/>
                <w:sz w:val="18"/>
                <w:szCs w:val="18"/>
                <w:lang w:val="en-GB"/>
              </w:rPr>
              <w:t>may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 not </w:t>
            </w:r>
            <w:r w:rsidR="00016465">
              <w:rPr>
                <w:rFonts w:eastAsia="微软雅黑"/>
                <w:sz w:val="18"/>
                <w:szCs w:val="18"/>
                <w:lang w:val="en-GB"/>
              </w:rPr>
              <w:t xml:space="preserve">be </w:t>
            </w:r>
            <w:bookmarkStart w:id="0" w:name="_GoBack"/>
            <w:bookmarkEnd w:id="0"/>
            <w:r>
              <w:rPr>
                <w:rFonts w:eastAsia="微软雅黑"/>
                <w:sz w:val="18"/>
                <w:szCs w:val="18"/>
                <w:lang w:val="en-GB"/>
              </w:rPr>
              <w:t xml:space="preserve">a serious issue. </w:t>
            </w:r>
          </w:p>
          <w:p w14:paraId="4007EF65" w14:textId="261AF381" w:rsidR="00A07D4C" w:rsidRP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>Regarding issue raised by MTK, c</w:t>
            </w:r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onsidering that </w:t>
            </w:r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maxNrofNZP-CSI-RS-ResourceSetsPerConfig</w:t>
            </w:r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 = 16 and </w:t>
            </w:r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maxNrofCSI-SSB-ResourceSetsPerConfig</w:t>
            </w:r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 =1, we only need to raise the upper bound for CSI-RS resource set in 38.214, i.e., to change ‘</w:t>
            </w:r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maxNrofCSI-SSB-ResourceSetsPerConfig</w:t>
            </w:r>
            <w:r w:rsidRPr="00A07D4C">
              <w:rPr>
                <w:rFonts w:eastAsia="微软雅黑"/>
                <w:sz w:val="18"/>
                <w:szCs w:val="18"/>
                <w:lang w:val="en-GB"/>
              </w:rPr>
              <w:t>’ to 2.</w:t>
            </w:r>
          </w:p>
          <w:p w14:paraId="0B77C81E" w14:textId="77777777" w:rsidR="00A07D4C" w:rsidRPr="00A07D4C" w:rsidRDefault="00A07D4C" w:rsidP="00A07D4C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Lines="50" w:before="182" w:after="120" w:line="300" w:lineRule="auto"/>
              <w:jc w:val="both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 w:rsidRPr="00A07D4C">
              <w:rPr>
                <w:rFonts w:eastAsia="微软雅黑"/>
                <w:sz w:val="18"/>
                <w:szCs w:val="18"/>
                <w:lang w:val="en-GB"/>
              </w:rPr>
              <w:t>Note: For periodic and semi-persistent CSI Resource Settings, the number of CSI-RS Resource Sets configured is limited to S=1 in TS 38.214 Section 5.2.1.2.</w:t>
            </w:r>
          </w:p>
          <w:p w14:paraId="2612BFB2" w14:textId="73475F64" w:rsidR="00A07D4C" w:rsidRPr="00A07D4C" w:rsidRDefault="00A07D4C" w:rsidP="00A07D4C">
            <w:pPr>
              <w:pStyle w:val="NoSpacing11"/>
              <w:snapToGrid w:val="0"/>
              <w:rPr>
                <w:sz w:val="18"/>
                <w:szCs w:val="18"/>
                <w:lang w:val="en-GB"/>
              </w:rPr>
            </w:pPr>
            <w:r w:rsidRPr="00A07D4C">
              <w:rPr>
                <w:sz w:val="18"/>
                <w:szCs w:val="18"/>
                <w:lang w:val="en-GB"/>
              </w:rPr>
              <w:t>For moving forward this issue, we slightly prefer to capture this suggestion in the RRC list as what we do for Item-8.1.1 multi-beam operation.</w:t>
            </w:r>
          </w:p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2768"/>
              <w:gridCol w:w="1180"/>
              <w:gridCol w:w="447"/>
              <w:gridCol w:w="2976"/>
              <w:gridCol w:w="1984"/>
            </w:tblGrid>
            <w:tr w:rsidR="00A07D4C" w:rsidRPr="00A07D4C" w14:paraId="30596419" w14:textId="77777777" w:rsidTr="007A11CB">
              <w:trPr>
                <w:trHeight w:val="600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FDD19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maxNrofCSI-SSB-ResourceSetsPerConfig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1F4F3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existing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F0B8F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B3B66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Maximum number of CSI-SSB-Resouce set per CSI-ResourceConfig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298B5" w14:textId="77777777" w:rsidR="00A07D4C" w:rsidRPr="00A07D4C" w:rsidRDefault="00A07D4C" w:rsidP="00A07D4C">
                  <w:pPr>
                    <w:spacing w:before="120"/>
                    <w:rPr>
                      <w:rFonts w:eastAsia="Times New Roman"/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{1} is replaced by {2}</w:t>
                  </w:r>
                </w:p>
              </w:tc>
            </w:tr>
          </w:tbl>
          <w:p w14:paraId="46642193" w14:textId="003045B6" w:rsidR="00EA1C32" w:rsidRPr="00A07D4C" w:rsidRDefault="00EA1C3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EA1DC" w14:textId="77777777" w:rsidR="00A83F70" w:rsidRDefault="00A83F70">
      <w:r>
        <w:separator/>
      </w:r>
    </w:p>
  </w:endnote>
  <w:endnote w:type="continuationSeparator" w:id="0">
    <w:p w14:paraId="3E3C0953" w14:textId="77777777" w:rsidR="00A83F70" w:rsidRDefault="00A8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B7FF8" w14:textId="77777777" w:rsidR="00A83F70" w:rsidRDefault="00A83F70">
      <w:r>
        <w:rPr>
          <w:color w:val="000000"/>
        </w:rPr>
        <w:separator/>
      </w:r>
    </w:p>
  </w:footnote>
  <w:footnote w:type="continuationSeparator" w:id="0">
    <w:p w14:paraId="0F1AC6AC" w14:textId="77777777" w:rsidR="00A83F70" w:rsidRDefault="00A83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3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6"/>
  </w:num>
  <w:num w:numId="4">
    <w:abstractNumId w:val="15"/>
  </w:num>
  <w:num w:numId="5">
    <w:abstractNumId w:val="35"/>
  </w:num>
  <w:num w:numId="6">
    <w:abstractNumId w:val="10"/>
  </w:num>
  <w:num w:numId="7">
    <w:abstractNumId w:val="31"/>
  </w:num>
  <w:num w:numId="8">
    <w:abstractNumId w:val="22"/>
  </w:num>
  <w:num w:numId="9">
    <w:abstractNumId w:val="38"/>
  </w:num>
  <w:num w:numId="10">
    <w:abstractNumId w:val="33"/>
  </w:num>
  <w:num w:numId="11">
    <w:abstractNumId w:val="24"/>
  </w:num>
  <w:num w:numId="12">
    <w:abstractNumId w:val="8"/>
  </w:num>
  <w:num w:numId="13">
    <w:abstractNumId w:val="36"/>
  </w:num>
  <w:num w:numId="14">
    <w:abstractNumId w:val="26"/>
  </w:num>
  <w:num w:numId="15">
    <w:abstractNumId w:val="30"/>
  </w:num>
  <w:num w:numId="16">
    <w:abstractNumId w:val="16"/>
  </w:num>
  <w:num w:numId="17">
    <w:abstractNumId w:val="21"/>
  </w:num>
  <w:num w:numId="18">
    <w:abstractNumId w:val="45"/>
  </w:num>
  <w:num w:numId="19">
    <w:abstractNumId w:val="40"/>
  </w:num>
  <w:num w:numId="20">
    <w:abstractNumId w:val="43"/>
  </w:num>
  <w:num w:numId="21">
    <w:abstractNumId w:val="13"/>
  </w:num>
  <w:num w:numId="22">
    <w:abstractNumId w:val="12"/>
  </w:num>
  <w:num w:numId="23">
    <w:abstractNumId w:val="39"/>
  </w:num>
  <w:num w:numId="24">
    <w:abstractNumId w:val="0"/>
  </w:num>
  <w:num w:numId="25">
    <w:abstractNumId w:val="44"/>
  </w:num>
  <w:num w:numId="26">
    <w:abstractNumId w:val="5"/>
  </w:num>
  <w:num w:numId="27">
    <w:abstractNumId w:val="19"/>
  </w:num>
  <w:num w:numId="28">
    <w:abstractNumId w:val="1"/>
  </w:num>
  <w:num w:numId="29">
    <w:abstractNumId w:val="37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41"/>
  </w:num>
  <w:num w:numId="36">
    <w:abstractNumId w:val="23"/>
  </w:num>
  <w:num w:numId="37">
    <w:abstractNumId w:val="46"/>
  </w:num>
  <w:num w:numId="38">
    <w:abstractNumId w:val="4"/>
  </w:num>
  <w:num w:numId="39">
    <w:abstractNumId w:val="25"/>
  </w:num>
  <w:num w:numId="40">
    <w:abstractNumId w:val="28"/>
  </w:num>
  <w:num w:numId="41">
    <w:abstractNumId w:val="14"/>
  </w:num>
  <w:num w:numId="42">
    <w:abstractNumId w:val="17"/>
  </w:num>
  <w:num w:numId="43">
    <w:abstractNumId w:val="32"/>
  </w:num>
  <w:num w:numId="44">
    <w:abstractNumId w:val="13"/>
  </w:num>
  <w:num w:numId="45">
    <w:abstractNumId w:val="20"/>
  </w:num>
  <w:num w:numId="46">
    <w:abstractNumId w:val="29"/>
  </w:num>
  <w:num w:numId="47">
    <w:abstractNumId w:val="27"/>
  </w:num>
  <w:num w:numId="48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279DC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,列表段"/>
    <w:basedOn w:val="Normal"/>
    <w:link w:val="ListParagraphChar"/>
    <w:uiPriority w:val="99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qFormat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宋体" w:eastAsia="宋体" w:hAnsi="宋体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7C14-D412-46DD-AAC8-5E7AB547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ZTE-Bo</cp:lastModifiedBy>
  <cp:revision>2</cp:revision>
  <dcterms:created xsi:type="dcterms:W3CDTF">2021-10-13T03:58:00Z</dcterms:created>
  <dcterms:modified xsi:type="dcterms:W3CDTF">2021-10-13T03:58:00Z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