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/RRC</w:t>
      </w:r>
      <w:r w:rsidR="00B05CE4">
        <w:rPr>
          <w:sz w:val="20"/>
          <w:szCs w:val="20"/>
        </w:rPr>
        <w:t xml:space="preserve">  parameters</w:t>
      </w:r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DE37B1" w14:paraId="6B708C1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等线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等线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等线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等线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等线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According to </w:t>
            </w:r>
            <w:proofErr w:type="spellStart"/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preivoius</w:t>
            </w:r>
            <w:proofErr w:type="spellEnd"/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 agreements, we may also need to add one more resource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等线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等线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</w:t>
            </w:r>
            <w:proofErr w:type="spellStart"/>
            <w:r w:rsidRPr="007279DC">
              <w:rPr>
                <w:i/>
                <w:sz w:val="18"/>
                <w:szCs w:val="18"/>
              </w:rPr>
              <w:t>AssociatedReportConfigInfo</w:t>
            </w:r>
            <w:proofErr w:type="spellEnd"/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a3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 xml:space="preserve">When associated with periodic/semi-persist resource setting, the resource setting comprises two CMR resource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BeamFailureRecoverySCellConfig-r16</w:t>
            </w:r>
            <w:r>
              <w:rPr>
                <w:sz w:val="20"/>
                <w:szCs w:val="20"/>
              </w:rPr>
              <w:t>” for SCell BFR in rel16</w:t>
            </w:r>
          </w:p>
        </w:tc>
      </w:tr>
      <w:tr w:rsidR="009851BC" w14:paraId="566B7E99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宋体"/>
                <w:sz w:val="18"/>
                <w:szCs w:val="18"/>
                <w:lang w:eastAsia="zh-CN"/>
              </w:rPr>
              <w:t>enovo/</w:t>
            </w:r>
            <w:proofErr w:type="spellStart"/>
            <w:r>
              <w:rPr>
                <w:rFonts w:eastAsia="宋体"/>
                <w:sz w:val="18"/>
                <w:szCs w:val="18"/>
                <w:lang w:eastAsia="zh-CN"/>
              </w:rPr>
              <w:t>MotM</w:t>
            </w:r>
            <w:proofErr w:type="spellEnd"/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rFonts w:hint="eastAsia"/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等线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 If different thresholds for different TRPs is supported, then an agreement related to this should be made first. However, there is no such agreement yet.</w:t>
            </w:r>
          </w:p>
        </w:tc>
      </w:tr>
      <w:tr w:rsidR="00EA1C32" w14:paraId="0A68F0A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13F14B52" w:rsidR="00EA1C32" w:rsidRDefault="00EA1C3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42193" w14:textId="77777777" w:rsidR="00EA1C32" w:rsidRPr="00565AE4" w:rsidRDefault="00EA1C3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6BC65ECD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79B76" w14:textId="77777777" w:rsidR="00E626F8" w:rsidRDefault="00E626F8">
      <w:r>
        <w:separator/>
      </w:r>
    </w:p>
  </w:endnote>
  <w:endnote w:type="continuationSeparator" w:id="0">
    <w:p w14:paraId="2B2586BD" w14:textId="77777777" w:rsidR="00E626F8" w:rsidRDefault="00E6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86024" w14:textId="77777777" w:rsidR="00E626F8" w:rsidRDefault="00E626F8">
      <w:r>
        <w:rPr>
          <w:color w:val="000000"/>
        </w:rPr>
        <w:separator/>
      </w:r>
    </w:p>
  </w:footnote>
  <w:footnote w:type="continuationSeparator" w:id="0">
    <w:p w14:paraId="2A0323CF" w14:textId="77777777" w:rsidR="00E626F8" w:rsidRDefault="00E6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0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9"/>
  </w:num>
  <w:num w:numId="3">
    <w:abstractNumId w:val="6"/>
  </w:num>
  <w:num w:numId="4">
    <w:abstractNumId w:val="15"/>
  </w:num>
  <w:num w:numId="5">
    <w:abstractNumId w:val="34"/>
  </w:num>
  <w:num w:numId="6">
    <w:abstractNumId w:val="10"/>
  </w:num>
  <w:num w:numId="7">
    <w:abstractNumId w:val="31"/>
  </w:num>
  <w:num w:numId="8">
    <w:abstractNumId w:val="22"/>
  </w:num>
  <w:num w:numId="9">
    <w:abstractNumId w:val="37"/>
  </w:num>
  <w:num w:numId="10">
    <w:abstractNumId w:val="33"/>
  </w:num>
  <w:num w:numId="11">
    <w:abstractNumId w:val="24"/>
  </w:num>
  <w:num w:numId="12">
    <w:abstractNumId w:val="8"/>
  </w:num>
  <w:num w:numId="13">
    <w:abstractNumId w:val="35"/>
  </w:num>
  <w:num w:numId="14">
    <w:abstractNumId w:val="26"/>
  </w:num>
  <w:num w:numId="15">
    <w:abstractNumId w:val="30"/>
  </w:num>
  <w:num w:numId="16">
    <w:abstractNumId w:val="16"/>
  </w:num>
  <w:num w:numId="17">
    <w:abstractNumId w:val="21"/>
  </w:num>
  <w:num w:numId="18">
    <w:abstractNumId w:val="44"/>
  </w:num>
  <w:num w:numId="19">
    <w:abstractNumId w:val="39"/>
  </w:num>
  <w:num w:numId="20">
    <w:abstractNumId w:val="42"/>
  </w:num>
  <w:num w:numId="21">
    <w:abstractNumId w:val="13"/>
  </w:num>
  <w:num w:numId="22">
    <w:abstractNumId w:val="12"/>
  </w:num>
  <w:num w:numId="23">
    <w:abstractNumId w:val="38"/>
  </w:num>
  <w:num w:numId="24">
    <w:abstractNumId w:val="0"/>
  </w:num>
  <w:num w:numId="25">
    <w:abstractNumId w:val="43"/>
  </w:num>
  <w:num w:numId="26">
    <w:abstractNumId w:val="5"/>
  </w:num>
  <w:num w:numId="27">
    <w:abstractNumId w:val="19"/>
  </w:num>
  <w:num w:numId="28">
    <w:abstractNumId w:val="1"/>
  </w:num>
  <w:num w:numId="29">
    <w:abstractNumId w:val="36"/>
  </w:num>
  <w:num w:numId="30">
    <w:abstractNumId w:val="18"/>
  </w:num>
  <w:num w:numId="31">
    <w:abstractNumId w:val="2"/>
  </w:num>
  <w:num w:numId="32">
    <w:abstractNumId w:val="3"/>
  </w:num>
  <w:num w:numId="33">
    <w:abstractNumId w:val="7"/>
  </w:num>
  <w:num w:numId="34">
    <w:abstractNumId w:val="11"/>
  </w:num>
  <w:num w:numId="35">
    <w:abstractNumId w:val="40"/>
  </w:num>
  <w:num w:numId="36">
    <w:abstractNumId w:val="23"/>
  </w:num>
  <w:num w:numId="37">
    <w:abstractNumId w:val="45"/>
  </w:num>
  <w:num w:numId="38">
    <w:abstractNumId w:val="4"/>
  </w:num>
  <w:num w:numId="39">
    <w:abstractNumId w:val="25"/>
  </w:num>
  <w:num w:numId="40">
    <w:abstractNumId w:val="28"/>
  </w:num>
  <w:num w:numId="41">
    <w:abstractNumId w:val="14"/>
  </w:num>
  <w:num w:numId="42">
    <w:abstractNumId w:val="17"/>
  </w:num>
  <w:num w:numId="43">
    <w:abstractNumId w:val="32"/>
  </w:num>
  <w:num w:numId="44">
    <w:abstractNumId w:val="13"/>
  </w:num>
  <w:num w:numId="45">
    <w:abstractNumId w:val="20"/>
  </w:num>
  <w:num w:numId="46">
    <w:abstractNumId w:val="29"/>
  </w:num>
  <w:num w:numId="47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0EDDD4B8-A9E7-475F-88A0-ED975F78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出段落,リスト段落,列表段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qFormat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6B26-04DC-4619-86FB-43D55DFD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Wei Wei1 Ling</cp:lastModifiedBy>
  <cp:revision>2</cp:revision>
  <dcterms:created xsi:type="dcterms:W3CDTF">2021-10-13T02:11:00Z</dcterms:created>
  <dcterms:modified xsi:type="dcterms:W3CDTF">2021-10-13T02:11:00Z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