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2E13" w14:textId="77777777" w:rsidR="00226334" w:rsidRDefault="00226334">
      <w:pPr>
        <w:snapToGrid w:val="0"/>
        <w:rPr>
          <w:rFonts w:ascii="Arial" w:hAnsi="Arial" w:cs="Arial"/>
          <w:b/>
          <w:bCs/>
          <w:lang w:val="de-DE"/>
        </w:rPr>
      </w:pPr>
    </w:p>
    <w:p w14:paraId="60F86871" w14:textId="77777777" w:rsidR="00226334" w:rsidRDefault="00226334">
      <w:pPr>
        <w:pStyle w:val="Heading2"/>
        <w:rPr>
          <w:rFonts w:eastAsiaTheme="minorEastAsia"/>
          <w:b/>
          <w:sz w:val="16"/>
          <w:szCs w:val="16"/>
        </w:rPr>
      </w:pPr>
    </w:p>
    <w:p w14:paraId="34CB9337" w14:textId="77777777" w:rsidR="00226334" w:rsidRDefault="00226334"/>
    <w:p w14:paraId="00DB687F" w14:textId="77777777" w:rsidR="00226334" w:rsidRDefault="0096364C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Companies are to share their inputs on the excel spreadsheet in /</w:t>
      </w:r>
      <w:proofErr w:type="spellStart"/>
      <w:r>
        <w:rPr>
          <w:sz w:val="20"/>
          <w:szCs w:val="20"/>
        </w:rPr>
        <w:t>tsg_ran</w:t>
      </w:r>
      <w:proofErr w:type="spellEnd"/>
      <w:r>
        <w:rPr>
          <w:sz w:val="20"/>
          <w:szCs w:val="20"/>
        </w:rPr>
        <w:t>/WG1_RL1/TSGR1_106b-e/Inbox/drafts/8.1.2.2/</w:t>
      </w:r>
      <w:proofErr w:type="gramStart"/>
      <w:r>
        <w:rPr>
          <w:sz w:val="20"/>
          <w:szCs w:val="20"/>
        </w:rPr>
        <w:t>RRC  parameters</w:t>
      </w:r>
      <w:proofErr w:type="gramEnd"/>
      <w:r>
        <w:rPr>
          <w:sz w:val="20"/>
          <w:szCs w:val="20"/>
        </w:rPr>
        <w:t>/ herein.</w:t>
      </w:r>
    </w:p>
    <w:p w14:paraId="7C44767F" w14:textId="77777777" w:rsidR="00226334" w:rsidRDefault="00226334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6982E657" w14:textId="77777777" w:rsidR="00226334" w:rsidRDefault="0096364C">
      <w:pPr>
        <w:pStyle w:val="Heading2"/>
        <w:numPr>
          <w:ilvl w:val="0"/>
          <w:numId w:val="5"/>
        </w:numPr>
      </w:pPr>
      <w:r>
        <w:t>Inputs on version 00</w:t>
      </w:r>
    </w:p>
    <w:p w14:paraId="5DCB74E4" w14:textId="77777777" w:rsidR="00226334" w:rsidRDefault="0096364C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61502E23" w14:textId="77777777" w:rsidR="00226334" w:rsidRDefault="00226334">
      <w:pPr>
        <w:snapToGrid w:val="0"/>
        <w:jc w:val="both"/>
        <w:rPr>
          <w:sz w:val="20"/>
          <w:szCs w:val="20"/>
        </w:rPr>
      </w:pPr>
    </w:p>
    <w:p w14:paraId="5C06D05A" w14:textId="77777777" w:rsidR="00226334" w:rsidRDefault="00226334">
      <w:pPr>
        <w:snapToGrid w:val="0"/>
        <w:jc w:val="both"/>
        <w:rPr>
          <w:sz w:val="18"/>
          <w:szCs w:val="20"/>
        </w:rPr>
      </w:pPr>
    </w:p>
    <w:p w14:paraId="0C73EC28" w14:textId="77777777" w:rsidR="00226334" w:rsidRDefault="0096364C">
      <w:pPr>
        <w:pStyle w:val="Caption"/>
        <w:jc w:val="center"/>
      </w:pPr>
      <w:r>
        <w:t xml:space="preserve">Table 1 Inputs: Initial </w:t>
      </w:r>
      <w:r>
        <w:t>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226334" w14:paraId="06D2437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77DBE" w14:textId="77777777" w:rsidR="00226334" w:rsidRDefault="0096364C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B93E" w14:textId="77777777" w:rsidR="00226334" w:rsidRDefault="0096364C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26334" w14:paraId="649F253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3BC38" w14:textId="77777777" w:rsidR="00226334" w:rsidRDefault="0096364C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Apple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97D2" w14:textId="77777777" w:rsidR="00226334" w:rsidRDefault="0096364C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AdditionalPCIInfo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>: as commented in last meeting, we suggest we list all that we have agreed.</w:t>
            </w:r>
          </w:p>
          <w:p w14:paraId="0EB52736" w14:textId="77777777" w:rsidR="00226334" w:rsidRDefault="00226334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56AE06E0" w14:textId="77777777" w:rsidR="00226334" w:rsidRDefault="0096364C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NumberOfAdditionalPCI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>: This is not needed.</w:t>
            </w:r>
          </w:p>
          <w:p w14:paraId="6D4AAB6B" w14:textId="77777777" w:rsidR="00226334" w:rsidRDefault="00226334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226334" w14:paraId="01335E2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F790" w14:textId="77777777" w:rsidR="00226334" w:rsidRDefault="0096364C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32D1" w14:textId="77777777" w:rsidR="00226334" w:rsidRDefault="0096364C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 xml:space="preserve">Most of this is up to RAN2 design, we have already sent them the list of agreement in an LS. </w:t>
            </w:r>
            <w:proofErr w:type="gramStart"/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>So</w:t>
            </w:r>
            <w:proofErr w:type="gramEnd"/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 xml:space="preserve"> it should be clear that this is for info only and RAN2 is free to design ASN.1and include or exclude parameters.  On 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NumberOfAdditionalPCI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>it will be a value b</w:t>
            </w: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 xml:space="preserve">etween 1 and 7 and needs to be </w:t>
            </w:r>
            <w:proofErr w:type="spellStart"/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>signalled</w:t>
            </w:r>
            <w:proofErr w:type="spellEnd"/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t xml:space="preserve">. </w:t>
            </w:r>
          </w:p>
        </w:tc>
      </w:tr>
      <w:tr w:rsidR="00226334" w14:paraId="080A9F4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0364" w14:textId="77777777" w:rsidR="00226334" w:rsidRDefault="0096364C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 xml:space="preserve">Huawei, 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HiSilicon</w:t>
            </w:r>
            <w:proofErr w:type="spellEnd"/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EEB85" w14:textId="77777777" w:rsidR="00226334" w:rsidRDefault="0096364C">
            <w:pPr>
              <w:snapToGri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AdditionalPCIInfo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As RAN1 hasn’t agreed on whether the </w:t>
            </w:r>
            <w:proofErr w:type="spellStart"/>
            <w:r>
              <w:rPr>
                <w:sz w:val="20"/>
                <w:szCs w:val="20"/>
              </w:rPr>
              <w:t>previsouly</w:t>
            </w:r>
            <w:proofErr w:type="spellEnd"/>
            <w:r>
              <w:rPr>
                <w:sz w:val="20"/>
                <w:szCs w:val="20"/>
              </w:rPr>
              <w:t xml:space="preserve"> mentioned information related to SSBs with PCI different from serving cell are explicitly or implicitly provided (e.g., reusing</w:t>
            </w:r>
            <w:r>
              <w:rPr>
                <w:sz w:val="20"/>
                <w:szCs w:val="20"/>
              </w:rPr>
              <w:t xml:space="preserve"> those in configured MO) to UE and the specific design is </w:t>
            </w:r>
            <w:proofErr w:type="gramStart"/>
            <w:r>
              <w:rPr>
                <w:sz w:val="20"/>
                <w:szCs w:val="20"/>
              </w:rPr>
              <w:t>actually up</w:t>
            </w:r>
            <w:proofErr w:type="gramEnd"/>
            <w:r>
              <w:rPr>
                <w:sz w:val="20"/>
                <w:szCs w:val="20"/>
              </w:rPr>
              <w:t xml:space="preserve"> to RAN2, we suggest putting this parameter in brackets.</w:t>
            </w:r>
          </w:p>
          <w:p w14:paraId="491E2AA4" w14:textId="77777777" w:rsidR="00226334" w:rsidRDefault="00226334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556A527" w14:textId="77777777" w:rsidR="00226334" w:rsidRDefault="0096364C">
            <w:pPr>
              <w:snapToGrid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NumberOfAdditionalPCI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We are not sure if this is really needed. Note that this is RRC parameter, not UE feature. </w:t>
            </w:r>
            <w:proofErr w:type="gramStart"/>
            <w:r>
              <w:rPr>
                <w:sz w:val="18"/>
                <w:szCs w:val="18"/>
              </w:rPr>
              <w:t>As long as</w:t>
            </w:r>
            <w:proofErr w:type="gramEnd"/>
            <w:r>
              <w:rPr>
                <w:sz w:val="18"/>
                <w:szCs w:val="18"/>
              </w:rPr>
              <w:t xml:space="preserve"> PCI </w:t>
            </w:r>
            <w:r>
              <w:rPr>
                <w:sz w:val="18"/>
                <w:szCs w:val="18"/>
              </w:rPr>
              <w:t xml:space="preserve">different from serving cell is somehow signaled to UE (also left to RAN2), the UE know how many PCI(s) different from serving cell are configured. We haven’t </w:t>
            </w:r>
            <w:proofErr w:type="spellStart"/>
            <w:r>
              <w:rPr>
                <w:sz w:val="18"/>
                <w:szCs w:val="18"/>
              </w:rPr>
              <w:t>idenfitied</w:t>
            </w:r>
            <w:proofErr w:type="spellEnd"/>
            <w:r>
              <w:rPr>
                <w:sz w:val="18"/>
                <w:szCs w:val="18"/>
              </w:rPr>
              <w:t xml:space="preserve"> the need to explicitly indicate the number of PCIs different from serving cell. </w:t>
            </w:r>
          </w:p>
        </w:tc>
      </w:tr>
      <w:tr w:rsidR="00226334" w14:paraId="484D448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9BDE" w14:textId="77777777" w:rsidR="00226334" w:rsidRDefault="0096364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QC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454EA" w14:textId="77777777" w:rsidR="00226334" w:rsidRDefault="00226334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1B7A5081" w14:textId="77777777" w:rsidR="00226334" w:rsidRDefault="0096364C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NumberOfAdditionalPCI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>: We do not think this is needed. The number may not need to be configured as a RRC parameter.</w:t>
            </w:r>
          </w:p>
          <w:p w14:paraId="3E6F20E2" w14:textId="77777777" w:rsidR="00226334" w:rsidRDefault="00226334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226334" w14:paraId="4E3AC120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0BB8" w14:textId="77777777" w:rsidR="00226334" w:rsidRDefault="0096364C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ZTE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6469" w14:textId="77777777" w:rsidR="00226334" w:rsidRDefault="0096364C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 xml:space="preserve">We are okay with both 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AdditionalPCIInfo</w:t>
            </w:r>
            <w:proofErr w:type="spellEnd"/>
            <w:r>
              <w:rPr>
                <w:rFonts w:eastAsia="DengXian" w:hint="eastAsia"/>
                <w:sz w:val="18"/>
                <w:szCs w:val="18"/>
                <w:lang w:eastAsia="zh-CN"/>
              </w:rPr>
              <w:t xml:space="preserve"> and 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NumberOfAdditionalPCI</w:t>
            </w:r>
            <w:proofErr w:type="spellEnd"/>
            <w:r>
              <w:rPr>
                <w:rFonts w:eastAsia="DengXian" w:hint="eastAsia"/>
                <w:sz w:val="18"/>
                <w:szCs w:val="18"/>
                <w:lang w:eastAsia="zh-CN"/>
              </w:rPr>
              <w:t>.</w:t>
            </w:r>
          </w:p>
          <w:p w14:paraId="1DD216CB" w14:textId="77777777" w:rsidR="00226334" w:rsidRDefault="00226334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1FC12CF6" w14:textId="77777777" w:rsidR="00226334" w:rsidRDefault="0096364C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 xml:space="preserve">We suggest </w:t>
            </w:r>
            <w:proofErr w:type="gramStart"/>
            <w:r>
              <w:rPr>
                <w:rFonts w:eastAsia="DengXian" w:hint="eastAsia"/>
                <w:sz w:val="18"/>
                <w:szCs w:val="18"/>
                <w:lang w:eastAsia="zh-CN"/>
              </w:rPr>
              <w:t>to add</w:t>
            </w:r>
            <w:proofErr w:type="gramEnd"/>
            <w:r>
              <w:rPr>
                <w:rFonts w:eastAsia="DengXian" w:hint="eastAsia"/>
                <w:sz w:val="18"/>
                <w:szCs w:val="18"/>
                <w:lang w:eastAsia="zh-CN"/>
              </w:rPr>
              <w:t xml:space="preserve"> one parameter of the new </w:t>
            </w:r>
            <w:r>
              <w:rPr>
                <w:rFonts w:eastAsia="DengXian" w:hint="eastAsia"/>
                <w:sz w:val="18"/>
                <w:szCs w:val="18"/>
                <w:lang w:eastAsia="zh-CN"/>
              </w:rPr>
              <w:t>indicator/</w:t>
            </w:r>
            <w:proofErr w:type="spellStart"/>
            <w:r>
              <w:rPr>
                <w:rFonts w:eastAsia="DengXian" w:hint="eastAsia"/>
                <w:sz w:val="18"/>
                <w:szCs w:val="18"/>
                <w:lang w:eastAsia="zh-CN"/>
              </w:rPr>
              <w:t>signalling</w:t>
            </w:r>
            <w:proofErr w:type="spellEnd"/>
            <w:r>
              <w:rPr>
                <w:rFonts w:eastAsia="DengXian" w:hint="eastAsia"/>
                <w:sz w:val="18"/>
                <w:szCs w:val="18"/>
                <w:lang w:eastAsia="zh-CN"/>
              </w:rPr>
              <w:t xml:space="preserve"> as we have agreed in</w:t>
            </w:r>
            <w:r>
              <w:rPr>
                <w:rFonts w:eastAsia="DengXian" w:hint="eastAsia"/>
                <w:sz w:val="18"/>
                <w:szCs w:val="18"/>
                <w:lang w:eastAsia="zh-CN"/>
              </w:rPr>
              <w:t xml:space="preserve"> #106-e.</w:t>
            </w:r>
          </w:p>
          <w:p w14:paraId="50E68A38" w14:textId="77777777" w:rsidR="00226334" w:rsidRDefault="0096364C">
            <w:pPr>
              <w:snapToGrid w:val="0"/>
              <w:jc w:val="both"/>
              <w:rPr>
                <w:rFonts w:eastAsia="DengXian"/>
                <w:sz w:val="13"/>
                <w:szCs w:val="13"/>
                <w:lang w:eastAsia="zh-CN"/>
              </w:rPr>
            </w:pPr>
            <w:r>
              <w:rPr>
                <w:rFonts w:ascii="Calibri" w:hAnsi="Calibri" w:cs="Calibri"/>
                <w:b/>
                <w:sz w:val="18"/>
                <w:szCs w:val="21"/>
                <w:highlight w:val="green"/>
              </w:rPr>
              <w:t>Agreement</w:t>
            </w:r>
          </w:p>
          <w:p w14:paraId="375170AB" w14:textId="77777777" w:rsidR="00226334" w:rsidRDefault="0096364C">
            <w:pPr>
              <w:tabs>
                <w:tab w:val="left" w:pos="720"/>
                <w:tab w:val="left" w:pos="1440"/>
              </w:tabs>
              <w:rPr>
                <w:rFonts w:ascii="Calibri" w:hAnsi="Calibri" w:cs="Calibri"/>
                <w:sz w:val="18"/>
                <w:szCs w:val="21"/>
              </w:rPr>
            </w:pPr>
            <w:bookmarkStart w:id="0" w:name="OLE_LINK10"/>
            <w:r>
              <w:rPr>
                <w:rFonts w:ascii="Calibri" w:hAnsi="Calibri" w:cs="Calibri"/>
                <w:sz w:val="18"/>
                <w:szCs w:val="21"/>
              </w:rPr>
              <w:t>Introduce a new RRC indicator/</w:t>
            </w:r>
            <w:proofErr w:type="spellStart"/>
            <w:r>
              <w:rPr>
                <w:rFonts w:ascii="Calibri" w:hAnsi="Calibri" w:cs="Calibri"/>
                <w:sz w:val="18"/>
                <w:szCs w:val="21"/>
              </w:rPr>
              <w:t>signalling</w:t>
            </w:r>
            <w:proofErr w:type="spellEnd"/>
            <w:r>
              <w:rPr>
                <w:rFonts w:ascii="Calibri" w:hAnsi="Calibri" w:cs="Calibri"/>
                <w:sz w:val="18"/>
                <w:szCs w:val="21"/>
              </w:rPr>
              <w:t xml:space="preserve"> (e.g., re-index the non-serving cell) to indicate the non-serving cell information that a TCI state/QCL information is associated with,</w:t>
            </w:r>
            <w:r>
              <w:rPr>
                <w:rFonts w:ascii="Calibri" w:hAnsi="Calibri" w:cs="Calibri"/>
                <w:sz w:val="18"/>
                <w:szCs w:val="21"/>
              </w:rPr>
              <w:t xml:space="preserve"> where the new indic</w:t>
            </w:r>
            <w:r>
              <w:rPr>
                <w:rFonts w:ascii="Calibri" w:hAnsi="Calibri" w:cs="Calibri"/>
                <w:sz w:val="18"/>
                <w:szCs w:val="21"/>
              </w:rPr>
              <w:t>ator/signaling is not the exact PCI value</w:t>
            </w:r>
          </w:p>
          <w:p w14:paraId="4A5C204B" w14:textId="77777777" w:rsidR="00226334" w:rsidRDefault="0096364C">
            <w:pPr>
              <w:numPr>
                <w:ilvl w:val="0"/>
                <w:numId w:val="6"/>
              </w:numPr>
              <w:snapToGrid w:val="0"/>
              <w:jc w:val="both"/>
              <w:rPr>
                <w:rFonts w:eastAsia="DengXian"/>
                <w:sz w:val="13"/>
                <w:szCs w:val="13"/>
                <w:lang w:eastAsia="zh-CN"/>
              </w:rPr>
            </w:pPr>
            <w:r>
              <w:rPr>
                <w:rFonts w:ascii="Calibri" w:hAnsi="Calibri" w:cs="Calibri"/>
                <w:sz w:val="18"/>
                <w:szCs w:val="21"/>
              </w:rPr>
              <w:t xml:space="preserve">Detailed </w:t>
            </w:r>
            <w:proofErr w:type="spellStart"/>
            <w:r>
              <w:rPr>
                <w:rFonts w:ascii="Calibri" w:hAnsi="Calibri" w:cs="Calibri"/>
                <w:sz w:val="18"/>
                <w:szCs w:val="21"/>
              </w:rPr>
              <w:t>signalling</w:t>
            </w:r>
            <w:proofErr w:type="spellEnd"/>
            <w:r>
              <w:rPr>
                <w:rFonts w:ascii="Calibri" w:hAnsi="Calibri" w:cs="Calibri"/>
                <w:sz w:val="18"/>
                <w:szCs w:val="21"/>
              </w:rPr>
              <w:t xml:space="preserve"> design is up to RAN2</w:t>
            </w:r>
            <w:bookmarkEnd w:id="0"/>
          </w:p>
          <w:p w14:paraId="4B4FC4B9" w14:textId="77777777" w:rsidR="00226334" w:rsidRDefault="00226334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226334" w14:paraId="632BBED0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D340" w14:textId="77D3D6F6" w:rsidR="00226334" w:rsidRDefault="008D1A93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Futurewei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C1B5" w14:textId="77777777" w:rsidR="00226334" w:rsidRDefault="008D1A93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Similar comment as Ericsson on </w:t>
            </w:r>
            <w:proofErr w:type="spellStart"/>
            <w:r w:rsidRPr="008D1A93">
              <w:rPr>
                <w:rFonts w:eastAsia="DengXian"/>
                <w:sz w:val="18"/>
                <w:szCs w:val="18"/>
              </w:rPr>
              <w:t>AdditionalPCIInfo</w:t>
            </w:r>
            <w:proofErr w:type="spellEnd"/>
            <w:r>
              <w:rPr>
                <w:rFonts w:eastAsia="DengXian"/>
                <w:sz w:val="18"/>
                <w:szCs w:val="18"/>
              </w:rPr>
              <w:t xml:space="preserve">. If RAN1 were to send this, it may be noted as an example design. </w:t>
            </w:r>
            <w:proofErr w:type="gramStart"/>
            <w:r>
              <w:rPr>
                <w:rFonts w:eastAsia="DengXian"/>
                <w:sz w:val="18"/>
                <w:szCs w:val="18"/>
              </w:rPr>
              <w:t>Also</w:t>
            </w:r>
            <w:proofErr w:type="gramEnd"/>
            <w:r>
              <w:rPr>
                <w:rFonts w:eastAsia="DengXian"/>
                <w:sz w:val="18"/>
                <w:szCs w:val="18"/>
              </w:rPr>
              <w:t xml:space="preserve"> the example design is not complete, as there are other parameters associated with the </w:t>
            </w:r>
            <w:proofErr w:type="spellStart"/>
            <w:r w:rsidRPr="008D1A93">
              <w:rPr>
                <w:rFonts w:eastAsia="DengXian"/>
                <w:sz w:val="18"/>
                <w:szCs w:val="18"/>
              </w:rPr>
              <w:t>AdditionalPCIInfo</w:t>
            </w:r>
            <w:proofErr w:type="spellEnd"/>
            <w:r>
              <w:rPr>
                <w:rFonts w:eastAsia="DengXian"/>
                <w:sz w:val="18"/>
                <w:szCs w:val="18"/>
              </w:rPr>
              <w:t>, such as SSB configuration per the following agreement:</w:t>
            </w:r>
          </w:p>
          <w:p w14:paraId="6BA802B5" w14:textId="77777777" w:rsidR="008D1A93" w:rsidRPr="008D1A93" w:rsidRDefault="008D1A93" w:rsidP="008D1A93">
            <w:pPr>
              <w:rPr>
                <w:rFonts w:cs="Times"/>
                <w:b/>
                <w:bCs/>
                <w:iCs/>
                <w:sz w:val="18"/>
                <w:szCs w:val="18"/>
                <w:highlight w:val="green"/>
                <w:lang w:eastAsia="zh-CN"/>
              </w:rPr>
            </w:pPr>
            <w:r w:rsidRPr="008D1A93">
              <w:rPr>
                <w:rFonts w:cs="Times"/>
                <w:b/>
                <w:bCs/>
                <w:iCs/>
                <w:sz w:val="18"/>
                <w:szCs w:val="18"/>
                <w:highlight w:val="green"/>
                <w:lang w:eastAsia="zh-CN"/>
              </w:rPr>
              <w:t>Agreement</w:t>
            </w:r>
          </w:p>
          <w:p w14:paraId="277CD9BC" w14:textId="77777777" w:rsidR="008D1A93" w:rsidRPr="008D1A93" w:rsidRDefault="008D1A93" w:rsidP="008D1A93">
            <w:pPr>
              <w:rPr>
                <w:rFonts w:cs="Times"/>
                <w:b/>
                <w:bCs/>
                <w:sz w:val="18"/>
                <w:szCs w:val="18"/>
              </w:rPr>
            </w:pPr>
            <w:r w:rsidRPr="008D1A93">
              <w:rPr>
                <w:rFonts w:cs="Times"/>
                <w:sz w:val="18"/>
                <w:szCs w:val="18"/>
              </w:rPr>
              <w:t xml:space="preserve">At least following non-serving cell SSB information are needed in inter-cell MTRP operation </w:t>
            </w:r>
          </w:p>
          <w:p w14:paraId="7BB9BE0F" w14:textId="77777777" w:rsidR="008D1A93" w:rsidRPr="008D1A93" w:rsidRDefault="008D1A93" w:rsidP="008D1A93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59" w:lineRule="auto"/>
              <w:contextualSpacing/>
              <w:rPr>
                <w:rFonts w:cs="Times"/>
                <w:sz w:val="18"/>
                <w:szCs w:val="18"/>
              </w:rPr>
            </w:pPr>
            <w:r w:rsidRPr="008D1A93">
              <w:rPr>
                <w:sz w:val="18"/>
                <w:szCs w:val="18"/>
              </w:rPr>
              <w:t>SSB time domain position</w:t>
            </w:r>
          </w:p>
          <w:p w14:paraId="1FBD5191" w14:textId="77777777" w:rsidR="008D1A93" w:rsidRPr="008D1A93" w:rsidRDefault="008D1A93" w:rsidP="008D1A93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59" w:lineRule="auto"/>
              <w:contextualSpacing/>
              <w:rPr>
                <w:rFonts w:cs="Times"/>
                <w:sz w:val="18"/>
                <w:szCs w:val="18"/>
              </w:rPr>
            </w:pPr>
            <w:r w:rsidRPr="008D1A93">
              <w:rPr>
                <w:sz w:val="18"/>
                <w:szCs w:val="18"/>
              </w:rPr>
              <w:t>SSB transmission periodicity</w:t>
            </w:r>
          </w:p>
          <w:p w14:paraId="5D2803EF" w14:textId="045B5432" w:rsidR="008D1A93" w:rsidRPr="008D1A93" w:rsidRDefault="008D1A93" w:rsidP="008D1A93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59" w:lineRule="auto"/>
              <w:contextualSpacing/>
              <w:rPr>
                <w:sz w:val="18"/>
                <w:szCs w:val="18"/>
              </w:rPr>
            </w:pPr>
            <w:r w:rsidRPr="008D1A93">
              <w:rPr>
                <w:sz w:val="18"/>
                <w:szCs w:val="18"/>
              </w:rPr>
              <w:t>SSB transmission power</w:t>
            </w:r>
          </w:p>
        </w:tc>
      </w:tr>
      <w:tr w:rsidR="00226334" w14:paraId="0F1EEC38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2D59" w14:textId="77777777" w:rsidR="00226334" w:rsidRDefault="00226334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C6581" w14:textId="77777777" w:rsidR="00226334" w:rsidRDefault="00226334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226334" w14:paraId="153D5FC3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8D89E" w14:textId="77777777" w:rsidR="00226334" w:rsidRDefault="00226334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E8AF" w14:textId="77777777" w:rsidR="00226334" w:rsidRDefault="00226334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226334" w14:paraId="3F730082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F7BAD" w14:textId="77777777" w:rsidR="00226334" w:rsidRDefault="00226334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92C3" w14:textId="77777777" w:rsidR="00226334" w:rsidRDefault="00226334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226334" w14:paraId="7528EEC1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4183" w14:textId="77777777" w:rsidR="00226334" w:rsidRDefault="00226334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0099" w14:textId="77777777" w:rsidR="00226334" w:rsidRDefault="00226334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226334" w14:paraId="2D4CDB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6803" w14:textId="77777777" w:rsidR="00226334" w:rsidRDefault="00226334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F0557" w14:textId="77777777" w:rsidR="00226334" w:rsidRDefault="00226334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787BA8A1" w14:textId="77777777" w:rsidR="00226334" w:rsidRDefault="00226334">
      <w:pPr>
        <w:snapToGrid w:val="0"/>
        <w:jc w:val="both"/>
        <w:rPr>
          <w:sz w:val="18"/>
          <w:szCs w:val="18"/>
        </w:rPr>
      </w:pPr>
    </w:p>
    <w:p w14:paraId="3B0129D1" w14:textId="77777777" w:rsidR="00226334" w:rsidRDefault="00226334">
      <w:pPr>
        <w:snapToGrid w:val="0"/>
        <w:jc w:val="both"/>
        <w:rPr>
          <w:sz w:val="18"/>
          <w:szCs w:val="18"/>
        </w:rPr>
      </w:pPr>
    </w:p>
    <w:p w14:paraId="36ADFE2F" w14:textId="77777777" w:rsidR="00226334" w:rsidRDefault="0096364C">
      <w:pPr>
        <w:pStyle w:val="Heading2"/>
        <w:numPr>
          <w:ilvl w:val="0"/>
          <w:numId w:val="5"/>
        </w:numPr>
      </w:pPr>
      <w:r>
        <w:t>Inputs on version xx</w:t>
      </w:r>
    </w:p>
    <w:p w14:paraId="4BFD20F3" w14:textId="77777777" w:rsidR="00226334" w:rsidRDefault="0096364C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8E5D5E1" w14:textId="77777777" w:rsidR="00226334" w:rsidRDefault="0096364C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44AFD25" w14:textId="77777777" w:rsidR="00226334" w:rsidRDefault="00226334">
      <w:pPr>
        <w:snapToGrid w:val="0"/>
        <w:jc w:val="both"/>
        <w:rPr>
          <w:sz w:val="18"/>
          <w:szCs w:val="18"/>
        </w:rPr>
      </w:pPr>
    </w:p>
    <w:p w14:paraId="3BDE3734" w14:textId="77777777" w:rsidR="00226334" w:rsidRDefault="00226334">
      <w:pPr>
        <w:snapToGrid w:val="0"/>
        <w:jc w:val="both"/>
        <w:rPr>
          <w:sz w:val="18"/>
          <w:szCs w:val="18"/>
        </w:rPr>
      </w:pPr>
    </w:p>
    <w:sectPr w:rsidR="00226334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6904E1"/>
    <w:multiLevelType w:val="singleLevel"/>
    <w:tmpl w:val="946904E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11D2C23"/>
    <w:multiLevelType w:val="multilevel"/>
    <w:tmpl w:val="111D2C23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EB265E"/>
    <w:multiLevelType w:val="multilevel"/>
    <w:tmpl w:val="14EB265E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2D0B410B"/>
    <w:multiLevelType w:val="multilevel"/>
    <w:tmpl w:val="2D0B410B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4F1D5FC1"/>
    <w:multiLevelType w:val="multilevel"/>
    <w:tmpl w:val="4F1D5F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0733F6C"/>
    <w:multiLevelType w:val="multilevel"/>
    <w:tmpl w:val="70733F6C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bordersDoNotSurroundHeader/>
  <w:bordersDoNotSurroundFooter/>
  <w:hideSpellingErrors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1F9D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789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6334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1493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580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657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658D"/>
    <w:rsid w:val="005374D0"/>
    <w:rsid w:val="005378D9"/>
    <w:rsid w:val="00540464"/>
    <w:rsid w:val="00540BB4"/>
    <w:rsid w:val="00540E6B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6F750A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3DD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1A93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18B5"/>
    <w:rsid w:val="0096364C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07F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C68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7F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8AB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9AA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176A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1422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473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6C03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  <w:rsid w:val="076E06B2"/>
    <w:rsid w:val="26CE7CA0"/>
    <w:rsid w:val="492F2643"/>
    <w:rsid w:val="6696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BC515"/>
  <w15:docId w15:val="{B1862153-C74A-447F-AE85-FBF96E2E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autoSpaceDN w:val="0"/>
      <w:spacing w:before="360" w:after="120" w:line="288" w:lineRule="auto"/>
      <w:textAlignment w:val="baseline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DocumentMap">
    <w:name w:val="Document Map"/>
    <w:basedOn w:val="Normal"/>
    <w:qFormat/>
    <w:rPr>
      <w:rFonts w:ascii="SimSun" w:eastAsia="SimSun" w:hAnsi="SimSun"/>
      <w:sz w:val="18"/>
      <w:szCs w:val="18"/>
    </w:rPr>
  </w:style>
  <w:style w:type="paragraph" w:styleId="CommentText">
    <w:name w:val="annotation text"/>
    <w:basedOn w:val="Normal"/>
    <w:qFormat/>
    <w:pPr>
      <w:spacing w:after="160"/>
    </w:pPr>
    <w:rPr>
      <w:rFonts w:eastAsia="SimSun"/>
      <w:sz w:val="20"/>
      <w:szCs w:val="20"/>
      <w:lang w:eastAsia="en-US"/>
    </w:rPr>
  </w:style>
  <w:style w:type="paragraph" w:styleId="BodyText">
    <w:name w:val="Body Text"/>
    <w:basedOn w:val="Normal"/>
    <w:qFormat/>
    <w:pPr>
      <w:spacing w:after="120"/>
    </w:pPr>
  </w:style>
  <w:style w:type="paragraph" w:styleId="BalloonText">
    <w:name w:val="Balloon Text"/>
    <w:basedOn w:val="Normal"/>
    <w:qFormat/>
    <w:rPr>
      <w:rFonts w:ascii="Segoe UI" w:eastAsia="SimSun" w:hAnsi="Segoe UI" w:cs="Segoe UI"/>
      <w:sz w:val="18"/>
      <w:szCs w:val="18"/>
      <w:lang w:eastAsia="en-US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paragraph" w:styleId="Header">
    <w:name w:val="header"/>
    <w:basedOn w:val="Normal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563C1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ListParagraph">
    <w:name w:val="List Paragraph"/>
    <w:aliases w:val="- Bullets,列出段落,リスト段落,?? ??,?????,????,Lista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"/>
    <w:basedOn w:val="Normal"/>
    <w:link w:val="ListParagraphChar"/>
    <w:uiPriority w:val="34"/>
    <w:qFormat/>
    <w:pPr>
      <w:spacing w:after="160" w:line="256" w:lineRule="auto"/>
      <w:ind w:left="720"/>
    </w:pPr>
    <w:rPr>
      <w:rFonts w:eastAsia="SimSun"/>
      <w:lang w:eastAsia="en-US"/>
    </w:rPr>
  </w:style>
  <w:style w:type="character" w:customStyle="1" w:styleId="a">
    <w:name w:val="批注文字 字符"/>
    <w:basedOn w:val="DefaultParagraphFont"/>
    <w:qFormat/>
    <w:rPr>
      <w:sz w:val="20"/>
      <w:szCs w:val="20"/>
    </w:rPr>
  </w:style>
  <w:style w:type="character" w:customStyle="1" w:styleId="a0">
    <w:name w:val="批注主题 字符"/>
    <w:basedOn w:val="a"/>
    <w:qFormat/>
    <w:rPr>
      <w:b/>
      <w:bCs/>
      <w:sz w:val="20"/>
      <w:szCs w:val="20"/>
    </w:rPr>
  </w:style>
  <w:style w:type="character" w:customStyle="1" w:styleId="a1">
    <w:name w:val="批注框文本 字符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TALChar">
    <w:name w:val="TAL Char"/>
    <w:basedOn w:val="DefaultParagraphFont"/>
    <w:rPr>
      <w:rFonts w:ascii="Arial" w:hAnsi="Arial" w:cs="Arial"/>
    </w:rPr>
  </w:style>
  <w:style w:type="paragraph" w:customStyle="1" w:styleId="TAL">
    <w:name w:val="TAL"/>
    <w:basedOn w:val="Normal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qFormat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character" w:customStyle="1" w:styleId="a2">
    <w:name w:val="页眉 字符"/>
    <w:basedOn w:val="DefaultParagraphFont"/>
    <w:qFormat/>
    <w:rPr>
      <w:sz w:val="18"/>
      <w:szCs w:val="18"/>
    </w:rPr>
  </w:style>
  <w:style w:type="character" w:customStyle="1" w:styleId="a3">
    <w:name w:val="页脚 字符"/>
    <w:basedOn w:val="DefaultParagraphFont"/>
    <w:qFormat/>
    <w:rPr>
      <w:sz w:val="18"/>
      <w:szCs w:val="18"/>
    </w:rPr>
  </w:style>
  <w:style w:type="character" w:customStyle="1" w:styleId="a4">
    <w:name w:val="列表段落 字符"/>
    <w:basedOn w:val="DefaultParagraphFont"/>
    <w:uiPriority w:val="34"/>
    <w:qFormat/>
  </w:style>
  <w:style w:type="character" w:customStyle="1" w:styleId="normaltextrun">
    <w:name w:val="normaltextrun"/>
    <w:basedOn w:val="DefaultParagraphFont"/>
    <w:qFormat/>
    <w:rPr>
      <w:rFonts w:ascii="Times New Roman" w:hAnsi="Times New Roman" w:cs="Times New Roman"/>
    </w:rPr>
  </w:style>
  <w:style w:type="character" w:customStyle="1" w:styleId="eop">
    <w:name w:val="eop"/>
    <w:basedOn w:val="DefaultParagraphFont"/>
    <w:qFormat/>
    <w:rPr>
      <w:rFonts w:ascii="Times New Roman" w:hAnsi="Times New Roman" w:cs="Times New Roman"/>
    </w:rPr>
  </w:style>
  <w:style w:type="paragraph" w:customStyle="1" w:styleId="paragraph">
    <w:name w:val="paragraph"/>
    <w:basedOn w:val="Normal"/>
    <w:qFormat/>
    <w:pPr>
      <w:spacing w:before="100" w:after="100"/>
    </w:pPr>
    <w:rPr>
      <w:rFonts w:eastAsia="Malgun Gothic"/>
      <w:lang w:eastAsia="en-US"/>
    </w:rPr>
  </w:style>
  <w:style w:type="paragraph" w:customStyle="1" w:styleId="Revision1">
    <w:name w:val="Revision1"/>
    <w:qFormat/>
    <w:pPr>
      <w:suppressAutoHyphens/>
      <w:autoSpaceDN w:val="0"/>
      <w:spacing w:after="0" w:line="240" w:lineRule="auto"/>
      <w:textAlignment w:val="baseline"/>
    </w:pPr>
    <w:rPr>
      <w:sz w:val="22"/>
      <w:szCs w:val="22"/>
      <w:lang w:eastAsia="en-US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customStyle="1" w:styleId="1">
    <w:name w:val="标题 1 字符"/>
    <w:basedOn w:val="DefaultParagraphFont"/>
    <w:qFormat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qFormat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qFormat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qFormat/>
    <w:pPr>
      <w:numPr>
        <w:numId w:val="2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qFormat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pPr>
      <w:ind w:left="1440" w:hanging="360"/>
    </w:pPr>
  </w:style>
  <w:style w:type="paragraph" w:customStyle="1" w:styleId="bullet3">
    <w:name w:val="bullet3"/>
    <w:basedOn w:val="bullet1"/>
    <w:qFormat/>
    <w:pPr>
      <w:numPr>
        <w:numId w:val="3"/>
      </w:numPr>
      <w:tabs>
        <w:tab w:val="left" w:pos="360"/>
      </w:tabs>
    </w:pPr>
  </w:style>
  <w:style w:type="character" w:customStyle="1" w:styleId="a5">
    <w:name w:val="正文文本 字符"/>
    <w:basedOn w:val="DefaultParagraphFont"/>
    <w:qFormat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qFormat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qFormat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qFormat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qFormat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qFormat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qFormat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qFormat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qFormat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qFormat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qFormat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qFormat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qFormat/>
  </w:style>
  <w:style w:type="character" w:customStyle="1" w:styleId="a7">
    <w:name w:val="清單段落 字元"/>
    <w:basedOn w:val="DefaultParagraphFont"/>
    <w:uiPriority w:val="34"/>
    <w:qFormat/>
    <w:rPr>
      <w:rFonts w:ascii="Calibri" w:hAnsi="Calibri" w:cs="Calibri"/>
    </w:rPr>
  </w:style>
  <w:style w:type="character" w:customStyle="1" w:styleId="20">
    <w:name w:val="标题 2 字符"/>
    <w:basedOn w:val="DefaultParagraphFont"/>
    <w:qFormat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qFormat/>
    <w:pPr>
      <w:suppressAutoHyphens/>
      <w:autoSpaceDN w:val="0"/>
      <w:spacing w:after="0" w:line="240" w:lineRule="auto"/>
      <w:textAlignment w:val="baseline"/>
    </w:pPr>
    <w:rPr>
      <w:rFonts w:eastAsia="PMingLiU" w:cs="Calibri"/>
      <w:sz w:val="22"/>
      <w:szCs w:val="22"/>
      <w:lang w:eastAsia="zh-TW"/>
    </w:rPr>
  </w:style>
  <w:style w:type="character" w:customStyle="1" w:styleId="3">
    <w:name w:val="标题 3 字符"/>
    <w:basedOn w:val="DefaultParagraphFont"/>
    <w:qFormat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character" w:customStyle="1" w:styleId="a8">
    <w:name w:val="文档结构图 字符"/>
    <w:basedOn w:val="DefaultParagraphFont"/>
    <w:qFormat/>
    <w:rPr>
      <w:rFonts w:ascii="SimSun" w:hAnsi="SimSun" w:cs="Calibri"/>
      <w:sz w:val="18"/>
      <w:szCs w:val="18"/>
      <w:lang w:eastAsia="zh-TW"/>
    </w:rPr>
  </w:style>
  <w:style w:type="character" w:customStyle="1" w:styleId="ListParagraphChar">
    <w:name w:val="List Paragraph Char"/>
    <w:aliases w:val="- Bullets Char,列出段落 Char,リスト段落 Char,?? ?? Char,????? Char,???? Char,Lista1 Char,中等深浅网格 1 - 着色 21 Char,¥ê¥¹¥È¶ÎÂä Char,¥¡¡¡¡ì¬º¥¹¥È¶ÎÂä Char,ÁÐ³ö¶ÎÂä Char,列表段落1 Char,—ño’i—Ž Char,1st level - Bullet List Paragraph Char,목록단락 Char"/>
    <w:basedOn w:val="DefaultParagraphFont"/>
    <w:link w:val="ListParagraph"/>
    <w:uiPriority w:val="34"/>
    <w:qFormat/>
    <w:locked/>
  </w:style>
  <w:style w:type="character" w:customStyle="1" w:styleId="apple-converted-space">
    <w:name w:val="apple-converted-space"/>
    <w:basedOn w:val="DefaultParagraphFont"/>
    <w:qFormat/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rFonts w:eastAsia="Times New Roman"/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Times New Roman" w:hAnsi="Times New Roman"/>
      <w:sz w:val="20"/>
      <w:szCs w:val="20"/>
      <w:lang w:val="zh-CN"/>
    </w:rPr>
  </w:style>
  <w:style w:type="character" w:customStyle="1" w:styleId="msoins0">
    <w:name w:val="msoins"/>
    <w:basedOn w:val="DefaultParagraphFont"/>
    <w:qFormat/>
  </w:style>
  <w:style w:type="character" w:customStyle="1" w:styleId="B2Char">
    <w:name w:val="B2 Char"/>
    <w:link w:val="B2"/>
    <w:qFormat/>
    <w:locked/>
    <w:rPr>
      <w:lang w:val="zh-CN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rFonts w:ascii="Calibri" w:hAnsi="Calibri"/>
      <w:sz w:val="22"/>
      <w:szCs w:val="22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ECD115-900A-439B-B774-82532564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JL</cp:lastModifiedBy>
  <cp:revision>2</cp:revision>
  <dcterms:created xsi:type="dcterms:W3CDTF">2021-10-19T15:50:00Z</dcterms:created>
  <dcterms:modified xsi:type="dcterms:W3CDTF">2021-10-19T15:50:00Z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  <property fmtid="{D5CDD505-2E9C-101B-9397-08002B2CF9AE}" pid="14" name="KSOProductBuildVer">
    <vt:lpwstr>2052-11.8.2.9022</vt:lpwstr>
  </property>
</Properties>
</file>