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ListParagraph"/>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NTT Docomo, Apple, Samsung, ZTE, Nokia/NSB (128 UL), Futurewei, LG (128 UL), Xiaomi, Fraunhofer IIS/HHI, Sony, Huawei,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NTT Docomo, Ericsson, Intel</w:t>
            </w:r>
            <w:r w:rsidR="00CC0601">
              <w:rPr>
                <w:color w:val="3333FF"/>
                <w:sz w:val="18"/>
                <w:lang w:val="sv-SE"/>
              </w:rPr>
              <w:t xml:space="preserve">, Qualcomm, </w:t>
            </w:r>
            <w:r w:rsidRPr="00145661">
              <w:rPr>
                <w:color w:val="3333FF"/>
                <w:sz w:val="18"/>
                <w:lang w:val="sv-SE" w:eastAsia="zh-CN"/>
              </w:rPr>
              <w:t>O</w:t>
            </w:r>
            <w:r w:rsidR="00A62FAA">
              <w:rPr>
                <w:color w:val="3333FF"/>
                <w:sz w:val="18"/>
                <w:lang w:val="sv-SE" w:eastAsia="zh-CN"/>
              </w:rPr>
              <w:t>PPO, vivo</w:t>
            </w:r>
            <w:r w:rsidR="00146D76">
              <w:rPr>
                <w:color w:val="3333FF"/>
                <w:sz w:val="18"/>
                <w:lang w:val="sv-SE" w:eastAsia="zh-CN"/>
              </w:rPr>
              <w:t>, Futurewei, Convida</w:t>
            </w:r>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NTT Docomo, Apple, Samsung, ZTE, [Nokia/NSB], Futurewei, [LG], Xiaomi, Fraunhofer IIS/HHI, Sony, Huawei,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31395A8A" w:rsidR="00401712" w:rsidRPr="00F92B18" w:rsidRDefault="00401712" w:rsidP="00380B0B">
            <w:pPr>
              <w:tabs>
                <w:tab w:val="left" w:pos="2715"/>
              </w:tabs>
              <w:snapToGrid w:val="0"/>
              <w:rPr>
                <w:sz w:val="18"/>
                <w:lang w:eastAsia="zh-CN"/>
              </w:rPr>
            </w:pPr>
            <w:r w:rsidRPr="00CA0EC2">
              <w:rPr>
                <w:b/>
                <w:sz w:val="18"/>
                <w:lang w:val="sv-SE" w:eastAsia="zh-CN"/>
              </w:rPr>
              <w:t>Concern</w:t>
            </w:r>
            <w:r>
              <w:rPr>
                <w:sz w:val="18"/>
                <w:lang w:val="sv-SE" w:eastAsia="zh-CN"/>
              </w:rPr>
              <w:t xml:space="preserve">: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w:t>
            </w:r>
            <w:proofErr w:type="gramStart"/>
            <w:r w:rsidRPr="00CA0EC2">
              <w:rPr>
                <w:rFonts w:eastAsia="Malgun Gothic"/>
                <w:color w:val="3333FF"/>
                <w:sz w:val="18"/>
              </w:rPr>
              <w:t>i.e.</w:t>
            </w:r>
            <w:proofErr w:type="gramEnd"/>
            <w:r w:rsidRPr="00CA0EC2">
              <w:rPr>
                <w:rFonts w:eastAsia="Malgun Gothic"/>
                <w:color w:val="3333FF"/>
                <w:sz w:val="18"/>
              </w:rPr>
              <w:t xml:space="preserv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2CBE47F"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(21</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ml:space="preserve">, Xiaomi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 xml:space="preserve">for DL or UL channels/signals that can share the same indicated Rel-17 TCI state as UE-dedicated reception on PDSCH/PDCCH or dynamic-grant/configured-grant based PUSCH, </w:t>
            </w:r>
            <w:proofErr w:type="gramStart"/>
            <w:r w:rsidR="000B5A90" w:rsidRPr="00C36AB1">
              <w:rPr>
                <w:sz w:val="18"/>
                <w:szCs w:val="18"/>
              </w:rPr>
              <w:t>all of</w:t>
            </w:r>
            <w:proofErr w:type="gramEnd"/>
            <w:r w:rsidR="000B5A90" w:rsidRPr="00C36AB1">
              <w:rPr>
                <w:sz w:val="18"/>
                <w:szCs w:val="18"/>
              </w:rPr>
              <w:t xml:space="preserve"> dedicated PUCCH resources (via Rel-17 MAC-CE/DCI TCI state update):</w:t>
            </w:r>
          </w:p>
          <w:p w14:paraId="1541FD37" w14:textId="779B58BD"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541C51">
              <w:rPr>
                <w:rFonts w:eastAsia="Times New Roman"/>
                <w:bCs/>
                <w:sz w:val="18"/>
                <w:szCs w:val="20"/>
              </w:rPr>
              <w:t xml:space="preserve">indicated </w:t>
            </w:r>
            <w:r w:rsidRPr="00A977F9">
              <w:rPr>
                <w:rFonts w:eastAsia="Times New Roman"/>
                <w:bCs/>
                <w:sz w:val="18"/>
                <w:szCs w:val="20"/>
              </w:rPr>
              <w:t>via RRC.</w:t>
            </w:r>
          </w:p>
          <w:p w14:paraId="1F9BDD28" w14:textId="40479F89"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w:t>
            </w:r>
            <w:proofErr w:type="gramStart"/>
            <w:r w:rsidR="0053414A" w:rsidRPr="00A977F9">
              <w:rPr>
                <w:rFonts w:eastAsia="Times New Roman"/>
                <w:bCs/>
                <w:sz w:val="18"/>
                <w:szCs w:val="20"/>
              </w:rPr>
              <w:t>all of</w:t>
            </w:r>
            <w:proofErr w:type="gramEnd"/>
            <w:r w:rsidR="0053414A" w:rsidRPr="00A977F9">
              <w:rPr>
                <w:rFonts w:eastAsia="Times New Roman"/>
                <w:bCs/>
                <w:sz w:val="18"/>
                <w:szCs w:val="20"/>
              </w:rPr>
              <w:t xml:space="preserve"> dedicated PUCCH resources (via Rel-17 MAC-CE/DCI TCI state update) is </w:t>
            </w:r>
            <w:r>
              <w:rPr>
                <w:rFonts w:eastAsia="Times New Roman"/>
                <w:bCs/>
                <w:sz w:val="18"/>
                <w:szCs w:val="20"/>
              </w:rPr>
              <w:t xml:space="preserve">indicated </w:t>
            </w:r>
            <w:r w:rsidR="0053414A"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4E88AB41" w14:textId="68A2BFEC" w:rsidR="00CA0EC2" w:rsidRDefault="00CA0EC2"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w:t>
            </w:r>
            <w:proofErr w:type="gramStart"/>
            <w:r w:rsidRPr="00CA0EC2">
              <w:rPr>
                <w:color w:val="3333FF"/>
                <w:sz w:val="18"/>
                <w:szCs w:val="18"/>
                <w:lang w:eastAsia="zh-CN"/>
              </w:rPr>
              <w:t>as long as</w:t>
            </w:r>
            <w:proofErr w:type="gramEnd"/>
            <w:r w:rsidRPr="00CA0EC2">
              <w:rPr>
                <w:color w:val="3333FF"/>
                <w:sz w:val="18"/>
                <w:szCs w:val="18"/>
                <w:lang w:eastAsia="zh-CN"/>
              </w:rPr>
              <w:t xml:space="preserve">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51C7F2AE" w:rsidR="0053414A" w:rsidRPr="00A977F9" w:rsidRDefault="0053414A" w:rsidP="00FD58F1">
            <w:pPr>
              <w:snapToGrid w:val="0"/>
              <w:rPr>
                <w:sz w:val="18"/>
                <w:szCs w:val="20"/>
              </w:rPr>
            </w:pPr>
            <w:r w:rsidRPr="00A977F9">
              <w:rPr>
                <w:b/>
                <w:sz w:val="18"/>
                <w:szCs w:val="20"/>
              </w:rPr>
              <w:t>Support/fine</w:t>
            </w:r>
            <w:r w:rsidR="00146D76">
              <w:rPr>
                <w:b/>
                <w:sz w:val="18"/>
                <w:szCs w:val="20"/>
              </w:rPr>
              <w:t xml:space="preserve"> (23</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Pr="00A977F9">
              <w:rPr>
                <w:rFonts w:eastAsia="Times New Roman"/>
                <w:sz w:val="18"/>
              </w:rPr>
              <w:t>,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w:t>
            </w:r>
            <w:proofErr w:type="spellStart"/>
            <w:r w:rsidR="00A40FAD">
              <w:rPr>
                <w:rFonts w:eastAsia="Times New Roman"/>
                <w:sz w:val="18"/>
              </w:rPr>
              <w:t>Futurewei</w:t>
            </w:r>
            <w:proofErr w:type="spellEnd"/>
            <w:r w:rsidR="00A40FAD">
              <w:rPr>
                <w:rFonts w:eastAsia="Times New Roman"/>
                <w:sz w:val="18"/>
              </w:rPr>
              <w:t xml:space="preserve">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C549F">
              <w:rPr>
                <w:color w:val="3333FF"/>
                <w:sz w:val="18"/>
                <w:lang w:val="sv-SE"/>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xml:space="preserve">, </w:t>
            </w:r>
            <w:proofErr w:type="gramStart"/>
            <w:r w:rsidRPr="00CA0EC2">
              <w:rPr>
                <w:color w:val="3333FF"/>
                <w:sz w:val="18"/>
                <w:szCs w:val="20"/>
              </w:rPr>
              <w:t>i.e.</w:t>
            </w:r>
            <w:proofErr w:type="gramEnd"/>
            <w:r w:rsidRPr="00CA0EC2">
              <w:rPr>
                <w:color w:val="3333FF"/>
                <w:sz w:val="18"/>
                <w:szCs w:val="20"/>
              </w:rPr>
              <w:t xml:space="preserv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0CC0CFE5"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ZTE (2</w:t>
            </w:r>
            <w:r w:rsidR="00D546D5" w:rsidRPr="00B662C8">
              <w:rPr>
                <w:sz w:val="18"/>
                <w:vertAlign w:val="superscript"/>
              </w:rPr>
              <w:t>nd</w:t>
            </w:r>
            <w:r w:rsidR="00D546D5" w:rsidRPr="00B662C8">
              <w:rPr>
                <w:sz w:val="18"/>
              </w:rPr>
              <w:t xml:space="preserve"> preference)</w:t>
            </w:r>
            <w:r w:rsidR="00EF0F50"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w:t>
            </w:r>
            <w:proofErr w:type="gramStart"/>
            <w:r w:rsidRPr="00CA0EC2">
              <w:rPr>
                <w:color w:val="3333FF"/>
                <w:sz w:val="18"/>
                <w:szCs w:val="20"/>
              </w:rPr>
              <w:t>a number of</w:t>
            </w:r>
            <w:proofErr w:type="gramEnd"/>
            <w:r w:rsidRPr="00CA0EC2">
              <w:rPr>
                <w:color w:val="3333FF"/>
                <w:sz w:val="18"/>
                <w:szCs w:val="20"/>
              </w:rPr>
              <w:t xml:space="preserve">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w:t>
            </w:r>
            <w:proofErr w:type="gramStart"/>
            <w:r>
              <w:rPr>
                <w:rFonts w:eastAsia="宋体"/>
                <w:sz w:val="18"/>
                <w:szCs w:val="18"/>
                <w:lang w:eastAsia="zh-CN"/>
              </w:rPr>
              <w:t>Example of implicit indication,</w:t>
            </w:r>
            <w:proofErr w:type="gramEnd"/>
            <w:r>
              <w:rPr>
                <w:rFonts w:eastAsia="宋体"/>
                <w:sz w:val="18"/>
                <w:szCs w:val="18"/>
                <w:lang w:eastAsia="zh-CN"/>
              </w:rPr>
              <w:t xml:space="preserve">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 xml:space="preserve">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 xml:space="preserve">Note: The details of this configuration </w:t>
            </w:r>
            <w:proofErr w:type="gramStart"/>
            <w:r w:rsidRPr="009E301E">
              <w:rPr>
                <w:color w:val="0000FF"/>
                <w:sz w:val="18"/>
                <w:szCs w:val="18"/>
                <w:lang w:eastAsia="zh-CN"/>
              </w:rPr>
              <w:t>is</w:t>
            </w:r>
            <w:proofErr w:type="gramEnd"/>
            <w:r w:rsidRPr="009E301E">
              <w:rPr>
                <w:color w:val="0000FF"/>
                <w:sz w:val="18"/>
                <w:szCs w:val="18"/>
                <w:lang w:eastAsia="zh-CN"/>
              </w:rPr>
              <w:t xml:space="preserve"> up to RAN2</w:t>
            </w:r>
          </w:p>
          <w:p w14:paraId="2F4E4999" w14:textId="61A5A791" w:rsidR="0055247E" w:rsidRDefault="0055247E"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 xml:space="preserve">proposal (Alt1) is technically inferior </w:t>
            </w:r>
            <w:proofErr w:type="gramStart"/>
            <w:r w:rsidR="00193D08">
              <w:rPr>
                <w:sz w:val="18"/>
                <w:szCs w:val="18"/>
                <w:lang w:eastAsia="zh-CN"/>
              </w:rPr>
              <w:t>than</w:t>
            </w:r>
            <w:proofErr w:type="gramEnd"/>
            <w:r w:rsidR="00193D08">
              <w:rPr>
                <w:sz w:val="18"/>
                <w:szCs w:val="18"/>
                <w:lang w:eastAsia="zh-CN"/>
              </w:rPr>
              <w:t xml:space="preserve">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w:t>
            </w:r>
            <w:proofErr w:type="gramStart"/>
            <w:r w:rsidR="00193D08">
              <w:rPr>
                <w:sz w:val="18"/>
                <w:szCs w:val="18"/>
                <w:lang w:eastAsia="zh-CN"/>
              </w:rPr>
              <w:t>ironically</w:t>
            </w:r>
            <w:proofErr w:type="gramEnd"/>
            <w:r w:rsidR="00193D08">
              <w:rPr>
                <w:sz w:val="18"/>
                <w:szCs w:val="18"/>
                <w:lang w:eastAsia="zh-CN"/>
              </w:rPr>
              <w:t xml:space="preserve"> we tried to avoid in Rel-16 by using MAC-CE)</w:t>
            </w:r>
            <w:r>
              <w:rPr>
                <w:sz w:val="18"/>
                <w:szCs w:val="18"/>
                <w:lang w:eastAsia="zh-CN"/>
              </w:rPr>
              <w:t>.</w:t>
            </w:r>
            <w:r w:rsidR="00193D08">
              <w:rPr>
                <w:sz w:val="18"/>
                <w:szCs w:val="18"/>
                <w:lang w:eastAsia="zh-CN"/>
              </w:rPr>
              <w:t xml:space="preserve"> It is ironic that </w:t>
            </w:r>
            <w:r w:rsidR="00193D08">
              <w:rPr>
                <w:sz w:val="18"/>
                <w:szCs w:val="18"/>
                <w:lang w:eastAsia="zh-CN"/>
              </w:rPr>
              <w:lastRenderedPageBreak/>
              <w:t xml:space="preserve">the majority view is gravitated toward Alt1 simply because of “compromise spirit” in RAN1#106-e (mentioned by, </w:t>
            </w:r>
            <w:proofErr w:type="gramStart"/>
            <w:r w:rsidR="00193D08">
              <w:rPr>
                <w:sz w:val="18"/>
                <w:szCs w:val="18"/>
                <w:lang w:eastAsia="zh-CN"/>
              </w:rPr>
              <w:t>e.g.</w:t>
            </w:r>
            <w:proofErr w:type="gramEnd"/>
            <w:r w:rsidR="00193D08">
              <w:rPr>
                <w:sz w:val="18"/>
                <w:szCs w:val="18"/>
                <w:lang w:eastAsia="zh-CN"/>
              </w:rPr>
              <w:t xml:space="preserve">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 xml:space="preserve">Having said that, unlike those </w:t>
            </w:r>
            <w:proofErr w:type="gramStart"/>
            <w:r>
              <w:rPr>
                <w:sz w:val="18"/>
                <w:szCs w:val="18"/>
                <w:lang w:eastAsia="zh-CN"/>
              </w:rPr>
              <w:t>voicing</w:t>
            </w:r>
            <w:r w:rsidR="000560A5">
              <w:rPr>
                <w:sz w:val="18"/>
                <w:szCs w:val="18"/>
                <w:lang w:eastAsia="zh-CN"/>
              </w:rPr>
              <w:t xml:space="preserve"> </w:t>
            </w:r>
            <w:r>
              <w:rPr>
                <w:sz w:val="18"/>
                <w:szCs w:val="18"/>
                <w:lang w:eastAsia="zh-CN"/>
              </w:rPr>
              <w:t>”concern</w:t>
            </w:r>
            <w:proofErr w:type="gramEnd"/>
            <w:r>
              <w:rPr>
                <w:sz w:val="18"/>
                <w:szCs w:val="18"/>
                <w:lang w:eastAsia="zh-CN"/>
              </w:rPr>
              <w:t xml:space="preserve">”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77777777" w:rsidR="0055247E" w:rsidRDefault="0055247E"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w:t>
            </w:r>
            <w:proofErr w:type="gramStart"/>
            <w:r>
              <w:rPr>
                <w:rFonts w:eastAsia="宋体"/>
                <w:sz w:val="18"/>
                <w:szCs w:val="18"/>
                <w:lang w:eastAsia="zh-CN"/>
              </w:rPr>
              <w:t>proposal, but</w:t>
            </w:r>
            <w:proofErr w:type="gramEnd"/>
            <w:r>
              <w:rPr>
                <w:rFonts w:eastAsia="宋体"/>
                <w:sz w:val="18"/>
                <w:szCs w:val="18"/>
                <w:lang w:eastAsia="zh-CN"/>
              </w:rPr>
              <w:t xml:space="preserve">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3F4E73" w:rsidP="003F4E73">
            <w:pPr>
              <w:snapToGrid w:val="0"/>
              <w:jc w:val="center"/>
              <w:rPr>
                <w:rFonts w:eastAsia="宋体"/>
                <w:sz w:val="18"/>
                <w:szCs w:val="18"/>
                <w:lang w:eastAsia="zh-CN"/>
              </w:rPr>
            </w:pPr>
            <w:r>
              <w:rPr>
                <w:rFonts w:eastAsia="宋体"/>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2pt;height:271.25pt;mso-width-percent:0;mso-height-percent:0;mso-width-percent:0;mso-height-percent:0" o:ole="">
                  <v:imagedata r:id="rId9" o:title=""/>
                </v:shape>
                <o:OLEObject Type="Embed" ProgID="Visio.Drawing.11" ShapeID="_x0000_i1025" DrawAspect="Content" ObjectID="_1696052363" r:id="rId10"/>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1DA74EA7" w14:textId="3786DEF1" w:rsidR="003F4E73" w:rsidRDefault="003F4E73"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t>
            </w:r>
            <w:proofErr w:type="gramStart"/>
            <w:r>
              <w:rPr>
                <w:sz w:val="18"/>
              </w:rPr>
              <w:t>whether or not</w:t>
            </w:r>
            <w:proofErr w:type="gramEnd"/>
            <w:r>
              <w:rPr>
                <w:sz w:val="18"/>
              </w:rPr>
              <w:t xml:space="preserve">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77777777" w:rsidR="00550C25" w:rsidRDefault="00550C25"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 xml:space="preserve">indicated TCI state by Rel-17 MAC-CE/DCI-based beam indication (e.g., signaled by RRC for the corresponding </w:t>
            </w:r>
            <w:r>
              <w:rPr>
                <w:sz w:val="18"/>
              </w:rPr>
              <w:lastRenderedPageBreak/>
              <w:t>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46DB7AAC" w:rsidR="005F5B92" w:rsidRDefault="005F5B92" w:rsidP="00AC2C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701DEB5E" w:rsidR="00914A9B" w:rsidRPr="00914A9B" w:rsidRDefault="00914A9B" w:rsidP="00AC2CE2">
            <w:pPr>
              <w:snapToGrid w:val="0"/>
              <w:rPr>
                <w:rFonts w:eastAsia="宋体"/>
                <w:sz w:val="18"/>
                <w:szCs w:val="18"/>
                <w:lang w:eastAsia="zh-CN"/>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w:t>
            </w:r>
            <w:proofErr w:type="gramStart"/>
            <w:r w:rsidRPr="00D47FF3">
              <w:rPr>
                <w:sz w:val="18"/>
                <w:szCs w:val="18"/>
              </w:rPr>
              <w:t>i.e.</w:t>
            </w:r>
            <w:proofErr w:type="gramEnd"/>
            <w:r w:rsidRPr="00D47FF3">
              <w:rPr>
                <w:sz w:val="18"/>
                <w:szCs w:val="18"/>
              </w:rPr>
              <w:t xml:space="preserv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 xml:space="preserve">When more than one SSBRI/L1-RSRP pairs associated with a same PCI are reported, Rel-15 L1-RSRP reporting format is used for pairs associated with the same PCI, </w:t>
            </w:r>
            <w:proofErr w:type="gramStart"/>
            <w:r w:rsidRPr="00D47FF3">
              <w:rPr>
                <w:sz w:val="18"/>
                <w:szCs w:val="18"/>
              </w:rPr>
              <w:t>i.e.</w:t>
            </w:r>
            <w:proofErr w:type="gramEnd"/>
            <w:r w:rsidRPr="00D47FF3">
              <w:rPr>
                <w:sz w:val="18"/>
                <w:szCs w:val="18"/>
              </w:rPr>
              <w:t xml:space="preserv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w:t>
            </w:r>
            <w:proofErr w:type="gramStart"/>
            <w:r w:rsidR="00F35817" w:rsidRPr="00F01361">
              <w:rPr>
                <w:color w:val="3333FF"/>
                <w:sz w:val="18"/>
                <w:szCs w:val="18"/>
              </w:rPr>
              <w:t>i.e.</w:t>
            </w:r>
            <w:proofErr w:type="gramEnd"/>
            <w:r w:rsidR="00F35817" w:rsidRPr="00F01361">
              <w:rPr>
                <w:color w:val="3333FF"/>
                <w:sz w:val="18"/>
                <w:szCs w:val="18"/>
              </w:rPr>
              <w:t xml:space="preserv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w:t>
            </w:r>
            <w:proofErr w:type="gramStart"/>
            <w:r w:rsidRPr="00F01361">
              <w:rPr>
                <w:color w:val="3333FF"/>
                <w:sz w:val="18"/>
                <w:szCs w:val="18"/>
              </w:rPr>
              <w:t>i.e.</w:t>
            </w:r>
            <w:proofErr w:type="gramEnd"/>
            <w:r w:rsidRPr="00F01361">
              <w:rPr>
                <w:color w:val="3333FF"/>
                <w:sz w:val="18"/>
                <w:szCs w:val="18"/>
              </w:rPr>
              <w:t xml:space="preserv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119A114" w:rsidR="00F01361" w:rsidRPr="00F01361" w:rsidRDefault="00F01361" w:rsidP="00F01361">
            <w:pPr>
              <w:snapToGrid w:val="0"/>
              <w:rPr>
                <w:sz w:val="18"/>
                <w:szCs w:val="18"/>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lastRenderedPageBreak/>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0B672E64" w:rsidR="00DA34A3" w:rsidRDefault="00DA34A3">
            <w:pPr>
              <w:snapToGrid w:val="0"/>
              <w:rPr>
                <w:sz w:val="18"/>
                <w:szCs w:val="20"/>
              </w:rPr>
            </w:pPr>
            <w:r>
              <w:rPr>
                <w:b/>
                <w:sz w:val="18"/>
                <w:szCs w:val="20"/>
              </w:rPr>
              <w:lastRenderedPageBreak/>
              <w:t xml:space="preserve">Alt0: </w:t>
            </w:r>
            <w:r w:rsidR="00F92B18">
              <w:rPr>
                <w:sz w:val="18"/>
                <w:szCs w:val="20"/>
              </w:rPr>
              <w:t>OPPO</w:t>
            </w:r>
            <w:r w:rsidR="007D11F3">
              <w:rPr>
                <w:sz w:val="18"/>
                <w:szCs w:val="20"/>
              </w:rPr>
              <w:t>, vivo</w:t>
            </w:r>
            <w:r w:rsidR="00ED15CD">
              <w:rPr>
                <w:sz w:val="18"/>
                <w:szCs w:val="20"/>
              </w:rPr>
              <w:t>, Lenovo/</w:t>
            </w:r>
            <w:proofErr w:type="spellStart"/>
            <w:r w:rsidR="00ED15CD">
              <w:rPr>
                <w:sz w:val="18"/>
                <w:szCs w:val="20"/>
              </w:rPr>
              <w:t>MotM</w:t>
            </w:r>
            <w:proofErr w:type="spellEnd"/>
            <w:r w:rsidR="000877CF">
              <w:rPr>
                <w:sz w:val="18"/>
                <w:szCs w:val="20"/>
              </w:rPr>
              <w:t>, MTK</w:t>
            </w:r>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r w:rsidR="00C959B7">
              <w:rPr>
                <w:sz w:val="18"/>
                <w:szCs w:val="20"/>
              </w:rPr>
              <w:t xml:space="preserve">, </w:t>
            </w:r>
            <w:r w:rsidR="003745D1">
              <w:rPr>
                <w:sz w:val="18"/>
                <w:szCs w:val="20"/>
              </w:rPr>
              <w:t>Xiaomi</w:t>
            </w:r>
          </w:p>
          <w:p w14:paraId="74295CED" w14:textId="03552752" w:rsidR="00DA34A3" w:rsidRPr="00BB09E3" w:rsidRDefault="005D463A" w:rsidP="00CF46B5">
            <w:pPr>
              <w:pStyle w:val="ListParagraph"/>
              <w:numPr>
                <w:ilvl w:val="0"/>
                <w:numId w:val="40"/>
              </w:numPr>
              <w:snapToGrid w:val="0"/>
              <w:rPr>
                <w:sz w:val="18"/>
                <w:szCs w:val="20"/>
              </w:rPr>
            </w:pPr>
            <w:r w:rsidRPr="00B8779C">
              <w:rPr>
                <w:sz w:val="18"/>
                <w:szCs w:val="20"/>
              </w:rPr>
              <w:t xml:space="preserve">Concern: Huawei, </w:t>
            </w:r>
            <w:proofErr w:type="spellStart"/>
            <w:r w:rsidRPr="00B8779C">
              <w:rPr>
                <w:sz w:val="18"/>
                <w:szCs w:val="20"/>
              </w:rPr>
              <w:t>HiSilicon</w:t>
            </w:r>
            <w:proofErr w:type="spellEnd"/>
            <w:r w:rsidR="003F4E73">
              <w:rPr>
                <w:sz w:val="18"/>
                <w:szCs w:val="20"/>
              </w:rPr>
              <w:t>, Samsung</w:t>
            </w:r>
          </w:p>
          <w:p w14:paraId="55EB06CB" w14:textId="628420E4"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B4AE6">
              <w:rPr>
                <w:sz w:val="18"/>
                <w:szCs w:val="20"/>
                <w:lang w:val="fi-FI"/>
              </w:rPr>
              <w:t>, Samsung</w:t>
            </w:r>
            <w:r w:rsidR="00FD272B">
              <w:rPr>
                <w:sz w:val="18"/>
                <w:szCs w:val="20"/>
                <w:lang w:val="fi-FI"/>
              </w:rPr>
              <w:t xml:space="preserve"> (</w:t>
            </w:r>
            <w:r w:rsidR="00962AF6">
              <w:rPr>
                <w:sz w:val="18"/>
                <w:szCs w:val="20"/>
                <w:lang w:val="fi-FI"/>
              </w:rPr>
              <w:t>2nd  preference</w:t>
            </w:r>
            <w:r w:rsidR="00B9540D">
              <w:rPr>
                <w:sz w:val="18"/>
                <w:szCs w:val="20"/>
                <w:lang w:val="fi-FI"/>
              </w:rPr>
              <w:t xml:space="preserve">),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490B07C2" w:rsidR="007E0FC5" w:rsidRPr="00D92654" w:rsidRDefault="00115C14" w:rsidP="00962AF6">
            <w:pPr>
              <w:snapToGrid w:val="0"/>
              <w:rPr>
                <w:sz w:val="18"/>
                <w:szCs w:val="20"/>
              </w:rPr>
            </w:pPr>
            <w:r w:rsidRPr="00115C14">
              <w:rPr>
                <w:b/>
                <w:sz w:val="18"/>
                <w:szCs w:val="20"/>
              </w:rPr>
              <w:lastRenderedPageBreak/>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xml:space="preserve">, </w:t>
            </w:r>
            <w:proofErr w:type="spellStart"/>
            <w:r w:rsidR="00AF1A64">
              <w:rPr>
                <w:sz w:val="18"/>
                <w:szCs w:val="20"/>
              </w:rPr>
              <w:t>Futurewei</w:t>
            </w:r>
            <w:proofErr w:type="spellEnd"/>
            <w:r w:rsidR="00987084">
              <w:rPr>
                <w:sz w:val="18"/>
                <w:szCs w:val="20"/>
              </w:rPr>
              <w:t xml:space="preserve">, </w:t>
            </w:r>
            <w:proofErr w:type="spellStart"/>
            <w:r w:rsidR="00987084">
              <w:rPr>
                <w:sz w:val="18"/>
                <w:szCs w:val="20"/>
              </w:rPr>
              <w:t>Spreadtrum</w:t>
            </w:r>
            <w:proofErr w:type="spellEnd"/>
            <w:r w:rsidR="00987084">
              <w:rPr>
                <w:sz w:val="18"/>
                <w:szCs w:val="20"/>
              </w:rPr>
              <w:t>, AT&amp;T</w:t>
            </w:r>
            <w:r w:rsidR="00DB5BBD">
              <w:rPr>
                <w:sz w:val="18"/>
                <w:szCs w:val="20"/>
              </w:rPr>
              <w:t>, Sony</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lastRenderedPageBreak/>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2"/>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59661984"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 xml:space="preserve">A prohibit timer is introduced to prohibit UE sends multiple L1-RSRP report MAC CEs, which is </w:t>
            </w:r>
            <w:proofErr w:type="gramStart"/>
            <w:r w:rsidRPr="00CA499E">
              <w:rPr>
                <w:rFonts w:eastAsia="Malgun Gothic"/>
                <w:bCs/>
                <w:sz w:val="18"/>
                <w:szCs w:val="20"/>
              </w:rPr>
              <w:t>similar to</w:t>
            </w:r>
            <w:proofErr w:type="gramEnd"/>
            <w:r w:rsidRPr="00CA499E">
              <w:rPr>
                <w:rFonts w:eastAsia="Malgun Gothic"/>
                <w:bCs/>
                <w:sz w:val="18"/>
                <w:szCs w:val="20"/>
              </w:rPr>
              <w:t xml:space="preserve">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77777777" w:rsidR="00584308" w:rsidRPr="00CA499E" w:rsidRDefault="00584308" w:rsidP="00584308">
            <w:pPr>
              <w:snapToGrid w:val="0"/>
              <w:jc w:val="both"/>
              <w:rPr>
                <w:sz w:val="18"/>
                <w:szCs w:val="20"/>
              </w:rPr>
            </w:pPr>
            <w:r w:rsidRPr="00CA499E">
              <w:rPr>
                <w:b/>
                <w:sz w:val="18"/>
                <w:szCs w:val="20"/>
              </w:rPr>
              <w:t>Support/fine</w:t>
            </w:r>
            <w:r w:rsidRPr="00CA499E">
              <w:rPr>
                <w:sz w:val="18"/>
                <w:szCs w:val="20"/>
              </w:rPr>
              <w:t xml:space="preserve">: Apple, NTT Docomo, ZTE, </w:t>
            </w:r>
            <w:r>
              <w:rPr>
                <w:sz w:val="18"/>
                <w:szCs w:val="20"/>
              </w:rPr>
              <w:t>Nokia/NSB, Lenovo/</w:t>
            </w:r>
            <w:proofErr w:type="spellStart"/>
            <w:r>
              <w:rPr>
                <w:sz w:val="18"/>
                <w:szCs w:val="20"/>
              </w:rPr>
              <w:t>MotM</w:t>
            </w:r>
            <w:proofErr w:type="spellEnd"/>
            <w:r>
              <w:rPr>
                <w:sz w:val="18"/>
                <w:szCs w:val="20"/>
              </w:rPr>
              <w:t xml:space="preserve"> (remove last bullet), Qualcomm, AT&amp;T, Xiaomi, Sony, Huawei, </w:t>
            </w:r>
            <w:proofErr w:type="spellStart"/>
            <w:r>
              <w:rPr>
                <w:sz w:val="18"/>
                <w:szCs w:val="20"/>
              </w:rPr>
              <w:t>HiSilicon</w:t>
            </w:r>
            <w:proofErr w:type="spellEnd"/>
          </w:p>
          <w:p w14:paraId="0C86719E" w14:textId="77777777" w:rsidR="00584308" w:rsidRPr="00CA499E" w:rsidRDefault="00584308" w:rsidP="00584308">
            <w:pPr>
              <w:snapToGrid w:val="0"/>
              <w:jc w:val="both"/>
              <w:rPr>
                <w:sz w:val="18"/>
                <w:szCs w:val="20"/>
              </w:rPr>
            </w:pPr>
          </w:p>
          <w:p w14:paraId="1CC16470" w14:textId="77777777" w:rsidR="00584308" w:rsidRPr="00CA499E" w:rsidRDefault="00584308" w:rsidP="00584308">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The UE stores the AS </w:t>
            </w:r>
            <w:proofErr w:type="gramStart"/>
            <w:r w:rsidRPr="00BB09E3">
              <w:rPr>
                <w:sz w:val="18"/>
                <w:szCs w:val="18"/>
              </w:rPr>
              <w:t>context;</w:t>
            </w:r>
            <w:proofErr w:type="gramEnd"/>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Transfer of unicast data to/from </w:t>
            </w:r>
            <w:proofErr w:type="gramStart"/>
            <w:r w:rsidRPr="00BB09E3">
              <w:rPr>
                <w:sz w:val="18"/>
                <w:szCs w:val="18"/>
              </w:rPr>
              <w:t>UE;</w:t>
            </w:r>
            <w:proofErr w:type="gramEnd"/>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At lower layers, the UE may be configured with a UE specific </w:t>
            </w:r>
            <w:proofErr w:type="gramStart"/>
            <w:r w:rsidRPr="00BB09E3">
              <w:rPr>
                <w:sz w:val="18"/>
                <w:szCs w:val="18"/>
              </w:rPr>
              <w:t>DRX;</w:t>
            </w:r>
            <w:proofErr w:type="gramEnd"/>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xml:space="preserve">, for increased </w:t>
            </w:r>
            <w:proofErr w:type="gramStart"/>
            <w:r w:rsidRPr="00BB09E3">
              <w:rPr>
                <w:sz w:val="18"/>
                <w:szCs w:val="18"/>
              </w:rPr>
              <w:t>bandwidth;</w:t>
            </w:r>
            <w:proofErr w:type="gramEnd"/>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DC, use of one SCG, aggregated with the MCG, for increased </w:t>
            </w:r>
            <w:proofErr w:type="gramStart"/>
            <w:r w:rsidRPr="00BB09E3">
              <w:rPr>
                <w:sz w:val="18"/>
                <w:szCs w:val="18"/>
              </w:rPr>
              <w:t>bandwidth;</w:t>
            </w:r>
            <w:proofErr w:type="gramEnd"/>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w:t>
            </w:r>
            <w:proofErr w:type="gramStart"/>
            <w:r w:rsidRPr="00BB09E3">
              <w:rPr>
                <w:sz w:val="18"/>
                <w:szCs w:val="18"/>
              </w:rPr>
              <w:t>UTRA;</w:t>
            </w:r>
            <w:proofErr w:type="gramEnd"/>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 xml:space="preserve">Monitors Short Messages transmitted with P-RNTI over DCI (see clause 6.5), if </w:t>
            </w:r>
            <w:proofErr w:type="gramStart"/>
            <w:r w:rsidRPr="00BB09E3">
              <w:rPr>
                <w:sz w:val="18"/>
                <w:szCs w:val="18"/>
                <w:highlight w:val="yellow"/>
              </w:rPr>
              <w:t>configured;</w:t>
            </w:r>
            <w:proofErr w:type="gramEnd"/>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Monitors control channels associated with the shared data channel to determine if data is scheduled for </w:t>
            </w:r>
            <w:proofErr w:type="gramStart"/>
            <w:r w:rsidRPr="00BB09E3">
              <w:rPr>
                <w:sz w:val="18"/>
                <w:szCs w:val="18"/>
              </w:rPr>
              <w:t>it;</w:t>
            </w:r>
            <w:proofErr w:type="gramEnd"/>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Provides channel quality and feedback </w:t>
            </w:r>
            <w:proofErr w:type="gramStart"/>
            <w:r w:rsidRPr="00BB09E3">
              <w:rPr>
                <w:sz w:val="18"/>
                <w:szCs w:val="18"/>
              </w:rPr>
              <w:t>information;</w:t>
            </w:r>
            <w:proofErr w:type="gramEnd"/>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Performs neighbouring cell measurements and measurement </w:t>
            </w:r>
            <w:proofErr w:type="gramStart"/>
            <w:r w:rsidRPr="00BB09E3">
              <w:rPr>
                <w:sz w:val="18"/>
                <w:szCs w:val="18"/>
              </w:rPr>
              <w:t>reporting;</w:t>
            </w:r>
            <w:proofErr w:type="gramEnd"/>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Acquires system </w:t>
            </w:r>
            <w:proofErr w:type="gramStart"/>
            <w:r w:rsidRPr="00BB09E3">
              <w:rPr>
                <w:sz w:val="18"/>
                <w:szCs w:val="18"/>
              </w:rPr>
              <w:t>information;</w:t>
            </w:r>
            <w:proofErr w:type="gramEnd"/>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proofErr w:type="gramStart"/>
            <w:r w:rsidRPr="00BB09E3">
              <w:rPr>
                <w:bCs/>
                <w:sz w:val="18"/>
                <w:szCs w:val="18"/>
                <w:lang w:val="en-GB" w:eastAsia="zh-CN"/>
              </w:rPr>
              <w:t>So</w:t>
            </w:r>
            <w:proofErr w:type="gramEnd"/>
            <w:r w:rsidRPr="00BB09E3">
              <w:rPr>
                <w:bCs/>
                <w:sz w:val="18"/>
                <w:szCs w:val="18"/>
                <w:lang w:val="en-GB" w:eastAsia="zh-CN"/>
              </w:rPr>
              <w:t xml:space="preserve">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w:t>
            </w:r>
            <w:proofErr w:type="gramStart"/>
            <w:r w:rsidRPr="00D953D2">
              <w:rPr>
                <w:rFonts w:eastAsia="MS Mincho"/>
                <w:sz w:val="18"/>
                <w:szCs w:val="18"/>
                <w:lang w:eastAsia="ja-JP"/>
              </w:rPr>
              <w:t>i.e.</w:t>
            </w:r>
            <w:proofErr w:type="gramEnd"/>
            <w:r w:rsidRPr="00D953D2">
              <w:rPr>
                <w:rFonts w:eastAsia="MS Mincho"/>
                <w:sz w:val="18"/>
                <w:szCs w:val="18"/>
                <w:lang w:eastAsia="ja-JP"/>
              </w:rPr>
              <w:t xml:space="preserv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w:t>
                  </w:r>
                  <w:proofErr w:type="gramStart"/>
                  <w:r w:rsidRPr="00D953D2">
                    <w:rPr>
                      <w:rFonts w:eastAsia="MS Mincho"/>
                      <w:sz w:val="18"/>
                      <w:szCs w:val="18"/>
                      <w:highlight w:val="yellow"/>
                      <w:lang w:eastAsia="ja-JP"/>
                    </w:rPr>
                    <w:t>i.e.</w:t>
                  </w:r>
                  <w:proofErr w:type="gramEnd"/>
                  <w:r w:rsidRPr="00D953D2">
                    <w:rPr>
                      <w:rFonts w:eastAsia="MS Mincho"/>
                      <w:sz w:val="18"/>
                      <w:szCs w:val="18"/>
                      <w:highlight w:val="yellow"/>
                      <w:lang w:eastAsia="ja-JP"/>
                    </w:rPr>
                    <w:t xml:space="preserve"> serving cell does not change when beam selection is done)</w:t>
                  </w:r>
                  <w:r w:rsidRPr="00D953D2">
                    <w:rPr>
                      <w:rFonts w:eastAsia="MS Mincho"/>
                      <w:sz w:val="18"/>
                      <w:szCs w:val="18"/>
                      <w:lang w:eastAsia="ja-JP"/>
                    </w:rPr>
                    <w:t>. This includes L1-only measurement/reporting (</w:t>
                  </w:r>
                  <w:proofErr w:type="gramStart"/>
                  <w:r w:rsidRPr="00D953D2">
                    <w:rPr>
                      <w:rFonts w:eastAsia="MS Mincho"/>
                      <w:sz w:val="18"/>
                      <w:szCs w:val="18"/>
                      <w:lang w:eastAsia="ja-JP"/>
                    </w:rPr>
                    <w:t>i.e.</w:t>
                  </w:r>
                  <w:proofErr w:type="gramEnd"/>
                  <w:r w:rsidRPr="00D953D2">
                    <w:rPr>
                      <w:rFonts w:eastAsia="MS Mincho"/>
                      <w:sz w:val="18"/>
                      <w:szCs w:val="18"/>
                      <w:lang w:eastAsia="ja-JP"/>
                    </w:rPr>
                    <w:t xml:space="preserv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w:t>
            </w:r>
            <w:proofErr w:type="gramStart"/>
            <w:r w:rsidRPr="00D953D2">
              <w:rPr>
                <w:rFonts w:eastAsia="MS Mincho"/>
                <w:sz w:val="18"/>
                <w:szCs w:val="18"/>
                <w:lang w:eastAsia="ja-JP"/>
              </w:rPr>
              <w:t>as long as</w:t>
            </w:r>
            <w:proofErr w:type="gramEnd"/>
            <w:r w:rsidRPr="00D953D2">
              <w:rPr>
                <w:rFonts w:eastAsia="MS Mincho"/>
                <w:sz w:val="18"/>
                <w:szCs w:val="18"/>
                <w:lang w:eastAsia="ja-JP"/>
              </w:rPr>
              <w:t xml:space="preserve">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等线"/>
                <w:sz w:val="18"/>
                <w:szCs w:val="20"/>
                <w:lang w:eastAsia="zh-CN"/>
              </w:rPr>
            </w:pPr>
            <w:r w:rsidRPr="006249A8">
              <w:rPr>
                <w:rFonts w:eastAsia="等线"/>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w:t>
            </w:r>
            <w:proofErr w:type="gramStart"/>
            <w:r>
              <w:rPr>
                <w:sz w:val="18"/>
                <w:szCs w:val="20"/>
                <w:lang w:eastAsia="zh-CN"/>
              </w:rPr>
              <w:t xml:space="preserve">state, </w:t>
            </w:r>
            <w:r w:rsidR="00FD272B">
              <w:rPr>
                <w:sz w:val="18"/>
                <w:szCs w:val="20"/>
                <w:lang w:eastAsia="zh-CN"/>
              </w:rPr>
              <w:t>and</w:t>
            </w:r>
            <w:proofErr w:type="gramEnd"/>
            <w:r w:rsidR="00FD272B">
              <w:rPr>
                <w:sz w:val="18"/>
                <w:szCs w:val="20"/>
                <w:lang w:eastAsia="zh-CN"/>
              </w:rPr>
              <w:t xml:space="preserve">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proofErr w:type="gramStart"/>
            <w:r>
              <w:rPr>
                <w:color w:val="000000"/>
                <w:sz w:val="18"/>
                <w:szCs w:val="20"/>
                <w:lang w:eastAsia="x-none"/>
              </w:rPr>
              <w:t>/</w:t>
            </w:r>
            <w:r w:rsidRPr="006C1C52">
              <w:rPr>
                <w:color w:val="FF0000"/>
                <w:sz w:val="18"/>
                <w:szCs w:val="20"/>
                <w:lang w:eastAsia="x-none"/>
              </w:rPr>
              <w:t>[</w:t>
            </w:r>
            <w:proofErr w:type="gramEnd"/>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77777777" w:rsidR="00FD272B" w:rsidRDefault="00FD272B"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w:t>
            </w:r>
            <w:proofErr w:type="gramStart"/>
            <w:r>
              <w:rPr>
                <w:bCs/>
                <w:sz w:val="18"/>
                <w:szCs w:val="18"/>
                <w:lang w:eastAsia="zh-CN"/>
              </w:rPr>
              <w:t>reporting, but</w:t>
            </w:r>
            <w:proofErr w:type="gramEnd"/>
            <w:r>
              <w:rPr>
                <w:bCs/>
                <w:sz w:val="18"/>
                <w:szCs w:val="18"/>
                <w:lang w:eastAsia="zh-CN"/>
              </w:rPr>
              <w:t xml:space="preserve">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等线"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w:t>
            </w:r>
            <w:proofErr w:type="gramStart"/>
            <w:r>
              <w:rPr>
                <w:sz w:val="18"/>
                <w:szCs w:val="20"/>
                <w:lang w:eastAsia="zh-CN"/>
              </w:rPr>
              <w:t>brackets, and</w:t>
            </w:r>
            <w:proofErr w:type="gramEnd"/>
            <w:r>
              <w:rPr>
                <w:sz w:val="18"/>
                <w:szCs w:val="20"/>
                <w:lang w:eastAsia="zh-CN"/>
              </w:rPr>
              <w:t xml:space="preserve"> resolve the brackets after </w:t>
            </w:r>
            <w:r w:rsidRPr="008C125E">
              <w:rPr>
                <w:sz w:val="18"/>
                <w:szCs w:val="20"/>
                <w:lang w:eastAsia="zh-CN"/>
              </w:rPr>
              <w:t>Issue 2.3</w:t>
            </w:r>
            <w:r>
              <w:rPr>
                <w:sz w:val="18"/>
                <w:szCs w:val="20"/>
                <w:lang w:eastAsia="zh-CN"/>
              </w:rPr>
              <w:t xml:space="preserve"> is resolved.</w:t>
            </w:r>
          </w:p>
          <w:p w14:paraId="1BA0F2D3" w14:textId="77777777" w:rsidR="00550C25" w:rsidRDefault="00550C25"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w:t>
            </w:r>
            <w:proofErr w:type="gramStart"/>
            <w:r>
              <w:rPr>
                <w:sz w:val="18"/>
                <w:szCs w:val="20"/>
                <w:lang w:eastAsia="zh-CN"/>
              </w:rPr>
              <w:t>So</w:t>
            </w:r>
            <w:proofErr w:type="gramEnd"/>
            <w:r>
              <w:rPr>
                <w:sz w:val="18"/>
                <w:szCs w:val="20"/>
                <w:lang w:eastAsia="zh-CN"/>
              </w:rPr>
              <w:t xml:space="preserve">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w:t>
            </w:r>
            <w:proofErr w:type="gramStart"/>
            <w:r>
              <w:rPr>
                <w:rFonts w:eastAsia="宋体"/>
                <w:bCs/>
                <w:sz w:val="18"/>
                <w:szCs w:val="20"/>
                <w:lang w:val="en-GB" w:eastAsia="zh-CN"/>
              </w:rPr>
              <w:t>i.e.</w:t>
            </w:r>
            <w:proofErr w:type="gramEnd"/>
            <w:r>
              <w:rPr>
                <w:rFonts w:eastAsia="宋体"/>
                <w:bCs/>
                <w:sz w:val="18"/>
                <w:szCs w:val="20"/>
                <w:lang w:val="en-GB" w:eastAsia="zh-CN"/>
              </w:rPr>
              <w:t xml:space="preserve"> whether the CORESET associated with Type2 CSS set can be deemed as non-UE-dedicated channel. Then come back to handle the non-UE-dedicated channel/signal. </w:t>
            </w:r>
          </w:p>
          <w:p w14:paraId="1AE5D73E" w14:textId="77777777" w:rsidR="00DB5BBD" w:rsidRDefault="00DB5BBD"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bl>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5BC83BD6"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p>
          <w:p w14:paraId="7A34D506" w14:textId="341DE8E3"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24E9D613"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r w:rsidR="00493ED3">
              <w:rPr>
                <w:sz w:val="18"/>
                <w:szCs w:val="20"/>
                <w:lang w:eastAsia="zh-CN"/>
              </w:rPr>
              <w:t xml:space="preserve">from </w:t>
            </w:r>
            <w:r w:rsidRPr="002747AF">
              <w:rPr>
                <w:sz w:val="18"/>
                <w:szCs w:val="20"/>
                <w:lang w:eastAsia="zh-CN"/>
              </w:rPr>
              <w:t>the reported UE capabilit</w:t>
            </w:r>
            <w:r w:rsidR="008262B9">
              <w:rPr>
                <w:sz w:val="18"/>
                <w:szCs w:val="20"/>
                <w:lang w:eastAsia="zh-CN"/>
              </w:rPr>
              <w:t>y value set</w:t>
            </w:r>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w:t>
            </w:r>
            <w:proofErr w:type="gramStart"/>
            <w:r w:rsidRPr="002747AF">
              <w:rPr>
                <w:sz w:val="18"/>
                <w:szCs w:val="20"/>
                <w:lang w:eastAsia="zh-CN"/>
              </w:rPr>
              <w:t>e.g.</w:t>
            </w:r>
            <w:proofErr w:type="gramEnd"/>
            <w:r w:rsidRPr="002747AF">
              <w:rPr>
                <w:sz w:val="18"/>
                <w:szCs w:val="20"/>
                <w:lang w:eastAsia="zh-CN"/>
              </w:rPr>
              <w:t xml:space="preserve">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6D53F8C" w:rsidR="002C7C3C" w:rsidRPr="002C7C3C" w:rsidRDefault="002C7C3C" w:rsidP="002C7C3C">
            <w:pPr>
              <w:pStyle w:val="ListParagraph"/>
              <w:numPr>
                <w:ilvl w:val="1"/>
                <w:numId w:val="14"/>
              </w:numPr>
              <w:rPr>
                <w:sz w:val="18"/>
                <w:szCs w:val="20"/>
                <w:lang w:eastAsia="zh-CN"/>
              </w:rPr>
            </w:pPr>
            <w:r w:rsidRPr="002C7C3C">
              <w:rPr>
                <w:sz w:val="18"/>
                <w:szCs w:val="20"/>
                <w:lang w:eastAsia="zh-CN"/>
              </w:rPr>
              <w:t>The indicated SRI is based on the SRS resources corresponding to one SRS resource set which is aligned with the UE capability</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1D81C97" w:rsidR="002747AF" w:rsidRPr="002747AF" w:rsidRDefault="002747AF" w:rsidP="002747AF">
            <w:pPr>
              <w:snapToGrid w:val="0"/>
              <w:jc w:val="both"/>
              <w:rPr>
                <w:sz w:val="18"/>
              </w:rPr>
            </w:pPr>
            <w:r w:rsidRPr="002747AF">
              <w:rPr>
                <w:b/>
                <w:sz w:val="18"/>
              </w:rPr>
              <w:lastRenderedPageBreak/>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w:t>
            </w:r>
            <w:proofErr w:type="gramStart"/>
            <w:r>
              <w:rPr>
                <w:sz w:val="18"/>
                <w:szCs w:val="20"/>
                <w:lang w:eastAsia="zh-CN"/>
              </w:rPr>
              <w:t>e.g.</w:t>
            </w:r>
            <w:proofErr w:type="gramEnd"/>
            <w:r>
              <w:rPr>
                <w:sz w:val="18"/>
                <w:szCs w:val="20"/>
                <w:lang w:eastAsia="zh-CN"/>
              </w:rPr>
              <w:t xml:space="preserve">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ins w:id="3" w:author="Cao, Jeffrey" w:date="2021-10-17T17:23:00Z">
              <w:r>
                <w:rPr>
                  <w:sz w:val="18"/>
                  <w:szCs w:val="20"/>
                  <w:lang w:eastAsia="zh-CN"/>
                </w:rPr>
                <w:t>s</w:t>
              </w:r>
            </w:ins>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w:t>
            </w:r>
            <w:ins w:id="4" w:author="Cao, Jeffrey" w:date="2021-10-17T17:26:00Z">
              <w:r w:rsidRPr="009C32BA">
                <w:rPr>
                  <w:sz w:val="18"/>
                  <w:szCs w:val="18"/>
                  <w:lang w:eastAsia="zh-CN"/>
                </w:rPr>
                <w:t xml:space="preserve"> set</w:t>
              </w:r>
            </w:ins>
            <w:r w:rsidRPr="009C32BA">
              <w:rPr>
                <w:sz w:val="18"/>
                <w:szCs w:val="18"/>
                <w:lang w:eastAsia="zh-CN"/>
              </w:rPr>
              <w:t xml:space="preserve"> from the reported UE capability value set is determined by the UE (analogous to Rel-15/16) and is informed to NW in a beam reporting instance</w:t>
            </w:r>
          </w:p>
          <w:p w14:paraId="301BF109" w14:textId="4AFBBCDD" w:rsidR="00DB5BBD" w:rsidRPr="00F140AD" w:rsidRDefault="00DB5BBD" w:rsidP="00DB5BBD">
            <w:pPr>
              <w:snapToGrid w:val="0"/>
              <w:rPr>
                <w:b/>
                <w:color w:val="3333FF"/>
                <w:sz w:val="18"/>
                <w:szCs w:val="18"/>
                <w:u w:val="single"/>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tc>
      </w:tr>
    </w:tbl>
    <w:p w14:paraId="6A242207" w14:textId="77777777" w:rsidR="00F41526" w:rsidRDefault="00F41526">
      <w:pPr>
        <w:pStyle w:val="Caption"/>
        <w:jc w:val="center"/>
      </w:pPr>
    </w:p>
    <w:sectPr w:rsidR="00F41526">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62CC7" w14:textId="77777777" w:rsidR="0025040E" w:rsidRDefault="0025040E" w:rsidP="007458B4">
      <w:r>
        <w:separator/>
      </w:r>
    </w:p>
  </w:endnote>
  <w:endnote w:type="continuationSeparator" w:id="0">
    <w:p w14:paraId="7441364E" w14:textId="77777777" w:rsidR="0025040E" w:rsidRDefault="0025040E"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E1CF0" w14:textId="77777777" w:rsidR="0025040E" w:rsidRDefault="0025040E" w:rsidP="007458B4">
      <w:r>
        <w:separator/>
      </w:r>
    </w:p>
  </w:footnote>
  <w:footnote w:type="continuationSeparator" w:id="0">
    <w:p w14:paraId="2E066AE9" w14:textId="77777777" w:rsidR="0025040E" w:rsidRDefault="0025040E"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4"/>
  </w:num>
  <w:num w:numId="16">
    <w:abstractNumId w:val="24"/>
  </w:num>
  <w:num w:numId="17">
    <w:abstractNumId w:val="22"/>
  </w:num>
  <w:num w:numId="18">
    <w:abstractNumId w:val="14"/>
  </w:num>
  <w:num w:numId="19">
    <w:abstractNumId w:val="45"/>
  </w:num>
  <w:num w:numId="20">
    <w:abstractNumId w:val="16"/>
  </w:num>
  <w:num w:numId="21">
    <w:abstractNumId w:val="27"/>
  </w:num>
  <w:num w:numId="22">
    <w:abstractNumId w:val="37"/>
  </w:num>
  <w:num w:numId="23">
    <w:abstractNumId w:val="26"/>
  </w:num>
  <w:num w:numId="24">
    <w:abstractNumId w:val="41"/>
  </w:num>
  <w:num w:numId="25">
    <w:abstractNumId w:val="29"/>
  </w:num>
  <w:num w:numId="26">
    <w:abstractNumId w:val="20"/>
  </w:num>
  <w:num w:numId="27">
    <w:abstractNumId w:val="42"/>
  </w:num>
  <w:num w:numId="28">
    <w:abstractNumId w:val="17"/>
  </w:num>
  <w:num w:numId="29">
    <w:abstractNumId w:val="46"/>
  </w:num>
  <w:num w:numId="30">
    <w:abstractNumId w:val="18"/>
  </w:num>
  <w:num w:numId="31">
    <w:abstractNumId w:val="36"/>
  </w:num>
  <w:num w:numId="32">
    <w:abstractNumId w:val="43"/>
  </w:num>
  <w:num w:numId="33">
    <w:abstractNumId w:val="32"/>
  </w:num>
  <w:num w:numId="34">
    <w:abstractNumId w:val="28"/>
  </w:num>
  <w:num w:numId="35">
    <w:abstractNumId w:val="19"/>
  </w:num>
  <w:num w:numId="36">
    <w:abstractNumId w:val="21"/>
  </w:num>
  <w:num w:numId="37">
    <w:abstractNumId w:val="25"/>
  </w:num>
  <w:num w:numId="38">
    <w:abstractNumId w:val="33"/>
  </w:num>
  <w:num w:numId="39">
    <w:abstractNumId w:val="30"/>
  </w:num>
  <w:num w:numId="40">
    <w:abstractNumId w:val="23"/>
  </w:num>
  <w:num w:numId="41">
    <w:abstractNumId w:val="40"/>
  </w:num>
  <w:num w:numId="42">
    <w:abstractNumId w:val="31"/>
  </w:num>
  <w:num w:numId="43">
    <w:abstractNumId w:val="35"/>
  </w:num>
  <w:num w:numId="44">
    <w:abstractNumId w:val="39"/>
  </w:num>
  <w:num w:numId="45">
    <w:abstractNumId w:val="38"/>
  </w:num>
  <w:num w:numId="46">
    <w:abstractNumId w:val="34"/>
  </w:num>
  <w:num w:numId="47">
    <w:abstractNumId w:val="1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7332"/>
    <w:rsid w:val="001579F2"/>
    <w:rsid w:val="00162D8B"/>
    <w:rsid w:val="001637F4"/>
    <w:rsid w:val="001670EE"/>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2799"/>
    <w:rsid w:val="001C70E1"/>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440A"/>
    <w:rsid w:val="002D54BE"/>
    <w:rsid w:val="002D5777"/>
    <w:rsid w:val="002E030B"/>
    <w:rsid w:val="002E214B"/>
    <w:rsid w:val="002E34DB"/>
    <w:rsid w:val="002E4383"/>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45D1"/>
    <w:rsid w:val="00377D3B"/>
    <w:rsid w:val="00380B0B"/>
    <w:rsid w:val="003840FE"/>
    <w:rsid w:val="003878A1"/>
    <w:rsid w:val="00390634"/>
    <w:rsid w:val="00390FB3"/>
    <w:rsid w:val="00391B52"/>
    <w:rsid w:val="00392F47"/>
    <w:rsid w:val="00394C8F"/>
    <w:rsid w:val="00395C90"/>
    <w:rsid w:val="00396F18"/>
    <w:rsid w:val="003A151B"/>
    <w:rsid w:val="003A3315"/>
    <w:rsid w:val="003A4086"/>
    <w:rsid w:val="003A56CB"/>
    <w:rsid w:val="003A7FA5"/>
    <w:rsid w:val="003B1D75"/>
    <w:rsid w:val="003B22DE"/>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713"/>
    <w:rsid w:val="005B13A1"/>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A02EA"/>
    <w:rsid w:val="006A07A0"/>
    <w:rsid w:val="006A18FA"/>
    <w:rsid w:val="006B448A"/>
    <w:rsid w:val="006B4F0C"/>
    <w:rsid w:val="006C16F5"/>
    <w:rsid w:val="006C1C52"/>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4E50"/>
    <w:rsid w:val="00AC62E4"/>
    <w:rsid w:val="00AC7C64"/>
    <w:rsid w:val="00AD0320"/>
    <w:rsid w:val="00AD21D9"/>
    <w:rsid w:val="00AD6040"/>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4F5D"/>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B1804"/>
    <w:rsid w:val="00CB5320"/>
    <w:rsid w:val="00CB7196"/>
    <w:rsid w:val="00CB7BE9"/>
    <w:rsid w:val="00CC0601"/>
    <w:rsid w:val="00CC0BE0"/>
    <w:rsid w:val="00CC274C"/>
    <w:rsid w:val="00CC2A2B"/>
    <w:rsid w:val="00CC4F3F"/>
    <w:rsid w:val="00CD2A08"/>
    <w:rsid w:val="00CD2F04"/>
    <w:rsid w:val="00CD6E9F"/>
    <w:rsid w:val="00CE179E"/>
    <w:rsid w:val="00CE27F0"/>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FD1"/>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36F05"/>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6835"/>
    <w:rsid w:val="00EB6927"/>
    <w:rsid w:val="00EC5527"/>
    <w:rsid w:val="00EC6B09"/>
    <w:rsid w:val="00ED15CD"/>
    <w:rsid w:val="00ED4407"/>
    <w:rsid w:val="00ED4C79"/>
    <w:rsid w:val="00EE2291"/>
    <w:rsid w:val="00EE23B5"/>
    <w:rsid w:val="00EF0F50"/>
    <w:rsid w:val="00EF2AC8"/>
    <w:rsid w:val="00EF62B4"/>
    <w:rsid w:val="00F002DB"/>
    <w:rsid w:val="00F01361"/>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C8390AD-49A0-4449-BF4D-DFD1556D63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4588</Words>
  <Characters>26158</Characters>
  <Application>Microsoft Office Word</Application>
  <DocSecurity>0</DocSecurity>
  <Lines>217</Lines>
  <Paragraphs>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Cao, Jeffrey</cp:lastModifiedBy>
  <cp:revision>3</cp:revision>
  <cp:lastPrinted>2021-10-06T09:28:00Z</cp:lastPrinted>
  <dcterms:created xsi:type="dcterms:W3CDTF">2021-10-18T00:49:00Z</dcterms:created>
  <dcterms:modified xsi:type="dcterms:W3CDTF">2021-10-18T00:53:00Z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